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D21AE"/>
    <w:p w14:paraId="2743D701"/>
    <w:p w14:paraId="28272356"/>
    <w:p w14:paraId="5758CE73"/>
    <w:p w14:paraId="1AD3E8C8">
      <w:pPr>
        <w:ind w:firstLine="1050" w:firstLineChars="500"/>
      </w:pPr>
    </w:p>
    <w:p w14:paraId="7CDCE9D3">
      <w:pPr>
        <w:ind w:firstLine="1050" w:firstLineChars="500"/>
      </w:pPr>
    </w:p>
    <w:p w14:paraId="0BEF8D93">
      <w:pPr>
        <w:ind w:firstLine="1760" w:firstLineChars="400"/>
        <w:rPr>
          <w:rFonts w:ascii="黑体" w:hAnsi="黑体" w:eastAsia="黑体"/>
          <w:sz w:val="44"/>
          <w:szCs w:val="44"/>
        </w:rPr>
      </w:pPr>
    </w:p>
    <w:p w14:paraId="713D0864">
      <w:pPr>
        <w:ind w:firstLine="1760" w:firstLineChars="400"/>
        <w:rPr>
          <w:rFonts w:ascii="黑体" w:hAnsi="黑体" w:eastAsia="黑体"/>
          <w:sz w:val="44"/>
          <w:szCs w:val="44"/>
        </w:rPr>
      </w:pPr>
    </w:p>
    <w:p w14:paraId="552B9927">
      <w:pPr>
        <w:ind w:firstLine="1760" w:firstLineChars="400"/>
        <w:rPr>
          <w:rFonts w:ascii="黑体" w:hAnsi="黑体" w:eastAsia="黑体"/>
          <w:sz w:val="44"/>
          <w:szCs w:val="44"/>
        </w:rPr>
      </w:pPr>
      <w:r>
        <w:rPr>
          <w:rFonts w:hint="eastAsia" w:ascii="黑体" w:hAnsi="黑体" w:eastAsia="黑体"/>
          <w:sz w:val="44"/>
          <w:szCs w:val="44"/>
        </w:rPr>
        <w:t>马尔康市住房和城乡建设局</w:t>
      </w:r>
    </w:p>
    <w:p w14:paraId="62E9BFD8">
      <w:pPr>
        <w:jc w:val="center"/>
        <w:rPr>
          <w:rFonts w:ascii="黑体" w:hAnsi="黑体" w:eastAsia="黑体"/>
          <w:sz w:val="44"/>
          <w:szCs w:val="44"/>
        </w:rPr>
      </w:pPr>
      <w:r>
        <w:rPr>
          <w:rFonts w:ascii="黑体" w:hAnsi="黑体" w:eastAsia="黑体"/>
          <w:sz w:val="44"/>
          <w:szCs w:val="44"/>
        </w:rPr>
        <w:t>20</w:t>
      </w:r>
      <w:r>
        <w:rPr>
          <w:rFonts w:hint="eastAsia" w:ascii="黑体" w:hAnsi="黑体" w:eastAsia="黑体"/>
          <w:sz w:val="44"/>
          <w:szCs w:val="44"/>
        </w:rPr>
        <w:t>2</w:t>
      </w:r>
      <w:r>
        <w:rPr>
          <w:rFonts w:hint="eastAsia" w:ascii="黑体" w:hAnsi="黑体" w:eastAsia="黑体"/>
          <w:sz w:val="44"/>
          <w:szCs w:val="44"/>
          <w:lang w:val="en-US" w:eastAsia="zh-CN"/>
        </w:rPr>
        <w:t>5</w:t>
      </w:r>
      <w:r>
        <w:rPr>
          <w:rFonts w:hint="eastAsia" w:ascii="黑体" w:hAnsi="黑体" w:eastAsia="黑体"/>
          <w:sz w:val="44"/>
          <w:szCs w:val="44"/>
        </w:rPr>
        <w:t>年部门预算</w:t>
      </w:r>
    </w:p>
    <w:p w14:paraId="26C35CE9">
      <w:pPr>
        <w:ind w:firstLine="1760" w:firstLineChars="400"/>
        <w:jc w:val="center"/>
        <w:rPr>
          <w:rFonts w:ascii="黑体" w:hAnsi="黑体" w:eastAsia="黑体"/>
          <w:sz w:val="44"/>
          <w:szCs w:val="44"/>
        </w:rPr>
      </w:pPr>
      <w:bookmarkStart w:id="0" w:name="_GoBack"/>
      <w:bookmarkEnd w:id="0"/>
    </w:p>
    <w:p w14:paraId="2172F7FE">
      <w:pPr>
        <w:ind w:firstLine="1760" w:firstLineChars="400"/>
        <w:rPr>
          <w:rFonts w:ascii="黑体" w:hAnsi="黑体" w:eastAsia="黑体"/>
          <w:sz w:val="44"/>
          <w:szCs w:val="44"/>
        </w:rPr>
      </w:pPr>
    </w:p>
    <w:p w14:paraId="4E4A6B1A">
      <w:pPr>
        <w:ind w:firstLine="1760" w:firstLineChars="400"/>
        <w:rPr>
          <w:rFonts w:ascii="黑体" w:hAnsi="黑体" w:eastAsia="黑体"/>
          <w:sz w:val="44"/>
          <w:szCs w:val="44"/>
        </w:rPr>
      </w:pPr>
    </w:p>
    <w:p w14:paraId="1D8F7458">
      <w:pPr>
        <w:ind w:firstLine="1760" w:firstLineChars="400"/>
        <w:rPr>
          <w:rFonts w:ascii="黑体" w:hAnsi="黑体" w:eastAsia="黑体"/>
          <w:sz w:val="44"/>
          <w:szCs w:val="44"/>
        </w:rPr>
      </w:pPr>
    </w:p>
    <w:p w14:paraId="52AA13E3">
      <w:pPr>
        <w:ind w:firstLine="1760" w:firstLineChars="400"/>
        <w:rPr>
          <w:rFonts w:ascii="黑体" w:hAnsi="黑体" w:eastAsia="黑体"/>
          <w:sz w:val="44"/>
          <w:szCs w:val="44"/>
        </w:rPr>
      </w:pPr>
    </w:p>
    <w:p w14:paraId="45E670F6">
      <w:pPr>
        <w:ind w:firstLine="1760" w:firstLineChars="400"/>
        <w:rPr>
          <w:rFonts w:ascii="黑体" w:hAnsi="黑体" w:eastAsia="黑体"/>
          <w:sz w:val="44"/>
          <w:szCs w:val="44"/>
        </w:rPr>
      </w:pPr>
    </w:p>
    <w:p w14:paraId="133CB8F0">
      <w:pPr>
        <w:ind w:firstLine="1760" w:firstLineChars="400"/>
        <w:rPr>
          <w:rFonts w:ascii="黑体" w:hAnsi="黑体" w:eastAsia="黑体"/>
          <w:sz w:val="44"/>
          <w:szCs w:val="44"/>
        </w:rPr>
      </w:pPr>
    </w:p>
    <w:p w14:paraId="5F156022">
      <w:pPr>
        <w:ind w:firstLine="1760" w:firstLineChars="400"/>
        <w:rPr>
          <w:rFonts w:ascii="黑体" w:hAnsi="黑体" w:eastAsia="黑体"/>
          <w:sz w:val="44"/>
          <w:szCs w:val="44"/>
        </w:rPr>
      </w:pPr>
    </w:p>
    <w:p w14:paraId="6AF82C2B">
      <w:pPr>
        <w:ind w:firstLine="2880" w:firstLineChars="900"/>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5</w:t>
      </w:r>
      <w:r>
        <w:rPr>
          <w:rFonts w:hint="eastAsia" w:ascii="黑体" w:hAnsi="黑体" w:eastAsia="黑体"/>
          <w:sz w:val="32"/>
          <w:szCs w:val="32"/>
        </w:rPr>
        <w:t>年2月</w:t>
      </w:r>
      <w:r>
        <w:rPr>
          <w:rFonts w:hint="eastAsia" w:ascii="黑体" w:hAnsi="黑体" w:eastAsia="黑体"/>
          <w:sz w:val="32"/>
          <w:szCs w:val="32"/>
          <w:lang w:val="en-US" w:eastAsia="zh-CN"/>
        </w:rPr>
        <w:t>12</w:t>
      </w:r>
      <w:r>
        <w:rPr>
          <w:rFonts w:hint="eastAsia" w:ascii="黑体" w:hAnsi="黑体" w:eastAsia="黑体"/>
          <w:sz w:val="32"/>
          <w:szCs w:val="32"/>
        </w:rPr>
        <w:t>日</w:t>
      </w:r>
    </w:p>
    <w:p w14:paraId="7B97B75E">
      <w:pPr>
        <w:ind w:firstLine="1760" w:firstLineChars="400"/>
        <w:rPr>
          <w:rFonts w:ascii="黑体" w:hAnsi="黑体" w:eastAsia="黑体"/>
          <w:sz w:val="44"/>
          <w:szCs w:val="44"/>
        </w:rPr>
      </w:pPr>
    </w:p>
    <w:p w14:paraId="42559215">
      <w:pPr>
        <w:ind w:firstLine="1760" w:firstLineChars="400"/>
        <w:rPr>
          <w:rFonts w:ascii="黑体" w:hAnsi="黑体" w:eastAsia="黑体"/>
          <w:sz w:val="44"/>
          <w:szCs w:val="44"/>
        </w:rPr>
      </w:pPr>
    </w:p>
    <w:p w14:paraId="19102B46">
      <w:pPr>
        <w:ind w:firstLine="1760" w:firstLineChars="400"/>
        <w:rPr>
          <w:rFonts w:ascii="黑体" w:hAnsi="黑体" w:eastAsia="黑体"/>
          <w:sz w:val="44"/>
          <w:szCs w:val="44"/>
        </w:rPr>
      </w:pPr>
    </w:p>
    <w:p w14:paraId="1AB90455">
      <w:pPr>
        <w:ind w:firstLine="1760" w:firstLineChars="400"/>
        <w:rPr>
          <w:rFonts w:ascii="黑体" w:hAnsi="黑体" w:eastAsia="黑体"/>
          <w:sz w:val="44"/>
          <w:szCs w:val="44"/>
        </w:rPr>
      </w:pPr>
    </w:p>
    <w:p w14:paraId="35463929">
      <w:pPr>
        <w:ind w:firstLine="1760" w:firstLineChars="400"/>
        <w:rPr>
          <w:rFonts w:ascii="黑体" w:hAnsi="黑体" w:eastAsia="黑体"/>
          <w:sz w:val="44"/>
          <w:szCs w:val="44"/>
        </w:rPr>
      </w:pPr>
    </w:p>
    <w:p w14:paraId="48766B5C">
      <w:pPr>
        <w:ind w:firstLine="1760" w:firstLineChars="400"/>
        <w:rPr>
          <w:rFonts w:ascii="黑体" w:hAnsi="黑体" w:eastAsia="黑体"/>
          <w:sz w:val="44"/>
          <w:szCs w:val="44"/>
        </w:rPr>
      </w:pPr>
    </w:p>
    <w:p w14:paraId="79EC776F">
      <w:pPr>
        <w:rPr>
          <w:rFonts w:ascii="黑体" w:hAnsi="黑体" w:eastAsia="黑体"/>
          <w:sz w:val="44"/>
          <w:szCs w:val="44"/>
        </w:rPr>
      </w:pPr>
    </w:p>
    <w:p w14:paraId="42C64B07">
      <w:pPr>
        <w:ind w:firstLine="3120" w:firstLineChars="600"/>
        <w:rPr>
          <w:rFonts w:ascii="黑体" w:hAnsi="黑体" w:eastAsia="黑体"/>
          <w:sz w:val="52"/>
          <w:szCs w:val="52"/>
        </w:rPr>
      </w:pPr>
      <w:r>
        <w:rPr>
          <w:rFonts w:hint="eastAsia" w:ascii="黑体" w:hAnsi="黑体" w:eastAsia="黑体"/>
          <w:sz w:val="52"/>
          <w:szCs w:val="52"/>
        </w:rPr>
        <w:t>目录</w:t>
      </w:r>
    </w:p>
    <w:p w14:paraId="30AD3B15">
      <w:pPr>
        <w:ind w:firstLine="3080" w:firstLineChars="700"/>
        <w:rPr>
          <w:rFonts w:ascii="黑体" w:hAnsi="黑体" w:eastAsia="黑体"/>
          <w:sz w:val="44"/>
          <w:szCs w:val="44"/>
        </w:rPr>
      </w:pPr>
    </w:p>
    <w:p w14:paraId="58F032B3">
      <w:pPr>
        <w:pStyle w:val="20"/>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14:paraId="2E5E2928">
      <w:pPr>
        <w:rPr>
          <w:rFonts w:ascii="仿宋_GB2312" w:hAnsi="黑体" w:eastAsia="仿宋_GB2312"/>
          <w:sz w:val="32"/>
          <w:szCs w:val="32"/>
        </w:rPr>
      </w:pPr>
      <w:r>
        <w:rPr>
          <w:rFonts w:hint="eastAsia" w:ascii="仿宋_GB2312" w:hAnsi="黑体" w:eastAsia="仿宋_GB2312"/>
          <w:sz w:val="32"/>
          <w:szCs w:val="32"/>
        </w:rPr>
        <w:t>（一）部门职能简介</w:t>
      </w:r>
    </w:p>
    <w:p w14:paraId="723833DE">
      <w:pPr>
        <w:rPr>
          <w:rFonts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20</w:t>
      </w:r>
      <w:r>
        <w:rPr>
          <w:rFonts w:hint="eastAsia" w:ascii="仿宋_GB2312" w:hAnsi="黑体" w:eastAsia="仿宋_GB2312"/>
          <w:sz w:val="32"/>
          <w:szCs w:val="32"/>
        </w:rPr>
        <w:t>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年重点工作</w:t>
      </w:r>
    </w:p>
    <w:p w14:paraId="782DE3CA">
      <w:pPr>
        <w:rPr>
          <w:rFonts w:ascii="黑体" w:hAnsi="黑体" w:eastAsia="黑体"/>
          <w:sz w:val="32"/>
          <w:szCs w:val="32"/>
        </w:rPr>
      </w:pPr>
      <w:r>
        <w:rPr>
          <w:rFonts w:hint="eastAsia" w:ascii="黑体" w:hAnsi="黑体" w:eastAsia="黑体"/>
          <w:sz w:val="32"/>
          <w:szCs w:val="32"/>
        </w:rPr>
        <w:t>二、部门预算单位构成</w:t>
      </w:r>
    </w:p>
    <w:p w14:paraId="12D231C0">
      <w:pPr>
        <w:rPr>
          <w:rFonts w:ascii="黑体" w:hAnsi="黑体" w:eastAsia="黑体"/>
          <w:sz w:val="32"/>
          <w:szCs w:val="32"/>
        </w:rPr>
      </w:pPr>
      <w:r>
        <w:rPr>
          <w:rFonts w:hint="eastAsia" w:ascii="黑体" w:hAnsi="黑体" w:eastAsia="黑体"/>
          <w:sz w:val="32"/>
          <w:szCs w:val="32"/>
        </w:rPr>
        <w:t>三、收支预算情况说明</w:t>
      </w:r>
    </w:p>
    <w:p w14:paraId="6DEDC45B">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14:paraId="34CF7BB5">
      <w:pPr>
        <w:rPr>
          <w:rFonts w:ascii="仿宋_GB2312" w:hAnsi="黑体" w:eastAsia="仿宋_GB2312"/>
          <w:sz w:val="32"/>
          <w:szCs w:val="32"/>
        </w:rPr>
      </w:pPr>
      <w:r>
        <w:rPr>
          <w:rFonts w:hint="eastAsia" w:ascii="仿宋_GB2312" w:hAnsi="黑体" w:eastAsia="仿宋_GB2312"/>
          <w:sz w:val="32"/>
          <w:szCs w:val="32"/>
        </w:rPr>
        <w:t>（二）支出预算情况</w:t>
      </w:r>
    </w:p>
    <w:p w14:paraId="592BDB44">
      <w:pPr>
        <w:rPr>
          <w:rFonts w:ascii="黑体" w:hAnsi="黑体" w:eastAsia="黑体"/>
          <w:sz w:val="32"/>
          <w:szCs w:val="32"/>
        </w:rPr>
      </w:pPr>
      <w:r>
        <w:rPr>
          <w:rFonts w:hint="eastAsia" w:ascii="黑体" w:hAnsi="黑体" w:eastAsia="黑体"/>
          <w:sz w:val="32"/>
          <w:szCs w:val="32"/>
        </w:rPr>
        <w:t>四、财政拨款收支预算情况说明</w:t>
      </w:r>
    </w:p>
    <w:p w14:paraId="114E36AE">
      <w:pPr>
        <w:rPr>
          <w:rFonts w:ascii="黑体" w:hAnsi="黑体" w:eastAsia="黑体"/>
          <w:sz w:val="32"/>
          <w:szCs w:val="32"/>
        </w:rPr>
      </w:pPr>
      <w:r>
        <w:rPr>
          <w:rFonts w:hint="eastAsia" w:ascii="黑体" w:hAnsi="黑体" w:eastAsia="黑体"/>
          <w:sz w:val="32"/>
          <w:szCs w:val="32"/>
        </w:rPr>
        <w:t>五、一般公共预算当年拨款情况说明</w:t>
      </w:r>
    </w:p>
    <w:p w14:paraId="3A2D4466">
      <w:pPr>
        <w:rPr>
          <w:rFonts w:ascii="仿宋_GB2312" w:hAnsi="黑体" w:eastAsia="仿宋_GB2312"/>
          <w:sz w:val="32"/>
          <w:szCs w:val="32"/>
        </w:rPr>
      </w:pPr>
      <w:r>
        <w:rPr>
          <w:rFonts w:hint="eastAsia" w:ascii="仿宋_GB2312" w:hAnsi="黑体" w:eastAsia="仿宋_GB2312"/>
          <w:sz w:val="32"/>
          <w:szCs w:val="32"/>
        </w:rPr>
        <w:t>（一）一般公共预算当年拨款规模变化情况</w:t>
      </w:r>
    </w:p>
    <w:p w14:paraId="681459A9">
      <w:pPr>
        <w:rPr>
          <w:rFonts w:ascii="仿宋_GB2312" w:hAnsi="黑体" w:eastAsia="仿宋_GB2312"/>
          <w:sz w:val="32"/>
          <w:szCs w:val="32"/>
        </w:rPr>
      </w:pPr>
      <w:r>
        <w:rPr>
          <w:rFonts w:hint="eastAsia" w:ascii="仿宋_GB2312" w:hAnsi="黑体" w:eastAsia="仿宋_GB2312"/>
          <w:sz w:val="32"/>
          <w:szCs w:val="32"/>
        </w:rPr>
        <w:t>（二）一般公共预算当年拨款结构情况</w:t>
      </w:r>
    </w:p>
    <w:p w14:paraId="73682791">
      <w:pPr>
        <w:rPr>
          <w:rFonts w:ascii="仿宋_GB2312" w:hAnsi="黑体" w:eastAsia="仿宋_GB2312"/>
          <w:sz w:val="32"/>
          <w:szCs w:val="32"/>
        </w:rPr>
      </w:pPr>
      <w:r>
        <w:rPr>
          <w:rFonts w:hint="eastAsia" w:ascii="仿宋_GB2312" w:hAnsi="黑体" w:eastAsia="仿宋_GB2312"/>
          <w:sz w:val="32"/>
          <w:szCs w:val="32"/>
        </w:rPr>
        <w:t>（三）一般公共预算当年拨款具体使用情况</w:t>
      </w:r>
    </w:p>
    <w:p w14:paraId="06B70835">
      <w:pPr>
        <w:rPr>
          <w:rFonts w:ascii="黑体" w:hAnsi="黑体" w:eastAsia="黑体"/>
          <w:sz w:val="32"/>
          <w:szCs w:val="32"/>
        </w:rPr>
      </w:pPr>
      <w:r>
        <w:rPr>
          <w:rFonts w:hint="eastAsia" w:ascii="黑体" w:hAnsi="黑体" w:eastAsia="黑体"/>
          <w:sz w:val="32"/>
          <w:szCs w:val="32"/>
        </w:rPr>
        <w:t>六、一般公共预算基本支出情况说明</w:t>
      </w:r>
    </w:p>
    <w:p w14:paraId="14C75D51">
      <w:pPr>
        <w:rPr>
          <w:rFonts w:ascii="黑体" w:hAnsi="黑体" w:eastAsia="黑体"/>
          <w:sz w:val="32"/>
          <w:szCs w:val="32"/>
        </w:rPr>
      </w:pPr>
      <w:r>
        <w:rPr>
          <w:rFonts w:hint="eastAsia" w:ascii="黑体" w:hAnsi="黑体" w:eastAsia="黑体"/>
          <w:sz w:val="32"/>
          <w:szCs w:val="32"/>
        </w:rPr>
        <w:t>七、“三公”经费财政拨款预算安排情况说明</w:t>
      </w:r>
    </w:p>
    <w:p w14:paraId="0885FFBB">
      <w:pPr>
        <w:rPr>
          <w:rFonts w:ascii="黑体" w:hAnsi="黑体" w:eastAsia="黑体"/>
          <w:sz w:val="32"/>
          <w:szCs w:val="32"/>
        </w:rPr>
      </w:pPr>
      <w:r>
        <w:rPr>
          <w:rFonts w:hint="eastAsia" w:ascii="黑体" w:hAnsi="黑体" w:eastAsia="黑体"/>
          <w:sz w:val="32"/>
          <w:szCs w:val="32"/>
        </w:rPr>
        <w:t>八、政府性基金预算支出情况说明</w:t>
      </w:r>
    </w:p>
    <w:p w14:paraId="561CA3AE">
      <w:pPr>
        <w:rPr>
          <w:rFonts w:ascii="黑体" w:hAnsi="黑体" w:eastAsia="黑体"/>
          <w:sz w:val="32"/>
          <w:szCs w:val="32"/>
        </w:rPr>
      </w:pPr>
      <w:r>
        <w:rPr>
          <w:rFonts w:hint="eastAsia" w:ascii="黑体" w:hAnsi="黑体" w:eastAsia="黑体"/>
          <w:sz w:val="32"/>
          <w:szCs w:val="32"/>
        </w:rPr>
        <w:t>九、其他重要事项的情况说明</w:t>
      </w:r>
    </w:p>
    <w:p w14:paraId="3E7C9198">
      <w:pPr>
        <w:rPr>
          <w:rFonts w:ascii="黑体" w:hAnsi="黑体" w:eastAsia="黑体"/>
          <w:sz w:val="32"/>
          <w:szCs w:val="32"/>
        </w:rPr>
      </w:pPr>
      <w:r>
        <w:rPr>
          <w:rFonts w:hint="eastAsia" w:ascii="黑体" w:hAnsi="黑体" w:eastAsia="黑体"/>
          <w:sz w:val="32"/>
          <w:szCs w:val="32"/>
        </w:rPr>
        <w:t>十、名称解释</w:t>
      </w:r>
    </w:p>
    <w:p w14:paraId="27D1F23E">
      <w:pPr>
        <w:rPr>
          <w:rFonts w:ascii="黑体" w:hAnsi="黑体" w:eastAsia="黑体"/>
          <w:sz w:val="32"/>
          <w:szCs w:val="32"/>
        </w:rPr>
      </w:pPr>
    </w:p>
    <w:p w14:paraId="27CCCB4C">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04EC1B5">
      <w:pPr>
        <w:pStyle w:val="18"/>
        <w:numPr>
          <w:ilvl w:val="0"/>
          <w:numId w:val="2"/>
        </w:numPr>
        <w:spacing w:before="0" w:line="360" w:lineRule="auto"/>
        <w:rPr>
          <w:rFonts w:ascii="??" w:hAnsi="??" w:eastAsia="宋体" w:cs="宋体"/>
          <w:sz w:val="32"/>
          <w:szCs w:val="32"/>
        </w:rPr>
      </w:pPr>
      <w:r>
        <w:rPr>
          <w:rFonts w:hint="eastAsia" w:ascii="??" w:hAnsi="??" w:eastAsia="宋体" w:cs="宋体"/>
          <w:b/>
          <w:bCs/>
          <w:sz w:val="32"/>
          <w:szCs w:val="32"/>
        </w:rPr>
        <w:t>基本职能及主要工作</w:t>
      </w:r>
    </w:p>
    <w:p w14:paraId="0221D180">
      <w:pPr>
        <w:pStyle w:val="18"/>
        <w:numPr>
          <w:ilvl w:val="0"/>
          <w:numId w:val="2"/>
        </w:numPr>
        <w:spacing w:before="0" w:line="360" w:lineRule="auto"/>
        <w:rPr>
          <w:rFonts w:ascii="??" w:hAnsi="??" w:eastAsia="宋体" w:cs="宋体"/>
          <w:sz w:val="32"/>
          <w:szCs w:val="32"/>
        </w:rPr>
      </w:pPr>
      <w:r>
        <w:rPr>
          <w:rFonts w:hint="eastAsia" w:ascii="??" w:hAnsi="??" w:eastAsia="宋体" w:cs="宋体"/>
          <w:sz w:val="32"/>
          <w:szCs w:val="32"/>
        </w:rPr>
        <w:t>（一）马尔康市住建局职能简介</w:t>
      </w:r>
    </w:p>
    <w:p w14:paraId="6C831304">
      <w:pPr>
        <w:numPr>
          <w:ilvl w:val="0"/>
          <w:numId w:val="3"/>
        </w:num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根据《中共马尔康市委、马尔康市人民政府关于印 发〈马尔康市机构改革方案〉的通知》（马尔委〔2019〕9号） 和《马尔康市深化机构改革工作领导小组、中共马尔康市委机构 编制委员会印发〈关于《马尔康市机构改革方案》的实施意见〉 的通知》（马尔机改〔2019〕1号），制定本规定。 </w:t>
      </w:r>
    </w:p>
    <w:p w14:paraId="0BF36204">
      <w:pPr>
        <w:numPr>
          <w:ilvl w:val="0"/>
          <w:numId w:val="3"/>
        </w:numPr>
        <w:adjustRightInd w:val="0"/>
        <w:snapToGrid w:val="0"/>
        <w:spacing w:line="540" w:lineRule="exact"/>
        <w:ind w:firstLine="640" w:firstLineChars="200"/>
        <w:rPr>
          <w:rFonts w:ascii="仿宋" w:hAnsi="仿宋" w:eastAsia="仿宋" w:cs="仿宋"/>
          <w:bCs/>
          <w:sz w:val="32"/>
          <w:szCs w:val="32"/>
        </w:rPr>
      </w:pPr>
      <w:r>
        <w:rPr>
          <w:rFonts w:hint="eastAsia" w:ascii="仿宋" w:hAnsi="仿宋" w:eastAsia="仿宋" w:cs="仿宋"/>
          <w:sz w:val="32"/>
          <w:szCs w:val="32"/>
        </w:rPr>
        <w:t xml:space="preserve">马尔康市住房和城乡建设局（简称市住建局）是马 尔康市人民政府工作部门，为正科级。 </w:t>
      </w:r>
    </w:p>
    <w:p w14:paraId="6FE1F86F">
      <w:pPr>
        <w:numPr>
          <w:ilvl w:val="0"/>
          <w:numId w:val="3"/>
        </w:numPr>
        <w:adjustRightInd w:val="0"/>
        <w:snapToGrid w:val="0"/>
        <w:spacing w:line="540" w:lineRule="exact"/>
        <w:ind w:firstLine="640" w:firstLineChars="200"/>
        <w:rPr>
          <w:rFonts w:ascii="仿宋" w:hAnsi="仿宋" w:eastAsia="仿宋" w:cs="仿宋"/>
          <w:bCs/>
          <w:sz w:val="32"/>
          <w:szCs w:val="32"/>
        </w:rPr>
      </w:pPr>
      <w:r>
        <w:rPr>
          <w:rFonts w:hint="eastAsia" w:ascii="仿宋" w:hAnsi="仿宋" w:eastAsia="仿宋" w:cs="仿宋"/>
          <w:sz w:val="32"/>
          <w:szCs w:val="32"/>
        </w:rPr>
        <w:t xml:space="preserve">坚持和加强党的全面领导，根据《中国共产党党组 工作条例》，市住建局党组主要职责是： </w:t>
      </w:r>
    </w:p>
    <w:p w14:paraId="4782C571">
      <w:pPr>
        <w:numPr>
          <w:ilvl w:val="0"/>
          <w:numId w:val="4"/>
        </w:numPr>
        <w:adjustRightInd w:val="0"/>
        <w:snapToGrid w:val="0"/>
        <w:spacing w:line="540" w:lineRule="exact"/>
        <w:ind w:firstLine="960"/>
        <w:rPr>
          <w:rFonts w:ascii="仿宋" w:hAnsi="仿宋" w:eastAsia="仿宋" w:cs="仿宋"/>
          <w:bCs/>
          <w:sz w:val="32"/>
          <w:szCs w:val="32"/>
        </w:rPr>
      </w:pPr>
      <w:r>
        <w:rPr>
          <w:rFonts w:hint="eastAsia" w:ascii="仿宋" w:hAnsi="仿宋" w:eastAsia="仿宋" w:cs="仿宋"/>
          <w:sz w:val="32"/>
          <w:szCs w:val="32"/>
        </w:rPr>
        <w:t xml:space="preserve">发挥把方向、管大局、保落实的领导作用，全面履行 领导责任，加强对本单位业务工作和党的√的领导，推动党的 主张和重大决策转化为法律法规、政策政令和社会共识，确保党 的理论和路线方针政策的贯彻落实。 </w:t>
      </w:r>
    </w:p>
    <w:p w14:paraId="35D586BA">
      <w:pPr>
        <w:numPr>
          <w:ilvl w:val="0"/>
          <w:numId w:val="4"/>
        </w:numPr>
        <w:adjustRightInd w:val="0"/>
        <w:snapToGrid w:val="0"/>
        <w:spacing w:line="540" w:lineRule="exact"/>
        <w:ind w:firstLine="960"/>
        <w:rPr>
          <w:rFonts w:ascii="仿宋" w:hAnsi="仿宋" w:eastAsia="仿宋" w:cs="仿宋"/>
          <w:bCs/>
          <w:sz w:val="32"/>
          <w:szCs w:val="32"/>
        </w:rPr>
      </w:pPr>
      <w:r>
        <w:rPr>
          <w:rFonts w:hint="eastAsia" w:ascii="仿宋" w:hAnsi="仿宋" w:eastAsia="仿宋" w:cs="仿宋"/>
          <w:sz w:val="32"/>
          <w:szCs w:val="32"/>
        </w:rPr>
        <w:t xml:space="preserve">讨论和决定本单位下列重大问题：贯彻落实党中央以 及上级党组织决策部署的重大举措，制定拟订法律法规规章和重 要规范性文件中的重大事项，业务工作发展战略、重大部署和重 大事项，重大改革事项，重要人事任免等事项，重大项目安排， 大额资金使用、大额资金处置、预算安排，职能配置、机构设置、 人员编制事项，督查检查、考核奖惩等重大事项，重大思想动态的政治引导，党的建设方面的重大事项，其他应当由党组讨论和 决定的重大问题。 </w:t>
      </w:r>
    </w:p>
    <w:p w14:paraId="682FEBFC">
      <w:pPr>
        <w:numPr>
          <w:ilvl w:val="0"/>
          <w:numId w:val="4"/>
        </w:numPr>
        <w:adjustRightInd w:val="0"/>
        <w:snapToGrid w:val="0"/>
        <w:spacing w:line="540" w:lineRule="exact"/>
        <w:ind w:firstLine="960"/>
        <w:rPr>
          <w:rFonts w:ascii="仿宋" w:hAnsi="仿宋" w:eastAsia="仿宋" w:cs="仿宋"/>
          <w:bCs/>
          <w:sz w:val="32"/>
          <w:szCs w:val="32"/>
        </w:rPr>
      </w:pPr>
      <w:r>
        <w:rPr>
          <w:rFonts w:hint="eastAsia" w:ascii="仿宋" w:hAnsi="仿宋" w:eastAsia="仿宋" w:cs="仿宋"/>
          <w:sz w:val="32"/>
          <w:szCs w:val="32"/>
        </w:rPr>
        <w:t xml:space="preserve">必须坚持党建工作与业务工作同谋划、同部署、同推 进、同考核，加强对本单位党的建设的领导，落实新时代党的建 设总要求，履行全面从严治党责任，提高党的建设质量。 </w:t>
      </w:r>
    </w:p>
    <w:p w14:paraId="21B201C9">
      <w:pPr>
        <w:numPr>
          <w:ilvl w:val="0"/>
          <w:numId w:val="4"/>
        </w:numPr>
        <w:adjustRightInd w:val="0"/>
        <w:snapToGrid w:val="0"/>
        <w:spacing w:line="540" w:lineRule="exact"/>
        <w:ind w:firstLine="960"/>
        <w:rPr>
          <w:rFonts w:ascii="仿宋" w:hAnsi="仿宋" w:eastAsia="仿宋" w:cs="仿宋"/>
          <w:bCs/>
          <w:sz w:val="32"/>
          <w:szCs w:val="32"/>
        </w:rPr>
      </w:pPr>
      <w:r>
        <w:rPr>
          <w:rFonts w:hint="eastAsia" w:ascii="仿宋" w:hAnsi="仿宋" w:eastAsia="仿宋" w:cs="仿宋"/>
          <w:sz w:val="32"/>
          <w:szCs w:val="32"/>
        </w:rPr>
        <w:t>加强对本单位群团工作的领导，重视对党外干部、人 才的培养使用，更好团结带领党外干部和群众，凝聚各方面智慧 力量，完成党中央以及上级党组织交给的任务。</w:t>
      </w:r>
    </w:p>
    <w:p w14:paraId="538A4A42">
      <w:pPr>
        <w:numPr>
          <w:ilvl w:val="0"/>
          <w:numId w:val="3"/>
        </w:num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市住建局贯彻落实党中央关于住房和城乡建设工 作的方针政策和省委、州委、市委的决策部署，在履行职责过程 中坚持和加强党对住房和城乡建设工作的集中统一领导。主要职 责是：</w:t>
      </w:r>
    </w:p>
    <w:p w14:paraId="1363E443">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 （一）贯彻执行国家、省、州住房保障和城乡建设、管理的 法律法规和方针、政策。拟订住房保障、工程建设、城乡建设、 建筑业、住宅与房地产业有关地方性法规和规章草案，负责本系 统、本部门行政监管工作，落实行政监管责任制。 </w:t>
      </w:r>
    </w:p>
    <w:p w14:paraId="508932D6">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（二）承担推进住房制度改革、保障城镇低收入家庭住房的 责任。拟订全市住房及住房保障相关政策并指导实施，指导住房 建设和住房制度改革。拟订公共租赁住房规划及政策，会同有关 部门做好国家、省、州、市有关公共租赁住房资金使用监管并组 织实施公共租赁住房建设。 </w:t>
      </w:r>
    </w:p>
    <w:p w14:paraId="435A43BF">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（三）承担贯彻执行全市工程建设标准体系的责任。组织实 施工程建设实施阶段的国家标准、四川省统一定额和行业标准定额，拟订建设项目可行性研究评价方法、经济参数、建设标准和 工程造价的管理制度，指导监督各类工程建设标准定额的实施和 工程造价计价，组织发布工程造价信息。 </w:t>
      </w:r>
    </w:p>
    <w:p w14:paraId="6D1745C3">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（四）承担规范房地产市场秩序、监督管理房地产市场的责 任。会同有关部门组织拟订房地产市场监督管理政策并监督执行， 贯彻执行房地产业的行业发展规划和产业政策，负责房地产开发、 房产交易、房屋租赁、房屋面积管理、危房评定、白蚁防治、房 地产估价与经纪管理、物业管理、国有土地上房屋征收拆迁的工 作。 </w:t>
      </w:r>
    </w:p>
    <w:p w14:paraId="3715DD48">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（五）承担监督管理建筑市场、规范市场各方主体行为的责 任。指导全市建筑活动，拟订工程建设、建筑业发展战略、中长 期规划、改革方案、产业政策、规章制度并监督执行。配合相关 部门开展房屋建筑和市政基础设施工程项目招投标活动的监督。 拟订建设工程施工、监理以及规范建筑市场各方主体行为的规章 制度并监督执行。负责房屋建筑工程和市政基础设施工程防雷装 置设计审核以及建设工程消防设计审查验收。负责建筑工程质量 安全的监督管理工作，拟订建筑工程质量、建筑安全生产和竣工 验收备案的政策、规章制度并监督执行，组织或参与工程重大质 量、安全事故的调查处理。</w:t>
      </w:r>
    </w:p>
    <w:p w14:paraId="5CC21713">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 （六）承担指导城市勘察和市政工程测量建设工程的责任。 拟订勘察设计咨询业发展规划、产业及技术政策；拟订规范勘察 设计咨询市场各方主体行为的规章制度并监督实施。指导建设工程抗震设防工作，组织开展城镇建筑物抗震性能普查、鉴定加固 和改造工作，指导村镇和农村建设抗震工作。 </w:t>
      </w:r>
    </w:p>
    <w:p w14:paraId="5BFB6CAB">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（七）承担指导城镇建设管理的责任。拟订城镇建设的政 策并指导实施，指导城镇排涝工作，指导城镇建设档案管理工作。 负责统筹协调城市重大市政基础设施建设项目的推进；指导城镇 供水（节水）、排水（污水）、道路、桥梁及相关配套设施的建 设运营维护监督管理工作；指导综合管廊（管线）、黑臭水体、 停车设施等建设管理（治理）工作；指导城市（县城）建成区防 汛抗旱相关工作。 </w:t>
      </w:r>
    </w:p>
    <w:p w14:paraId="52952475">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（八）承担规范和指导村镇建设的责任。拟订村庄和小城 镇建设政策并指导实施，农村住房建设管理和危房改造，指导小 城镇环境改善、传统村落建设工作，指导和组织各类村镇建设试 点工作，指导乡村生活垃圾处理及收转运处置管理等工作，指导 受灾村镇及国家大型重点建设项目地区村镇迁建、重建的管理工 作。</w:t>
      </w:r>
    </w:p>
    <w:p w14:paraId="7CF32AD1">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 （九）指导城市生态保护和修复、生物多样性保护、城市风 貌管控等工作；指导城市燃气、餐厨垃圾收集处理的监督管理工 作。 </w:t>
      </w:r>
    </w:p>
    <w:p w14:paraId="75EAF227">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（十）承担推进建筑节能、城镇减排的责任。会同有关部门 拟订建筑节能政策、规划并监督实施，组织实施重大建筑节能项 目，推进城镇减排。组织实施重点科技项目成果转化工作。承担 推进墙体材料革新的责任。</w:t>
      </w:r>
    </w:p>
    <w:p w14:paraId="57E0ACE2">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（十一）制定建设行业人才培养和教育发展规划并组织实施， 指导建设行业科技人才队伍建设和执业资格管理工作。负责住房 和城乡建设系统的信访工作，督查督办重大信访案件。开展住房 和城乡建设方面的交流与合作。指导行业廉政建设、诚信体系建 设、社会保险、劳动标准和专业技术职称工作。 </w:t>
      </w:r>
    </w:p>
    <w:p w14:paraId="6A80EF9D">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（十二）在城乡建设管理中严格执行城乡规划、工程勘察、 设计、施工、监理和竣工验收的国家标准、规范，严格执行安全 生产的强制性规定，依法保障安全生产的措施作为核发施工许可 的重要条件。负责制定完善建筑安全生产监督管理规定并监督执 行，对房屋建筑和市政工程施工的安全生产进行监督管理。负责 对房屋建筑和市政基础设施工程施工场地用施工起重机械、专用 机动车辆的安装、使用进行监督管理。 </w:t>
      </w:r>
    </w:p>
    <w:p w14:paraId="7FB08E1C">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（十三）负责职责范围内的职业健康、安全生产、生态环境 保护、审批服务便民化工作。 </w:t>
      </w:r>
    </w:p>
    <w:p w14:paraId="076D9F46">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（十四）负责贯彻执行省、州、市有关城乡环境综合治理的 方针、政策和法规。负责省、州、市有关城乡环境综合治理专项 工作的组织实施。负责督促检查全市城乡环境综合治理工作。负 责完善全市城乡环境综合治理制度建设工作。负责指导协调全市 城乡环境综合治理相关工作。 </w:t>
      </w:r>
    </w:p>
    <w:p w14:paraId="66CE97BA">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（十五）完成市委和市政府交办的其他任务。</w:t>
      </w:r>
    </w:p>
    <w:p w14:paraId="5A947607">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 xml:space="preserve"> （十六）职能转变。 常态化建立健全与相关职能部门的协作配合机制；坚持以新 发展理念为指引，推动城乡建设和住房管理高质量发展。坚持“以 项目促管理、以行业促产业”，提升重大项目建设管理统筹力度， 强化建筑质量及安全管控，加快发展绿色、环保、节能、智慧建 筑，稳步推进成品住宅，积极推进住宅产业化，不断优化人居环 境，深入推进供给侧结构性改革，健全市场体系和保障体系，稳 步推动房地产市场监管由单一的行政管控向综合施政转变，促进 房地产市场稳步健康发展。继续推进“放管服”改革，强化事中 事后监管，运用信用评价监管体系，提升服务效能，构建公正高 效营商环境。</w:t>
      </w:r>
    </w:p>
    <w:p w14:paraId="2F415149">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 xml:space="preserve"> （十七）有关职责分工 1.与市行政审批局的有关职责分工：市行政审批局负责划转 行政审批事项的审批；市住建局负责划转事项的事中事后监管， 并对市行政审批局行政审批行为实施监督。 2.与市公用事业服务中心的有关职责分工：市公用事业服务 中心负责建设完成后的城市道路、桥梁、井盖治理等的市政建设 管理维护工作；市住建局负责新建、改建、扩建城市道路等的市 政建设工作。 3.与市综合行政执法局的有关职责分工：市综合行政执法局 承担住建行业领域行政处罚权事项，负责违规违法行为查处、行 政强制、行政处罚工作；市住建局负责行业领域日常行政监督工 作，发现违法违规行为移交市综合执法局查处。 4.与市气象局的有关职责分工：市气象局负责房屋建筑工程 和市政基础设施工程防雷日常监督管理、巡查、执法；市住建局 负责房屋建筑工程和市政基础设施工程防雷装置设计审核、竣工 验收许可。 5.与市消防救援大队的有关职责分工：市消防救援大队负责 建设工程消防日常监督管理、巡查、执法；市住建局负责建设工 程消防设计审查验收。 </w:t>
      </w:r>
    </w:p>
    <w:p w14:paraId="54DEDB40">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 xml:space="preserve">第五条 市住建局设下列内设机构： </w:t>
      </w:r>
    </w:p>
    <w:p w14:paraId="390F506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综合股。负责局机关政务协调、文电处理、会务安排、政务信息、机要、保密、安全和职业健康、文书档案管理；负责城建档案管理和指导工作；负责新闻宣传、目标管理、信访、社会治理、精神文明建设、机关理论学习等工作；协调组织相关股室办理人大代表建议、政协委员提案。负责局机关机构编制管理和人事管理工作。现有财务股撤销，合并入综合股，财务人员及相关工作不做更变，综合管理中央和省、州、市级财政用于城乡建设系统的各专项资金；协调、指导和监督住房和城乡建设领域财税、价格政策的落实；负责局行政机关和直属事业单位的财务及国有资产的监督管理；负责单位财务报表、资金计划、财务档案管理。</w:t>
      </w:r>
    </w:p>
    <w:p w14:paraId="2360983E">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二）城乡建设管理股。部分职能转入建管股和村镇股后，负责组织指导行业职工培训、技能鉴定和专业技术人员的继续教育以及监督行业职业健康；负责农村建筑工匠培训和管理；拟订勘察设计咨询业发展规划、产业及技术政策；拟订规范勘察设计咨询市场各方主体行为的规章制度并监督实施；指导城市基础设施建设发展工作；拟订城市建设的政策法规、发展规划、管理措施、技术标准并监督实施；指导城市相关市政基础设施专项规划编制工作；负责统筹协调城市重大市政基础设施建设项目的推进；指导城镇供水（节水）、排水（污水）、道路、桥梁及相关配套设施的建设运营维护监督管理工作；指导海绵城市、综合管廊（管线）、黑臭水体、停车设施等建设管理（治理）工作；审批店招店牌户外广告牌；指导城市（县城）建成区防汛抗旱相关工作。</w:t>
      </w:r>
    </w:p>
    <w:p w14:paraId="3C0D3015">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指导城市生态保护和修复、生物多样性保护、城市风貌管控、城市设计等工作；指导城市燃气、餐厨垃圾收集处理的监督管理工作。以及局党组安排的其他工作。</w:t>
      </w:r>
    </w:p>
    <w:p w14:paraId="2702336A">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三）住房保障股。部分职能转入村镇股后，拟订全市住房政策、规章制度并组织实施；指导全市住房建设和住房制度改革；执行进城定居农民的住房政策；参与制定物业服务企业资质标准实施办法并监督执行。负责全市廉租房等保障性住房和老旧小区的建设、发展规划、资金安排的监督实施。负责物业服务企业行业监督管理。以及局党组安排的其他工作。</w:t>
      </w:r>
    </w:p>
    <w:p w14:paraId="37DC3937">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四）城乡环境综合治理服务中心。根据《中共阿坝州委机构编制委员会关于＜阿坝州城乡规划建设和住房保障局关于设立城乡环境综合治理机构配备人员的请示＞的批复》（阿编发2012）106号）批准：“各县设立城乡环境综合治理管理办公室，为县城乡规划建设和住房保障局直属副科级财政全额拨款事业单位，核定事业编制4名，副科级领导职数1名”。建议恢复城乡环境综合治理服务中心，负责贯彻执行省、州、市有关城乡环境综合治理的方针、政策和法规。负责省、州、市有关城乡环境综合治理专项工作的组织实施。负责督促检查全市城乡环境综合治理工作。负责完善全市城乡环境综合治理制度建设工作。负责指导协调全市城乡环境综合治理相关工作。成立后同时将城市治理委员会设在该中心。以及局党组安排的其他工作。</w:t>
      </w:r>
    </w:p>
    <w:p w14:paraId="16359DFB">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五）村镇股。新设立村镇股，负责指导乡镇和村庄建设工作；拟订村镇建设发展战略和政策并监督实施；组织村镇建设相关试点工作，指导全市小城镇建设、传统村落建设工作；指导乡村建筑风貌引导、保护利用乡土建筑文化等工作；指导村镇生活垃圾处理及收转运处置管理等工作；指导农村住房建设、危旧房改造及农房建设管理人才培训等工作；承担历史文化名镇、名村的审核报批、保护和监督管理有关工作。指导农村住房建设、危房改造管理。以及局党组安排的其他工作。</w:t>
      </w:r>
    </w:p>
    <w:p w14:paraId="0E2ECF9C">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 xml:space="preserve">第六条 市住建局行政编制8名。其中：局长1名，副局长2 名，机关党组织按党委有关规定配备；股级领导职数5名。 机关工勤编制2名。 </w:t>
      </w:r>
    </w:p>
    <w:p w14:paraId="4D7648B4">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第七条 市住建局所属事业单位的设置、职责和编制事项另 行规定。</w:t>
      </w:r>
    </w:p>
    <w:p w14:paraId="4513E9E7">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 xml:space="preserve"> 第八条 本规定由中共马尔康市委负责解释，其调整由中共 马尔康市委机构编制委员会办公室按规定程序办理。 </w:t>
      </w:r>
    </w:p>
    <w:p w14:paraId="4EBF515B">
      <w:pPr>
        <w:adjustRightInd w:val="0"/>
        <w:snapToGrid w:val="0"/>
        <w:spacing w:line="540" w:lineRule="exact"/>
        <w:ind w:firstLine="1280" w:firstLineChars="400"/>
        <w:rPr>
          <w:rFonts w:ascii="仿宋" w:hAnsi="仿宋" w:eastAsia="仿宋" w:cs="仿宋"/>
          <w:bCs/>
          <w:sz w:val="32"/>
          <w:szCs w:val="32"/>
        </w:rPr>
      </w:pPr>
      <w:r>
        <w:rPr>
          <w:rFonts w:hint="eastAsia" w:ascii="仿宋" w:hAnsi="仿宋" w:eastAsia="仿宋" w:cs="仿宋"/>
          <w:sz w:val="32"/>
          <w:szCs w:val="32"/>
        </w:rPr>
        <w:t>第九条 本规定自2023年9月30日起施行。</w:t>
      </w:r>
    </w:p>
    <w:p w14:paraId="02D90911">
      <w:pPr>
        <w:pStyle w:val="18"/>
        <w:spacing w:before="0" w:line="360" w:lineRule="auto"/>
        <w:ind w:left="481"/>
        <w:rPr>
          <w:rFonts w:ascii="??" w:hAnsi="??" w:eastAsia="宋体" w:cs="宋体"/>
          <w:sz w:val="32"/>
          <w:szCs w:val="32"/>
        </w:rPr>
      </w:pPr>
    </w:p>
    <w:p w14:paraId="1E659571">
      <w:pPr>
        <w:pStyle w:val="18"/>
        <w:spacing w:before="0" w:line="360" w:lineRule="auto"/>
        <w:ind w:left="481"/>
        <w:rPr>
          <w:rFonts w:ascii="??" w:hAnsi="??" w:eastAsia="宋体" w:cs="宋体"/>
          <w:sz w:val="32"/>
          <w:szCs w:val="32"/>
        </w:rPr>
      </w:pPr>
      <w:r>
        <w:rPr>
          <w:rFonts w:hint="eastAsia" w:ascii="??" w:hAnsi="??" w:eastAsia="宋体" w:cs="宋体"/>
          <w:sz w:val="32"/>
          <w:szCs w:val="32"/>
        </w:rPr>
        <w:t>（二）马尔康市住建局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4</w:t>
      </w:r>
      <w:r>
        <w:rPr>
          <w:rFonts w:hint="eastAsia" w:ascii="??" w:hAnsi="??" w:eastAsia="宋体" w:cs="宋体"/>
          <w:sz w:val="32"/>
          <w:szCs w:val="32"/>
        </w:rPr>
        <w:t>年重点工作</w:t>
      </w:r>
    </w:p>
    <w:p w14:paraId="68B30F85">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一、单位基本情况</w:t>
      </w:r>
    </w:p>
    <w:p w14:paraId="43761B8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（一）人员情况</w:t>
      </w:r>
    </w:p>
    <w:p w14:paraId="3745BAF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全局共有编制43名，其中公务员10人，行政工勤2人，事业编制31人。全局共有员工40名，其中3人借调，实际在岗人员37名。聘用驾驶员2人。</w:t>
      </w:r>
    </w:p>
    <w:p w14:paraId="731D9363">
      <w:pPr>
        <w:keepNext w:val="0"/>
        <w:keepLines w:val="0"/>
        <w:pageBreakBefore w:val="0"/>
        <w:widowControl/>
        <w:numPr>
          <w:ilvl w:val="0"/>
          <w:numId w:val="5"/>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机构设置</w:t>
      </w:r>
    </w:p>
    <w:p w14:paraId="0C1F692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黑体" w:hAnsi="黑体" w:eastAsia="黑体" w:cs="黑体"/>
          <w:b w:val="0"/>
          <w:bCs/>
          <w:color w:val="auto"/>
          <w:sz w:val="32"/>
          <w:szCs w:val="32"/>
          <w:highlight w:val="none"/>
          <w:lang w:val="en-US" w:eastAsia="zh-CN"/>
        </w:rPr>
      </w:pPr>
      <w:r>
        <w:rPr>
          <w:rFonts w:hint="eastAsia" w:ascii="仿宋_GB2312" w:hAnsi="仿宋_GB2312" w:eastAsia="仿宋_GB2312" w:cs="仿宋_GB2312"/>
          <w:kern w:val="2"/>
          <w:sz w:val="32"/>
          <w:szCs w:val="24"/>
          <w:lang w:val="en-US" w:eastAsia="zh-CN" w:bidi="ar-SA"/>
        </w:rPr>
        <w:t>现有股室：城建股、建管股、保障性住房建设管理服务中心、房屋交易中心、质安站、市政公用服务中心、市环卫服务中心。</w:t>
      </w:r>
    </w:p>
    <w:p w14:paraId="07AC80F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二、2024年具体工作开展情况</w:t>
      </w:r>
    </w:p>
    <w:p w14:paraId="166C4C95">
      <w:pPr>
        <w:keepNext w:val="0"/>
        <w:keepLines w:val="0"/>
        <w:pageBreakBefore w:val="0"/>
        <w:numPr>
          <w:ilvl w:val="0"/>
          <w:numId w:val="0"/>
        </w:numPr>
        <w:kinsoku/>
        <w:wordWrap/>
        <w:topLinePunct w:val="0"/>
        <w:autoSpaceDN/>
        <w:bidi w:val="0"/>
        <w:adjustRightInd/>
        <w:snapToGrid/>
        <w:spacing w:line="560" w:lineRule="exact"/>
        <w:ind w:left="640" w:leftChars="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（一）加强市政建设，提升城市承载</w:t>
      </w:r>
    </w:p>
    <w:p w14:paraId="1A909E77">
      <w:pPr>
        <w:keepNext w:val="0"/>
        <w:keepLines w:val="0"/>
        <w:pageBreakBefore w:val="0"/>
        <w:numPr>
          <w:ilvl w:val="0"/>
          <w:numId w:val="0"/>
        </w:numPr>
        <w:shd w:val="clear" w:color="auto" w:fill="auto"/>
        <w:kinsoku/>
        <w:wordWrap/>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2024年共争取项目9个，总投资39150万元，成功申报项目4个（马尔康市城市燃气管道老化更新改造项目、马尔康主城区排水改造项目、马尔康市城镇供暖配套设施建设项目、马尔康市小水沟片区市政基础设施建设项目），总金额19817万元。延续性2023年项目建设1个（沙尔宗镇污水处理站及管网配套设施建设项目）。</w:t>
      </w:r>
    </w:p>
    <w:p w14:paraId="66EC2FC2">
      <w:pPr>
        <w:keepNext w:val="0"/>
        <w:keepLines w:val="0"/>
        <w:pageBreakBefore w:val="0"/>
        <w:numPr>
          <w:ilvl w:val="0"/>
          <w:numId w:val="0"/>
        </w:numPr>
        <w:shd w:val="clear" w:color="auto" w:fill="auto"/>
        <w:kinsoku/>
        <w:wordWrap/>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1.申报安居工程配套基础设施项目中央预算内投资项目一个（该项目同时申请专项债项目），项目名称：</w:t>
      </w:r>
      <w:r>
        <w:rPr>
          <w:rFonts w:hint="eastAsia" w:ascii="仿宋_GB2312" w:hAnsi="仿宋_GB2312" w:eastAsia="仿宋_GB2312" w:cs="仿宋_GB2312"/>
          <w:b/>
          <w:bCs/>
          <w:color w:val="auto"/>
          <w:kern w:val="2"/>
          <w:sz w:val="32"/>
          <w:szCs w:val="24"/>
          <w:highlight w:val="none"/>
          <w:lang w:val="en-US" w:eastAsia="zh-CN" w:bidi="ar-SA"/>
        </w:rPr>
        <w:t>马尔康市2024年老旧小区配套基础设施建设项目</w:t>
      </w:r>
      <w:r>
        <w:rPr>
          <w:rFonts w:hint="eastAsia" w:ascii="仿宋_GB2312" w:hAnsi="仿宋_GB2312" w:eastAsia="仿宋_GB2312" w:cs="仿宋_GB2312"/>
          <w:color w:val="auto"/>
          <w:kern w:val="2"/>
          <w:sz w:val="32"/>
          <w:szCs w:val="24"/>
          <w:highlight w:val="none"/>
          <w:lang w:val="en-US" w:eastAsia="zh-CN" w:bidi="ar-SA"/>
        </w:rPr>
        <w:t>，项目立项3000万元（争取中央资金1500万元，专项债申报1500万元），目前项目完成可研编制、用地及选址意见办理，完成项目立项，项目通过市、州、省及国家发改委审查，全国排名靠后，暂无资金支持。</w:t>
      </w:r>
    </w:p>
    <w:p w14:paraId="26E2A6C0">
      <w:pPr>
        <w:keepNext w:val="0"/>
        <w:keepLines w:val="0"/>
        <w:pageBreakBefore w:val="0"/>
        <w:numPr>
          <w:ilvl w:val="0"/>
          <w:numId w:val="0"/>
        </w:numPr>
        <w:shd w:val="clear" w:color="auto" w:fill="auto"/>
        <w:kinsoku/>
        <w:wordWrap/>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w:t>
      </w:r>
      <w:r>
        <w:rPr>
          <w:rFonts w:hint="eastAsia" w:ascii="仿宋_GB2312" w:hAnsi="仿宋_GB2312" w:eastAsia="仿宋_GB2312" w:cs="仿宋_GB2312"/>
          <w:b/>
          <w:bCs/>
          <w:color w:val="auto"/>
          <w:kern w:val="2"/>
          <w:sz w:val="32"/>
          <w:szCs w:val="24"/>
          <w:highlight w:val="none"/>
          <w:lang w:val="en-US" w:eastAsia="zh-CN" w:bidi="ar-SA"/>
        </w:rPr>
        <w:t>马尔康市供水管网及配套设施改造项目</w:t>
      </w:r>
      <w:r>
        <w:rPr>
          <w:rFonts w:hint="eastAsia" w:ascii="仿宋_GB2312" w:hAnsi="仿宋_GB2312" w:eastAsia="仿宋_GB2312" w:cs="仿宋_GB2312"/>
          <w:color w:val="auto"/>
          <w:kern w:val="2"/>
          <w:sz w:val="32"/>
          <w:szCs w:val="24"/>
          <w:highlight w:val="none"/>
          <w:lang w:val="en-US" w:eastAsia="zh-CN" w:bidi="ar-SA"/>
        </w:rPr>
        <w:t>，项目总投资4887万元。完成可研编制、用地及选址意见办理，完成项目立项。</w:t>
      </w:r>
    </w:p>
    <w:p w14:paraId="7C4CA41B">
      <w:pPr>
        <w:keepNext w:val="0"/>
        <w:keepLines w:val="0"/>
        <w:pageBreakBefore w:val="0"/>
        <w:numPr>
          <w:ilvl w:val="0"/>
          <w:numId w:val="0"/>
        </w:numPr>
        <w:shd w:val="clear" w:color="auto" w:fill="auto"/>
        <w:kinsoku/>
        <w:wordWrap/>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w:t>
      </w:r>
      <w:r>
        <w:rPr>
          <w:rFonts w:hint="eastAsia" w:ascii="仿宋_GB2312" w:hAnsi="仿宋_GB2312" w:eastAsia="仿宋_GB2312" w:cs="仿宋_GB2312"/>
          <w:b/>
          <w:bCs/>
          <w:color w:val="auto"/>
          <w:kern w:val="2"/>
          <w:sz w:val="32"/>
          <w:szCs w:val="24"/>
          <w:highlight w:val="none"/>
          <w:lang w:val="en-US" w:eastAsia="zh-CN" w:bidi="ar-SA"/>
        </w:rPr>
        <w:t>马尔康市城市燃气管道老化更新改造项目</w:t>
      </w:r>
      <w:r>
        <w:rPr>
          <w:rFonts w:hint="eastAsia" w:ascii="仿宋_GB2312" w:hAnsi="仿宋_GB2312" w:eastAsia="仿宋_GB2312" w:cs="仿宋_GB2312"/>
          <w:color w:val="auto"/>
          <w:kern w:val="2"/>
          <w:sz w:val="32"/>
          <w:szCs w:val="24"/>
          <w:highlight w:val="none"/>
          <w:lang w:val="en-US" w:eastAsia="zh-CN" w:bidi="ar-SA"/>
        </w:rPr>
        <w:t>，项目总投资2900万元。完成可研编制、用地及选址意见办理，完成项目立项，获得中央资金2320万元，目前正在进行勘察设计。</w:t>
      </w:r>
    </w:p>
    <w:p w14:paraId="1D1FF6F5">
      <w:pPr>
        <w:keepNext w:val="0"/>
        <w:keepLines w:val="0"/>
        <w:pageBreakBefore w:val="0"/>
        <w:numPr>
          <w:ilvl w:val="0"/>
          <w:numId w:val="0"/>
        </w:numPr>
        <w:shd w:val="clear" w:color="auto" w:fill="auto"/>
        <w:kinsoku/>
        <w:wordWrap/>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w:t>
      </w:r>
      <w:r>
        <w:rPr>
          <w:rFonts w:hint="eastAsia" w:ascii="仿宋_GB2312" w:hAnsi="仿宋_GB2312" w:eastAsia="仿宋_GB2312" w:cs="仿宋_GB2312"/>
          <w:b/>
          <w:bCs/>
          <w:color w:val="auto"/>
          <w:kern w:val="2"/>
          <w:sz w:val="32"/>
          <w:szCs w:val="24"/>
          <w:highlight w:val="none"/>
          <w:lang w:val="en-US" w:eastAsia="zh-CN" w:bidi="ar-SA"/>
        </w:rPr>
        <w:t>马尔康市中心城区排水管网改造项目</w:t>
      </w:r>
      <w:r>
        <w:rPr>
          <w:rFonts w:hint="eastAsia" w:ascii="仿宋_GB2312" w:hAnsi="仿宋_GB2312" w:eastAsia="仿宋_GB2312" w:cs="仿宋_GB2312"/>
          <w:color w:val="auto"/>
          <w:kern w:val="2"/>
          <w:sz w:val="32"/>
          <w:szCs w:val="24"/>
          <w:highlight w:val="none"/>
          <w:lang w:val="en-US" w:eastAsia="zh-CN" w:bidi="ar-SA"/>
        </w:rPr>
        <w:t>，项目总投资4995万元。完成可研编制、用地及选址意见办理，完成项目立项。</w:t>
      </w:r>
    </w:p>
    <w:p w14:paraId="1006CA7A">
      <w:pPr>
        <w:keepNext w:val="0"/>
        <w:keepLines w:val="0"/>
        <w:pageBreakBefore w:val="0"/>
        <w:numPr>
          <w:ilvl w:val="0"/>
          <w:numId w:val="0"/>
        </w:numPr>
        <w:shd w:val="clear" w:color="auto" w:fill="auto"/>
        <w:kinsoku/>
        <w:wordWrap/>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5.</w:t>
      </w:r>
      <w:r>
        <w:rPr>
          <w:rFonts w:hint="eastAsia" w:ascii="仿宋_GB2312" w:hAnsi="仿宋_GB2312" w:eastAsia="仿宋_GB2312" w:cs="仿宋_GB2312"/>
          <w:b/>
          <w:bCs/>
          <w:color w:val="auto"/>
          <w:kern w:val="2"/>
          <w:sz w:val="32"/>
          <w:szCs w:val="24"/>
          <w:highlight w:val="none"/>
          <w:lang w:val="en-US" w:eastAsia="zh-CN" w:bidi="ar-SA"/>
        </w:rPr>
        <w:t>马尔康主城区排水改造项目</w:t>
      </w:r>
      <w:r>
        <w:rPr>
          <w:rFonts w:hint="eastAsia" w:ascii="仿宋_GB2312" w:hAnsi="仿宋_GB2312" w:eastAsia="仿宋_GB2312" w:cs="仿宋_GB2312"/>
          <w:color w:val="auto"/>
          <w:kern w:val="2"/>
          <w:sz w:val="32"/>
          <w:szCs w:val="24"/>
          <w:highlight w:val="none"/>
          <w:lang w:val="en-US" w:eastAsia="zh-CN" w:bidi="ar-SA"/>
        </w:rPr>
        <w:t>，项目总投资4925万元。完成可研编制、用地及选址意见办理，完成项目立项。获得超长期国债3940万元，目前项目正在进行勘察设计工作。</w:t>
      </w:r>
    </w:p>
    <w:p w14:paraId="7DC7528D">
      <w:pPr>
        <w:keepNext w:val="0"/>
        <w:keepLines w:val="0"/>
        <w:pageBreakBefore w:val="0"/>
        <w:numPr>
          <w:ilvl w:val="0"/>
          <w:numId w:val="0"/>
        </w:numPr>
        <w:shd w:val="clear" w:color="auto" w:fill="auto"/>
        <w:kinsoku/>
        <w:wordWrap/>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w:t>
      </w:r>
      <w:r>
        <w:rPr>
          <w:rFonts w:hint="eastAsia" w:ascii="仿宋_GB2312" w:hAnsi="仿宋_GB2312" w:eastAsia="仿宋_GB2312" w:cs="仿宋_GB2312"/>
          <w:b/>
          <w:bCs/>
          <w:color w:val="auto"/>
          <w:kern w:val="2"/>
          <w:sz w:val="32"/>
          <w:szCs w:val="24"/>
          <w:highlight w:val="none"/>
          <w:lang w:val="en-US" w:eastAsia="zh-CN" w:bidi="ar-SA"/>
        </w:rPr>
        <w:t>马尔康市马尔康镇阿日大桥至日瓦坝大桥市政道路建设项目</w:t>
      </w:r>
      <w:r>
        <w:rPr>
          <w:rFonts w:hint="eastAsia" w:ascii="仿宋_GB2312" w:hAnsi="仿宋_GB2312" w:eastAsia="仿宋_GB2312" w:cs="仿宋_GB2312"/>
          <w:color w:val="auto"/>
          <w:kern w:val="2"/>
          <w:sz w:val="32"/>
          <w:szCs w:val="24"/>
          <w:highlight w:val="none"/>
          <w:lang w:val="en-US" w:eastAsia="zh-CN" w:bidi="ar-SA"/>
        </w:rPr>
        <w:t>，项目总投资4450万元。完成可研编制、用地及选址意见办理，完成项目立项。正在争取2025年中央资金，正在勘察设计招标。</w:t>
      </w:r>
    </w:p>
    <w:p w14:paraId="3FBE12D8">
      <w:pPr>
        <w:keepNext w:val="0"/>
        <w:keepLines w:val="0"/>
        <w:pageBreakBefore w:val="0"/>
        <w:numPr>
          <w:ilvl w:val="0"/>
          <w:numId w:val="0"/>
        </w:numPr>
        <w:shd w:val="clear" w:color="auto" w:fill="auto"/>
        <w:kinsoku/>
        <w:wordWrap/>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w:t>
      </w:r>
      <w:r>
        <w:rPr>
          <w:rFonts w:hint="eastAsia" w:ascii="仿宋_GB2312" w:hAnsi="仿宋_GB2312" w:eastAsia="仿宋_GB2312" w:cs="仿宋_GB2312"/>
          <w:b/>
          <w:bCs/>
          <w:color w:val="auto"/>
          <w:kern w:val="2"/>
          <w:sz w:val="32"/>
          <w:szCs w:val="24"/>
          <w:highlight w:val="none"/>
          <w:lang w:val="en-US" w:eastAsia="zh-CN" w:bidi="ar-SA"/>
        </w:rPr>
        <w:t>马尔康市城镇供暖配套设施建设项目</w:t>
      </w:r>
      <w:r>
        <w:rPr>
          <w:rFonts w:hint="eastAsia" w:ascii="仿宋_GB2312" w:hAnsi="仿宋_GB2312" w:eastAsia="仿宋_GB2312" w:cs="仿宋_GB2312"/>
          <w:color w:val="auto"/>
          <w:kern w:val="2"/>
          <w:sz w:val="32"/>
          <w:szCs w:val="24"/>
          <w:highlight w:val="none"/>
          <w:lang w:val="en-US" w:eastAsia="zh-CN" w:bidi="ar-SA"/>
        </w:rPr>
        <w:t>，项目总投资8174万元。目前项目已开工建设，已完成项目总投资20%。</w:t>
      </w:r>
    </w:p>
    <w:p w14:paraId="451C297A">
      <w:pPr>
        <w:keepNext w:val="0"/>
        <w:keepLines w:val="0"/>
        <w:pageBreakBefore w:val="0"/>
        <w:numPr>
          <w:ilvl w:val="0"/>
          <w:numId w:val="0"/>
        </w:numPr>
        <w:shd w:val="clear" w:color="auto" w:fill="auto"/>
        <w:kinsoku/>
        <w:wordWrap/>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w:t>
      </w:r>
      <w:r>
        <w:rPr>
          <w:rFonts w:hint="eastAsia" w:ascii="仿宋_GB2312" w:hAnsi="仿宋_GB2312" w:eastAsia="仿宋_GB2312" w:cs="仿宋_GB2312"/>
          <w:b/>
          <w:bCs/>
          <w:color w:val="auto"/>
          <w:kern w:val="2"/>
          <w:sz w:val="32"/>
          <w:szCs w:val="24"/>
          <w:highlight w:val="none"/>
          <w:lang w:val="en-US" w:eastAsia="zh-CN" w:bidi="ar-SA"/>
        </w:rPr>
        <w:t>马尔康市马尔康镇本真村片区军民连心桥建设项目</w:t>
      </w:r>
      <w:r>
        <w:rPr>
          <w:rFonts w:hint="eastAsia" w:ascii="仿宋_GB2312" w:hAnsi="仿宋_GB2312" w:eastAsia="仿宋_GB2312" w:cs="仿宋_GB2312"/>
          <w:color w:val="auto"/>
          <w:kern w:val="2"/>
          <w:sz w:val="32"/>
          <w:szCs w:val="24"/>
          <w:highlight w:val="none"/>
          <w:lang w:val="en-US" w:eastAsia="zh-CN" w:bidi="ar-SA"/>
        </w:rPr>
        <w:t>，项目总投资2001万元。完成可研编制、用地及选址意见办理，完成项目立项。正在争取2025年中央资金，若获得中央预算资金，项目力争2025年建成。</w:t>
      </w:r>
    </w:p>
    <w:p w14:paraId="4804824A">
      <w:pPr>
        <w:pStyle w:val="5"/>
        <w:keepNext w:val="0"/>
        <w:keepLines w:val="0"/>
        <w:pageBreakBefore w:val="0"/>
        <w:numPr>
          <w:ilvl w:val="0"/>
          <w:numId w:val="0"/>
        </w:numPr>
        <w:kinsoku/>
        <w:wordWrap/>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w:t>
      </w:r>
      <w:r>
        <w:rPr>
          <w:rFonts w:hint="eastAsia" w:ascii="仿宋_GB2312" w:hAnsi="仿宋_GB2312" w:eastAsia="仿宋_GB2312" w:cs="仿宋_GB2312"/>
          <w:b/>
          <w:bCs/>
          <w:color w:val="auto"/>
          <w:kern w:val="2"/>
          <w:sz w:val="32"/>
          <w:szCs w:val="24"/>
          <w:highlight w:val="none"/>
          <w:lang w:val="en-US" w:eastAsia="zh-CN" w:bidi="ar-SA"/>
        </w:rPr>
        <w:t>马尔康市小水沟片区市政基础设施建设项目</w:t>
      </w:r>
      <w:r>
        <w:rPr>
          <w:rFonts w:hint="eastAsia" w:ascii="仿宋_GB2312" w:hAnsi="仿宋_GB2312" w:eastAsia="仿宋_GB2312" w:cs="仿宋_GB2312"/>
          <w:color w:val="auto"/>
          <w:kern w:val="2"/>
          <w:sz w:val="32"/>
          <w:szCs w:val="24"/>
          <w:highlight w:val="none"/>
          <w:lang w:val="en-US" w:eastAsia="zh-CN" w:bidi="ar-SA"/>
        </w:rPr>
        <w:t>，项目总投资3818万元，已到位3054万元。项目于11月2日开工进场，目前完成项目总投资15%，项目力争2025年建成。</w:t>
      </w:r>
    </w:p>
    <w:p w14:paraId="57F303A0">
      <w:pPr>
        <w:pStyle w:val="5"/>
        <w:keepNext w:val="0"/>
        <w:keepLines w:val="0"/>
        <w:pageBreakBefore w:val="0"/>
        <w:numPr>
          <w:ilvl w:val="0"/>
          <w:numId w:val="0"/>
        </w:numPr>
        <w:kinsoku/>
        <w:wordWrap/>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w:t>
      </w:r>
      <w:r>
        <w:rPr>
          <w:rFonts w:hint="eastAsia" w:ascii="仿宋_GB2312" w:hAnsi="仿宋_GB2312" w:eastAsia="仿宋_GB2312" w:cs="仿宋_GB2312"/>
          <w:b/>
          <w:bCs/>
          <w:color w:val="auto"/>
          <w:kern w:val="2"/>
          <w:sz w:val="32"/>
          <w:szCs w:val="24"/>
          <w:highlight w:val="none"/>
          <w:lang w:val="en-US" w:eastAsia="zh-CN" w:bidi="ar-SA"/>
        </w:rPr>
        <w:t>沙尔宗镇污水处理站及管网配套设施建设项目</w:t>
      </w:r>
      <w:r>
        <w:rPr>
          <w:rFonts w:hint="eastAsia" w:ascii="仿宋_GB2312" w:hAnsi="仿宋_GB2312" w:eastAsia="仿宋_GB2312" w:cs="仿宋_GB2312"/>
          <w:color w:val="auto"/>
          <w:kern w:val="2"/>
          <w:sz w:val="32"/>
          <w:szCs w:val="24"/>
          <w:highlight w:val="none"/>
          <w:lang w:val="en-US" w:eastAsia="zh-CN" w:bidi="ar-SA"/>
        </w:rPr>
        <w:t>，项目总投资2624.53万元，目前项目资金已全部到位，于2023年10月开工，目前项目已完成85%。</w:t>
      </w:r>
    </w:p>
    <w:p w14:paraId="6F921E21">
      <w:pPr>
        <w:keepNext w:val="0"/>
        <w:keepLines w:val="0"/>
        <w:pageBreakBefore w:val="0"/>
        <w:numPr>
          <w:ilvl w:val="0"/>
          <w:numId w:val="0"/>
        </w:numPr>
        <w:kinsoku/>
        <w:wordWrap/>
        <w:topLinePunct w:val="0"/>
        <w:autoSpaceDN/>
        <w:bidi w:val="0"/>
        <w:adjustRightInd/>
        <w:snapToGrid/>
        <w:spacing w:line="560" w:lineRule="exact"/>
        <w:ind w:left="640" w:leftChars="0"/>
        <w:jc w:val="both"/>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（二）市政运行维护，打造宜居城乡环境</w:t>
      </w:r>
    </w:p>
    <w:p w14:paraId="3AC8F21B">
      <w:pPr>
        <w:keepNext w:val="0"/>
        <w:keepLines w:val="0"/>
        <w:pageBreakBefore w:val="0"/>
        <w:kinsoku/>
        <w:wordWrap/>
        <w:topLinePunct w:val="0"/>
        <w:autoSpaceDN/>
        <w:bidi w:val="0"/>
        <w:spacing w:line="560" w:lineRule="exact"/>
        <w:ind w:firstLine="643" w:firstLineChars="200"/>
        <w:textAlignment w:val="auto"/>
        <w:rPr>
          <w:rFonts w:hint="eastAsia" w:ascii="仿宋_GB2312" w:hAnsi="仿宋_GB2312" w:eastAsia="仿宋_GB2312" w:cs="仿宋_GB2312"/>
          <w:b/>
          <w:bCs/>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1.污水监管方面</w:t>
      </w:r>
    </w:p>
    <w:p w14:paraId="3696AD07">
      <w:pPr>
        <w:keepNext w:val="0"/>
        <w:keepLines w:val="0"/>
        <w:pageBreakBefore w:val="0"/>
        <w:kinsoku/>
        <w:wordWrap/>
        <w:topLinePunct w:val="0"/>
        <w:autoSpaceDN/>
        <w:bidi w:val="0"/>
        <w:spacing w:line="560" w:lineRule="exact"/>
        <w:ind w:firstLine="640"/>
        <w:textAlignment w:val="auto"/>
        <w:rPr>
          <w:rFonts w:hint="eastAsia" w:ascii="仿宋_GB2312" w:hAnsi="仿宋_GB2312" w:eastAsia="仿宋_GB2312" w:cs="仿宋_GB2312"/>
          <w:snapToGrid w:val="0"/>
          <w:color w:val="auto"/>
          <w:kern w:val="0"/>
          <w:sz w:val="32"/>
          <w:szCs w:val="32"/>
          <w:highlight w:val="none"/>
          <w:lang w:val="en-US" w:eastAsia="zh-CN"/>
        </w:rPr>
      </w:pPr>
      <w:r>
        <w:rPr>
          <w:rFonts w:hint="eastAsia" w:eastAsia="方正仿宋_GBK"/>
          <w:snapToGrid w:val="0"/>
          <w:color w:val="auto"/>
          <w:kern w:val="0"/>
          <w:sz w:val="32"/>
          <w:szCs w:val="32"/>
          <w:highlight w:val="none"/>
          <w:lang w:val="en-US" w:eastAsia="zh-CN"/>
        </w:rPr>
        <w:t>对马尔康市雨污分流不彻底，污水处理能力不足问题。</w:t>
      </w:r>
      <w:r>
        <w:rPr>
          <w:rFonts w:hint="eastAsia" w:eastAsia="方正仿宋_GBK"/>
          <w:b/>
          <w:bCs/>
          <w:snapToGrid w:val="0"/>
          <w:color w:val="auto"/>
          <w:kern w:val="0"/>
          <w:sz w:val="32"/>
          <w:szCs w:val="32"/>
          <w:highlight w:val="none"/>
          <w:lang w:val="en-US" w:eastAsia="zh-CN"/>
        </w:rPr>
        <w:t>一是</w:t>
      </w:r>
      <w:r>
        <w:rPr>
          <w:rFonts w:hint="eastAsia" w:eastAsia="方正仿宋_GBK"/>
          <w:snapToGrid w:val="0"/>
          <w:color w:val="auto"/>
          <w:kern w:val="0"/>
          <w:sz w:val="32"/>
          <w:szCs w:val="32"/>
          <w:highlight w:val="none"/>
          <w:lang w:val="en-US" w:eastAsia="zh-CN"/>
        </w:rPr>
        <w:t>多次通过开展专题推进会、现场督办等方式多次督促</w:t>
      </w:r>
      <w:r>
        <w:rPr>
          <w:rFonts w:hint="eastAsia" w:ascii="仿宋_GB2312" w:hAnsi="仿宋_GB2312" w:eastAsia="仿宋_GB2312" w:cs="仿宋_GB2312"/>
          <w:color w:val="auto"/>
          <w:sz w:val="32"/>
          <w:szCs w:val="32"/>
          <w:highlight w:val="none"/>
          <w:lang w:val="en-US" w:eastAsia="zh-CN"/>
        </w:rPr>
        <w:t>加快马尔康市城市生活污水处理厂（二期）及配套管网建设工程项目进度，解决污水处理量不足的硬件问题。</w:t>
      </w:r>
      <w:r>
        <w:rPr>
          <w:rFonts w:hint="eastAsia" w:eastAsia="方正仿宋_GBK"/>
          <w:b/>
          <w:bCs/>
          <w:snapToGrid w:val="0"/>
          <w:color w:val="auto"/>
          <w:kern w:val="0"/>
          <w:sz w:val="32"/>
          <w:szCs w:val="32"/>
          <w:highlight w:val="none"/>
          <w:lang w:val="en-US" w:eastAsia="zh-CN"/>
        </w:rPr>
        <w:t>二是</w:t>
      </w:r>
      <w:r>
        <w:rPr>
          <w:rFonts w:hint="eastAsia" w:eastAsia="方正仿宋_GBK"/>
          <w:snapToGrid w:val="0"/>
          <w:color w:val="auto"/>
          <w:kern w:val="0"/>
          <w:sz w:val="32"/>
          <w:szCs w:val="32"/>
          <w:highlight w:val="none"/>
          <w:lang w:val="en-US" w:eastAsia="zh-CN"/>
        </w:rPr>
        <w:t>针对以上污水溢流问题，联合污水处理厂和嘉德数源公司（污水处理厂运维公司）对城区主管网及支管网进行拉网式全覆盖排查，发现问题立即处置。目前华北督察局发现污水问题已完成销号。截至目前我市城市生活污水处理率达</w:t>
      </w:r>
      <w:r>
        <w:rPr>
          <w:rFonts w:hint="eastAsia" w:ascii="仿宋_GB2312" w:hAnsi="仿宋_GB2312" w:eastAsia="仿宋_GB2312" w:cs="仿宋_GB2312"/>
          <w:snapToGrid w:val="0"/>
          <w:color w:val="auto"/>
          <w:kern w:val="0"/>
          <w:sz w:val="32"/>
          <w:szCs w:val="32"/>
          <w:highlight w:val="none"/>
          <w:lang w:val="en-US" w:eastAsia="zh-CN"/>
        </w:rPr>
        <w:t>97%，达到标准。目前我市2个建制镇（松岗、沙尔宗）均已具备生活污水集中处理能力。</w:t>
      </w:r>
    </w:p>
    <w:p w14:paraId="08FBB9AD">
      <w:pPr>
        <w:keepNext w:val="0"/>
        <w:keepLines w:val="0"/>
        <w:pageBreakBefore w:val="0"/>
        <w:kinsoku/>
        <w:wordWrap/>
        <w:topLinePunct w:val="0"/>
        <w:autoSpaceDN/>
        <w:bidi w:val="0"/>
        <w:spacing w:line="560" w:lineRule="exact"/>
        <w:ind w:firstLine="643" w:firstLineChars="200"/>
        <w:textAlignment w:val="auto"/>
        <w:rPr>
          <w:rFonts w:hint="eastAsia" w:ascii="仿宋_GB2312" w:hAnsi="仿宋_GB2312" w:eastAsia="仿宋_GB2312" w:cs="仿宋_GB2312"/>
          <w:b/>
          <w:bCs/>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2.农村生活垃圾监管方面</w:t>
      </w:r>
    </w:p>
    <w:p w14:paraId="77060C7E">
      <w:pPr>
        <w:pStyle w:val="9"/>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eastAsia="方正仿宋_GBK" w:asciiTheme="minorHAnsi" w:hAnsiTheme="minorHAnsi" w:cstheme="minorBidi"/>
          <w:snapToGrid w:val="0"/>
          <w:color w:val="auto"/>
          <w:kern w:val="0"/>
          <w:sz w:val="32"/>
          <w:szCs w:val="32"/>
          <w:highlight w:val="none"/>
          <w:lang w:val="en-US" w:eastAsia="zh-CN" w:bidi="ar-SA"/>
        </w:rPr>
        <w:t>指导第三方公司，按照“村收集、乡转运、片区处理”的模式，督促第三方生活垃圾运营方将垃圾压缩车按片区划分开展清运工作，并加强沟通，适时结合乡（镇）、村、组人员流动情况和节假日娱乐活动，动态调整清运频次和力量，进一步强化清运力度，争取生活垃圾日产日清。指标任务行政村生活垃圾收转运覆盖率达</w:t>
      </w:r>
      <w:r>
        <w:rPr>
          <w:rFonts w:hint="eastAsia" w:ascii="仿宋_GB2312" w:hAnsi="仿宋_GB2312" w:eastAsia="仿宋_GB2312" w:cs="仿宋_GB2312"/>
          <w:snapToGrid w:val="0"/>
          <w:color w:val="auto"/>
          <w:kern w:val="0"/>
          <w:sz w:val="32"/>
          <w:szCs w:val="32"/>
          <w:highlight w:val="none"/>
          <w:lang w:val="en-US" w:eastAsia="zh-CN" w:bidi="ar-SA"/>
        </w:rPr>
        <w:t>95%，马尔康市目前行政村生活垃圾收转运覆盖率达96.8%。</w:t>
      </w:r>
    </w:p>
    <w:p w14:paraId="14C47E75">
      <w:pPr>
        <w:keepNext w:val="0"/>
        <w:keepLines w:val="0"/>
        <w:pageBreakBefore w:val="0"/>
        <w:kinsoku/>
        <w:wordWrap/>
        <w:topLinePunct w:val="0"/>
        <w:autoSpaceDN/>
        <w:bidi w:val="0"/>
        <w:spacing w:line="560" w:lineRule="exact"/>
        <w:ind w:firstLine="643" w:firstLineChars="200"/>
        <w:textAlignment w:val="auto"/>
        <w:rPr>
          <w:rFonts w:hint="eastAsia" w:ascii="仿宋_GB2312" w:hAnsi="仿宋_GB2312" w:eastAsia="仿宋_GB2312" w:cs="仿宋_GB2312"/>
          <w:b/>
          <w:bCs/>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3.燃气监管方面</w:t>
      </w:r>
    </w:p>
    <w:p w14:paraId="20B9EC97">
      <w:pPr>
        <w:keepNext w:val="0"/>
        <w:keepLines w:val="0"/>
        <w:pageBreakBefore w:val="0"/>
        <w:kinsoku/>
        <w:wordWrap/>
        <w:topLinePunct w:val="0"/>
        <w:autoSpaceDN/>
        <w:bidi w:val="0"/>
        <w:spacing w:line="560" w:lineRule="exact"/>
        <w:ind w:firstLine="640"/>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一是根据市委市政府安排部署，联合相关职能部门、燃气企业对辖区内所有涉及经营、使用燃气的餐饮、酒店及居民住宅区进行“地毯式”大排查。二是积极推进“瓶改管”工作，目前我市瓶改管工作已如期完成既定任务数。三是开展燃气经营企业安全生产工作及餐饮企业燃气使用安全进行日常巡查检查。四是完成省督导组反馈隐患整改工作。针对督导组检查发现的26个隐患问题，赓即督促燃气企业，举一反三，对标对表要求企业认真落实整改。</w:t>
      </w:r>
    </w:p>
    <w:p w14:paraId="180DE882">
      <w:pPr>
        <w:keepNext w:val="0"/>
        <w:keepLines w:val="0"/>
        <w:pageBreakBefore w:val="0"/>
        <w:kinsoku/>
        <w:wordWrap/>
        <w:topLinePunct w:val="0"/>
        <w:autoSpaceDN/>
        <w:bidi w:val="0"/>
        <w:spacing w:line="560" w:lineRule="exact"/>
        <w:ind w:firstLine="643" w:firstLineChars="200"/>
        <w:textAlignment w:val="auto"/>
        <w:rPr>
          <w:rFonts w:hint="eastAsia" w:ascii="仿宋_GB2312" w:hAnsi="仿宋_GB2312" w:eastAsia="仿宋_GB2312" w:cs="仿宋_GB2312"/>
          <w:b/>
          <w:bCs/>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4.排水防涝方面</w:t>
      </w:r>
    </w:p>
    <w:p w14:paraId="67E8677A">
      <w:pPr>
        <w:keepNext w:val="0"/>
        <w:keepLines w:val="0"/>
        <w:pageBreakBefore w:val="0"/>
        <w:kinsoku/>
        <w:wordWrap/>
        <w:topLinePunct w:val="0"/>
        <w:autoSpaceDN/>
        <w:bidi w:val="0"/>
        <w:spacing w:line="560" w:lineRule="exact"/>
        <w:ind w:firstLine="640"/>
        <w:textAlignment w:val="auto"/>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一是为了保障全市汛期排水设施安全可靠运行，切实做好马尔康污水收集处理处置工作，2024年对我市25.53公里的污水收集主管网进行管网隐患排查巡检工作200余次，维修维护检查井30余处，同时安排组织人员每日对沿河25.5主管网进行巡检。二是加大对重点关注易涝点的跟踪处置工作，时刻确保易涝点位管网畅通。三是切实做好我市窨井盖巡查管理工作，强化市政维护力度。今年排查603处窨井盖，发现问题57处，目前均已完成整改，安装防坠网145处。</w:t>
      </w:r>
    </w:p>
    <w:p w14:paraId="7FC06DD0">
      <w:pPr>
        <w:keepNext w:val="0"/>
        <w:keepLines w:val="0"/>
        <w:pageBreakBefore w:val="0"/>
        <w:kinsoku/>
        <w:wordWrap/>
        <w:topLinePunct w:val="0"/>
        <w:autoSpaceDN/>
        <w:bidi w:val="0"/>
        <w:spacing w:line="560" w:lineRule="exact"/>
        <w:ind w:firstLine="643" w:firstLineChars="200"/>
        <w:textAlignment w:val="auto"/>
        <w:rPr>
          <w:rFonts w:hint="eastAsia" w:ascii="仿宋_GB2312" w:hAnsi="仿宋_GB2312" w:eastAsia="仿宋_GB2312" w:cs="仿宋_GB2312"/>
          <w:b/>
          <w:bCs/>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5.户外广告、标语标牌、店招店牌监管方面</w:t>
      </w:r>
    </w:p>
    <w:p w14:paraId="5F450B61">
      <w:pPr>
        <w:keepNext w:val="0"/>
        <w:keepLines w:val="0"/>
        <w:pageBreakBefore w:val="0"/>
        <w:widowControl w:val="0"/>
        <w:kinsoku/>
        <w:wordWrap/>
        <w:overflowPunct w:val="0"/>
        <w:topLinePunct w:val="0"/>
        <w:autoSpaceDE w:val="0"/>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aps w:val="0"/>
          <w:color w:val="auto"/>
          <w:spacing w:val="0"/>
          <w:w w:val="100"/>
          <w:sz w:val="32"/>
          <w:szCs w:val="32"/>
          <w:highlight w:val="none"/>
          <w:lang w:val="en-US" w:eastAsia="zh-CN"/>
        </w:rPr>
      </w:pPr>
      <w:r>
        <w:rPr>
          <w:rFonts w:hint="eastAsia" w:ascii="仿宋_GB2312" w:hAnsi="仿宋_GB2312" w:eastAsia="仿宋_GB2312" w:cs="仿宋_GB2312"/>
          <w:b/>
          <w:bCs/>
          <w:caps w:val="0"/>
          <w:color w:val="auto"/>
          <w:spacing w:val="0"/>
          <w:w w:val="100"/>
          <w:sz w:val="32"/>
          <w:szCs w:val="32"/>
          <w:highlight w:val="none"/>
          <w:lang w:val="en-US" w:eastAsia="zh-CN"/>
        </w:rPr>
        <w:t>一是</w:t>
      </w:r>
      <w:r>
        <w:rPr>
          <w:rFonts w:hint="eastAsia" w:ascii="仿宋_GB2312" w:hAnsi="仿宋_GB2312" w:eastAsia="仿宋_GB2312" w:cs="仿宋_GB2312"/>
          <w:b w:val="0"/>
          <w:bCs w:val="0"/>
          <w:caps w:val="0"/>
          <w:color w:val="auto"/>
          <w:spacing w:val="0"/>
          <w:w w:val="100"/>
          <w:sz w:val="32"/>
          <w:szCs w:val="32"/>
          <w:highlight w:val="none"/>
          <w:lang w:val="en-US" w:eastAsia="zh-CN"/>
        </w:rPr>
        <w:t>对市区内户外广告、标语标牌、店招店牌开展巡查工作30余次，排查户外广告共32处，标语标牌排查450余处，店招店牌共320余处；</w:t>
      </w:r>
      <w:r>
        <w:rPr>
          <w:rFonts w:hint="eastAsia" w:ascii="仿宋_GB2312" w:hAnsi="仿宋_GB2312" w:eastAsia="仿宋_GB2312" w:cs="仿宋_GB2312"/>
          <w:b/>
          <w:bCs/>
          <w:caps w:val="0"/>
          <w:color w:val="auto"/>
          <w:spacing w:val="0"/>
          <w:w w:val="100"/>
          <w:sz w:val="32"/>
          <w:szCs w:val="32"/>
          <w:highlight w:val="none"/>
          <w:lang w:val="en-US" w:eastAsia="zh-CN"/>
        </w:rPr>
        <w:t>二是</w:t>
      </w:r>
      <w:r>
        <w:rPr>
          <w:rFonts w:hint="eastAsia" w:ascii="仿宋_GB2312" w:hAnsi="仿宋_GB2312" w:eastAsia="仿宋_GB2312" w:cs="仿宋_GB2312"/>
          <w:b w:val="0"/>
          <w:bCs w:val="0"/>
          <w:caps w:val="0"/>
          <w:color w:val="auto"/>
          <w:spacing w:val="0"/>
          <w:w w:val="100"/>
          <w:sz w:val="32"/>
          <w:szCs w:val="32"/>
          <w:highlight w:val="none"/>
          <w:lang w:val="en-US" w:eastAsia="zh-CN"/>
        </w:rPr>
        <w:t>在排查过程中加强对户外广告、标语标牌、店招店牌设施动火作业安全的监管；</w:t>
      </w:r>
      <w:r>
        <w:rPr>
          <w:rFonts w:hint="eastAsia" w:ascii="仿宋_GB2312" w:hAnsi="仿宋_GB2312" w:eastAsia="仿宋_GB2312" w:cs="仿宋_GB2312"/>
          <w:b/>
          <w:bCs/>
          <w:caps w:val="0"/>
          <w:color w:val="auto"/>
          <w:spacing w:val="0"/>
          <w:w w:val="100"/>
          <w:sz w:val="32"/>
          <w:szCs w:val="32"/>
          <w:highlight w:val="none"/>
          <w:lang w:val="en-US" w:eastAsia="zh-CN"/>
        </w:rPr>
        <w:t>三是</w:t>
      </w:r>
      <w:r>
        <w:rPr>
          <w:rFonts w:hint="eastAsia" w:ascii="仿宋_GB2312" w:hAnsi="仿宋_GB2312" w:eastAsia="仿宋_GB2312" w:cs="仿宋_GB2312"/>
          <w:b w:val="0"/>
          <w:bCs w:val="0"/>
          <w:caps w:val="0"/>
          <w:color w:val="auto"/>
          <w:spacing w:val="0"/>
          <w:w w:val="100"/>
          <w:sz w:val="32"/>
          <w:szCs w:val="32"/>
          <w:highlight w:val="none"/>
          <w:lang w:val="en-US" w:eastAsia="zh-CN"/>
        </w:rPr>
        <w:t>在排查过程中复核文字内容并按照规范藏文督促商家进行整改，以提高马尔康市容市貌，打造文明和谐美丽的马尔康。</w:t>
      </w:r>
    </w:p>
    <w:p w14:paraId="019267BD">
      <w:pPr>
        <w:keepNext w:val="0"/>
        <w:keepLines w:val="0"/>
        <w:pageBreakBefore w:val="0"/>
        <w:widowControl w:val="0"/>
        <w:kinsoku/>
        <w:wordWrap/>
        <w:overflowPunct w:val="0"/>
        <w:topLinePunct w:val="0"/>
        <w:autoSpaceDE w:val="0"/>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6.其它工作</w:t>
      </w:r>
    </w:p>
    <w:p w14:paraId="14F100E0">
      <w:pPr>
        <w:keepNext w:val="0"/>
        <w:keepLines w:val="0"/>
        <w:pageBreakBefore w:val="0"/>
        <w:numPr>
          <w:ilvl w:val="0"/>
          <w:numId w:val="0"/>
        </w:numPr>
        <w:kinsoku/>
        <w:wordWrap/>
        <w:topLinePunct w:val="0"/>
        <w:autoSpaceDN/>
        <w:bidi w:val="0"/>
        <w:spacing w:line="560" w:lineRule="exact"/>
        <w:ind w:firstLine="640" w:firstLineChars="200"/>
        <w:textAlignment w:val="auto"/>
        <w:rPr>
          <w:rFonts w:hint="eastAsia" w:ascii="仿宋_GB2312" w:hAnsi="仿宋_GB2312" w:eastAsia="仿宋_GB2312" w:cs="仿宋_GB2312"/>
          <w:caps w:val="0"/>
          <w:color w:val="auto"/>
          <w:spacing w:val="0"/>
          <w:w w:val="100"/>
          <w:sz w:val="32"/>
          <w:szCs w:val="32"/>
          <w:highlight w:val="none"/>
          <w:lang w:val="en-US" w:eastAsia="zh-CN"/>
        </w:rPr>
      </w:pPr>
      <w:r>
        <w:rPr>
          <w:rFonts w:hint="eastAsia" w:ascii="仿宋_GB2312" w:hAnsi="仿宋_GB2312" w:eastAsia="仿宋_GB2312" w:cs="仿宋_GB2312"/>
          <w:b w:val="0"/>
          <w:bCs w:val="0"/>
          <w:caps w:val="0"/>
          <w:color w:val="auto"/>
          <w:spacing w:val="0"/>
          <w:w w:val="100"/>
          <w:sz w:val="32"/>
          <w:szCs w:val="32"/>
          <w:highlight w:val="none"/>
          <w:lang w:val="en-US" w:eastAsia="zh-CN"/>
        </w:rPr>
        <w:t xml:space="preserve">1.开展日常传统村落和历史建筑保护工作，我市共申报成功10个传统村落，申报10个村落纳入传统村落后备村。2.开展马尔康市地下管网和地下管廊建设改造实施方案，目前该方案已报州住建局审查。3.开展编制马尔康市城市更新改造规划，目前该规划已完成初稿编制。  </w:t>
      </w:r>
      <w:r>
        <w:rPr>
          <w:rFonts w:hint="eastAsia" w:ascii="仿宋_GB2312" w:hAnsi="仿宋_GB2312" w:eastAsia="仿宋_GB2312" w:cs="仿宋_GB2312"/>
          <w:caps w:val="0"/>
          <w:color w:val="auto"/>
          <w:spacing w:val="0"/>
          <w:w w:val="100"/>
          <w:sz w:val="32"/>
          <w:szCs w:val="32"/>
          <w:highlight w:val="none"/>
          <w:lang w:val="en-US" w:eastAsia="zh-CN"/>
        </w:rPr>
        <w:t xml:space="preserve">                  </w:t>
      </w:r>
    </w:p>
    <w:p w14:paraId="386D2AEF">
      <w:pPr>
        <w:keepNext w:val="0"/>
        <w:keepLines w:val="0"/>
        <w:pageBreakBefore w:val="0"/>
        <w:numPr>
          <w:ilvl w:val="0"/>
          <w:numId w:val="0"/>
        </w:numPr>
        <w:kinsoku/>
        <w:wordWrap/>
        <w:topLinePunct w:val="0"/>
        <w:autoSpaceDN/>
        <w:bidi w:val="0"/>
        <w:adjustRightInd/>
        <w:snapToGrid/>
        <w:spacing w:line="560" w:lineRule="exact"/>
        <w:ind w:left="640" w:leftChars="0"/>
        <w:jc w:val="both"/>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（三）房屋征拆稳扎稳打，筑好城市更新基础</w:t>
      </w:r>
    </w:p>
    <w:p w14:paraId="63F2BDAA">
      <w:pPr>
        <w:pStyle w:val="6"/>
        <w:keepNext w:val="0"/>
        <w:keepLines w:val="0"/>
        <w:pageBreakBefore w:val="0"/>
        <w:widowControl w:val="0"/>
        <w:tabs>
          <w:tab w:val="right" w:pos="4153"/>
          <w:tab w:val="left" w:leader="underscore" w:pos="8306"/>
        </w:tabs>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同步推进旧城改建相关工作：完成“雪松牦牛肉干厂.肉联厂地块”的征收工作；加快推进县建、烧炭社地块、大郎足沟三角区地块的拆迁工作。</w:t>
      </w:r>
    </w:p>
    <w:p w14:paraId="05116B0F">
      <w:pPr>
        <w:keepNext w:val="0"/>
        <w:keepLines w:val="0"/>
        <w:pageBreakBefore w:val="0"/>
        <w:numPr>
          <w:ilvl w:val="0"/>
          <w:numId w:val="0"/>
        </w:numPr>
        <w:kinsoku/>
        <w:wordWrap/>
        <w:topLinePunct w:val="0"/>
        <w:autoSpaceDN/>
        <w:bidi w:val="0"/>
        <w:adjustRightInd/>
        <w:snapToGrid/>
        <w:spacing w:line="560" w:lineRule="exact"/>
        <w:ind w:left="640" w:leftChars="0"/>
        <w:jc w:val="both"/>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（四）保障性住房建设加速，筑就温暖家园</w:t>
      </w:r>
    </w:p>
    <w:p w14:paraId="236F2904">
      <w:pPr>
        <w:keepNext w:val="0"/>
        <w:keepLines w:val="0"/>
        <w:pageBreakBefore w:val="0"/>
        <w:widowControl/>
        <w:numPr>
          <w:ilvl w:val="0"/>
          <w:numId w:val="0"/>
        </w:numPr>
        <w:kinsoku/>
        <w:wordWrap/>
        <w:topLinePunct w:val="0"/>
        <w:autoSpaceDN/>
        <w:bidi w:val="0"/>
        <w:spacing w:line="560" w:lineRule="exact"/>
        <w:ind w:firstLine="643" w:firstLineChars="200"/>
        <w:jc w:val="both"/>
        <w:textAlignment w:val="auto"/>
        <w:rPr>
          <w:rFonts w:hint="default"/>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老旧小区改造稳步推进。</w:t>
      </w:r>
      <w:r>
        <w:rPr>
          <w:rFonts w:hint="eastAsia" w:ascii="仿宋_GB2312" w:hAnsi="仿宋_GB2312" w:eastAsia="仿宋_GB2312" w:cs="仿宋_GB2312"/>
          <w:color w:val="auto"/>
          <w:kern w:val="0"/>
          <w:sz w:val="32"/>
          <w:szCs w:val="32"/>
          <w:highlight w:val="none"/>
          <w:lang w:val="en-US" w:eastAsia="zh-CN" w:bidi="ar-SA"/>
        </w:rPr>
        <w:t>坚持问需于民、问计于民高标准做好老旧小区改造工程。2024年我局对三个社区涉及的10个小区完成维修改造任务，投资资金277.95万元，目前已竣工验收，将19个老旧小区纳入2025年项目库。</w:t>
      </w:r>
    </w:p>
    <w:p w14:paraId="4DA78FAA">
      <w:pPr>
        <w:keepNext w:val="0"/>
        <w:keepLines w:val="0"/>
        <w:pageBreakBefore w:val="0"/>
        <w:widowControl/>
        <w:numPr>
          <w:ilvl w:val="0"/>
          <w:numId w:val="0"/>
        </w:numPr>
        <w:kinsoku/>
        <w:wordWrap/>
        <w:topLinePunct w:val="0"/>
        <w:autoSpaceDN/>
        <w:bidi w:val="0"/>
        <w:spacing w:line="560" w:lineRule="exact"/>
        <w:ind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2.物业管理水平不断增强。</w:t>
      </w:r>
      <w:r>
        <w:rPr>
          <w:rFonts w:hint="eastAsia" w:ascii="仿宋_GB2312" w:hAnsi="仿宋_GB2312" w:eastAsia="仿宋_GB2312" w:cs="仿宋_GB2312"/>
          <w:b/>
          <w:bCs/>
          <w:color w:val="auto"/>
          <w:kern w:val="0"/>
          <w:sz w:val="32"/>
          <w:szCs w:val="32"/>
          <w:highlight w:val="none"/>
          <w:lang w:val="en-US" w:eastAsia="zh-CN" w:bidi="ar-SA"/>
        </w:rPr>
        <w:t>一是</w:t>
      </w:r>
      <w:r>
        <w:rPr>
          <w:rFonts w:hint="eastAsia" w:ascii="仿宋_GB2312" w:hAnsi="仿宋_GB2312" w:eastAsia="仿宋_GB2312" w:cs="仿宋_GB2312"/>
          <w:color w:val="auto"/>
          <w:kern w:val="0"/>
          <w:sz w:val="32"/>
          <w:szCs w:val="32"/>
          <w:highlight w:val="none"/>
          <w:lang w:val="en-US" w:eastAsia="zh-CN" w:bidi="ar-SA"/>
        </w:rPr>
        <w:t>规范管理，提升物业服务水平，马尔康市现有备案物业公司22家对41个小区进行相关物业服务工作，</w:t>
      </w:r>
      <w:r>
        <w:rPr>
          <w:rFonts w:hint="eastAsia" w:ascii="仿宋_GB2312" w:hAnsi="仿宋_GB2312" w:eastAsia="仿宋_GB2312" w:cs="仿宋_GB2312"/>
          <w:b/>
          <w:bCs/>
          <w:color w:val="auto"/>
          <w:kern w:val="0"/>
          <w:sz w:val="32"/>
          <w:szCs w:val="32"/>
          <w:highlight w:val="none"/>
          <w:lang w:val="en-US" w:eastAsia="zh-CN" w:bidi="ar-SA"/>
        </w:rPr>
        <w:t>二是</w:t>
      </w:r>
      <w:r>
        <w:rPr>
          <w:rFonts w:hint="eastAsia" w:ascii="仿宋_GB2312" w:hAnsi="仿宋_GB2312" w:eastAsia="仿宋_GB2312" w:cs="仿宋_GB2312"/>
          <w:color w:val="auto"/>
          <w:kern w:val="0"/>
          <w:sz w:val="32"/>
          <w:szCs w:val="32"/>
          <w:highlight w:val="none"/>
          <w:lang w:val="en-US" w:eastAsia="zh-CN" w:bidi="ar-SA"/>
        </w:rPr>
        <w:t>调解矛盾纠纷，2024年住保股共参与协调物业投诉55起，处理投诉55起。</w:t>
      </w:r>
    </w:p>
    <w:p w14:paraId="0A263D1E">
      <w:pPr>
        <w:pStyle w:val="8"/>
        <w:keepNext w:val="0"/>
        <w:keepLines w:val="0"/>
        <w:pageBreakBefore w:val="0"/>
        <w:kinsoku/>
        <w:wordWrap/>
        <w:topLinePunct w:val="0"/>
        <w:autoSpaceDN/>
        <w:bidi w:val="0"/>
        <w:spacing w:line="560" w:lineRule="exact"/>
        <w:ind w:left="0" w:leftChars="0"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3.着力推进农村危房改造。</w:t>
      </w:r>
      <w:r>
        <w:rPr>
          <w:rFonts w:hint="eastAsia" w:ascii="仿宋_GB2312" w:hAnsi="仿宋_GB2312" w:eastAsia="仿宋_GB2312" w:cs="仿宋_GB2312"/>
          <w:b w:val="0"/>
          <w:bCs w:val="0"/>
          <w:color w:val="auto"/>
          <w:kern w:val="2"/>
          <w:sz w:val="32"/>
          <w:szCs w:val="32"/>
          <w:highlight w:val="none"/>
          <w:lang w:val="en-US" w:eastAsia="zh-CN" w:bidi="ar-SA"/>
        </w:rPr>
        <w:t>一是加大对农村低收入群体等重点对象危房改造的支持力度。二是逐步建立健全农村低收入群体住房安全保障长效机制。</w:t>
      </w:r>
      <w:r>
        <w:rPr>
          <w:rFonts w:hint="eastAsia" w:ascii="仿宋_GB2312" w:hAnsi="仿宋_GB2312" w:eastAsia="仿宋_GB2312" w:cs="仿宋_GB2312"/>
          <w:color w:val="auto"/>
          <w:kern w:val="0"/>
          <w:sz w:val="32"/>
          <w:szCs w:val="32"/>
          <w:highlight w:val="none"/>
          <w:lang w:val="en-US" w:eastAsia="zh-CN" w:bidi="ar-SA"/>
        </w:rPr>
        <w:t>全市2024年符合危房改造有六类对象24户，24户已全部动工其中竣工6户，通过危房改造农户住房安全得到了有效保障。</w:t>
      </w:r>
    </w:p>
    <w:p w14:paraId="3D3C6FE3">
      <w:pPr>
        <w:keepNext w:val="0"/>
        <w:keepLines w:val="0"/>
        <w:pageBreakBefore w:val="0"/>
        <w:widowControl/>
        <w:numPr>
          <w:ilvl w:val="0"/>
          <w:numId w:val="0"/>
        </w:numPr>
        <w:kinsoku/>
        <w:wordWrap/>
        <w:topLinePunct w:val="0"/>
        <w:autoSpaceDN/>
        <w:bidi w:val="0"/>
        <w:spacing w:line="560" w:lineRule="exact"/>
        <w:ind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4.住房安居工程有序推进。</w:t>
      </w:r>
      <w:r>
        <w:rPr>
          <w:rFonts w:hint="eastAsia" w:ascii="仿宋_GB2312" w:hAnsi="仿宋_GB2312" w:eastAsia="仿宋_GB2312" w:cs="仿宋_GB2312"/>
          <w:color w:val="auto"/>
          <w:kern w:val="0"/>
          <w:sz w:val="32"/>
          <w:szCs w:val="32"/>
          <w:highlight w:val="none"/>
          <w:lang w:val="en-US" w:eastAsia="zh-CN" w:bidi="ar-SA"/>
        </w:rPr>
        <w:t>2024年正在发放公共租赁住房租赁补贴资金，涉及 14 户城镇住房困难家庭，分配公共租赁住房240套；解决住房救助补贴家庭115户。</w:t>
      </w:r>
    </w:p>
    <w:p w14:paraId="5CF81FE8">
      <w:pPr>
        <w:keepNext w:val="0"/>
        <w:keepLines w:val="0"/>
        <w:pageBreakBefore w:val="0"/>
        <w:widowControl/>
        <w:numPr>
          <w:ilvl w:val="0"/>
          <w:numId w:val="0"/>
        </w:numPr>
        <w:kinsoku/>
        <w:wordWrap/>
        <w:topLinePunct w:val="0"/>
        <w:autoSpaceDN/>
        <w:bidi w:val="0"/>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5.既有住宅增设电梯。</w:t>
      </w:r>
      <w:r>
        <w:rPr>
          <w:rFonts w:hint="eastAsia" w:ascii="仿宋_GB2312" w:hAnsi="仿宋_GB2312" w:eastAsia="仿宋_GB2312" w:cs="仿宋_GB2312"/>
          <w:color w:val="auto"/>
          <w:spacing w:val="-6"/>
          <w:sz w:val="32"/>
          <w:szCs w:val="32"/>
          <w:highlight w:val="none"/>
          <w:lang w:val="en-US" w:eastAsia="zh-CN"/>
        </w:rPr>
        <w:t>我市2024年州级下达既有住宅增设电梯20部任务，截至目前已完成电梯加装32部，并办理完32部电梯备案。按照《阿坝州既有住宅电梯增设财政奖补管理办法》（阿州住建发〔2024〕44号），按照25万每部的标准，截至目前32部电梯800万奖补资金已全部兑现。</w:t>
      </w:r>
    </w:p>
    <w:p w14:paraId="12ABC862">
      <w:pPr>
        <w:keepNext w:val="0"/>
        <w:keepLines w:val="0"/>
        <w:pageBreakBefore w:val="0"/>
        <w:numPr>
          <w:ilvl w:val="0"/>
          <w:numId w:val="0"/>
        </w:numPr>
        <w:kinsoku/>
        <w:wordWrap/>
        <w:topLinePunct w:val="0"/>
        <w:autoSpaceDN/>
        <w:bidi w:val="0"/>
        <w:adjustRightInd/>
        <w:snapToGrid/>
        <w:spacing w:line="560" w:lineRule="exact"/>
        <w:ind w:left="640" w:leftChars="0"/>
        <w:jc w:val="both"/>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（五)做好建筑企业管理，提升工程质量水平</w:t>
      </w:r>
    </w:p>
    <w:p w14:paraId="3DFF334B">
      <w:pPr>
        <w:keepNext w:val="0"/>
        <w:keepLines w:val="0"/>
        <w:pageBreakBefore w:val="0"/>
        <w:widowControl/>
        <w:numPr>
          <w:ilvl w:val="0"/>
          <w:numId w:val="0"/>
        </w:numPr>
        <w:kinsoku/>
        <w:wordWrap/>
        <w:topLinePunct w:val="0"/>
        <w:autoSpaceDN/>
        <w:bidi w:val="0"/>
        <w:spacing w:line="560" w:lineRule="exact"/>
        <w:ind w:firstLine="616" w:firstLineChars="20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2023年完成建筑业产值5.2亿元，按照同比增长10%的要求，2024年建筑业产值目标任务为5.72亿元。截至目前，2024年建筑业总产值完成3.61亿元，通过预测分析（四川锦绣天地建筑工程有限公司、阿坝州霖夕建筑工程有限公司、阿坝州公路交通(集团)有限公司），2024年建筑业总产值能够完成5.72亿元州级目标任务。</w:t>
      </w:r>
    </w:p>
    <w:p w14:paraId="14D767D6">
      <w:pPr>
        <w:keepNext w:val="0"/>
        <w:keepLines w:val="0"/>
        <w:pageBreakBefore w:val="0"/>
        <w:widowControl/>
        <w:numPr>
          <w:ilvl w:val="0"/>
          <w:numId w:val="0"/>
        </w:numPr>
        <w:kinsoku/>
        <w:wordWrap/>
        <w:topLinePunct w:val="0"/>
        <w:autoSpaceDN/>
        <w:bidi w:val="0"/>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val="0"/>
          <w:color w:val="auto"/>
          <w:sz w:val="32"/>
          <w:szCs w:val="32"/>
          <w:highlight w:val="none"/>
          <w:lang w:val="en-US" w:eastAsia="zh-CN"/>
        </w:rPr>
        <w:t>1.招标监督情况：</w:t>
      </w:r>
      <w:r>
        <w:rPr>
          <w:rFonts w:hint="eastAsia" w:ascii="仿宋_GB2312" w:hAnsi="仿宋_GB2312" w:eastAsia="仿宋_GB2312" w:cs="仿宋_GB2312"/>
          <w:b w:val="0"/>
          <w:bCs/>
          <w:color w:val="auto"/>
          <w:sz w:val="32"/>
          <w:szCs w:val="32"/>
          <w:highlight w:val="none"/>
          <w:lang w:val="en-US" w:eastAsia="zh-CN"/>
        </w:rPr>
        <w:t>2024年共计完成22个项目的</w:t>
      </w:r>
      <w:r>
        <w:rPr>
          <w:rFonts w:hint="eastAsia" w:ascii="仿宋_GB2312" w:hAnsi="仿宋_GB2312" w:eastAsia="仿宋_GB2312" w:cs="仿宋_GB2312"/>
          <w:b w:val="0"/>
          <w:bCs/>
          <w:color w:val="auto"/>
          <w:sz w:val="32"/>
          <w:szCs w:val="32"/>
          <w:highlight w:val="none"/>
        </w:rPr>
        <w:t>招投标监督工作</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依法对</w:t>
      </w:r>
      <w:r>
        <w:rPr>
          <w:rFonts w:hint="eastAsia" w:ascii="仿宋_GB2312" w:hAnsi="仿宋_GB2312" w:eastAsia="仿宋_GB2312" w:cs="仿宋_GB2312"/>
          <w:b w:val="0"/>
          <w:bCs/>
          <w:color w:val="auto"/>
          <w:sz w:val="32"/>
          <w:szCs w:val="32"/>
          <w:highlight w:val="none"/>
          <w:lang w:val="zh-CN"/>
        </w:rPr>
        <w:t>建设工程项目的公开招投标进行监督管理。</w:t>
      </w: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rPr>
        <w:t>强化施工图文件审查备案</w:t>
      </w:r>
      <w:r>
        <w:rPr>
          <w:rFonts w:hint="eastAsia" w:ascii="仿宋_GB2312" w:hAnsi="仿宋_GB2312" w:eastAsia="仿宋_GB2312" w:cs="仿宋_GB2312"/>
          <w:b/>
          <w:bCs w:val="0"/>
          <w:color w:val="auto"/>
          <w:sz w:val="32"/>
          <w:szCs w:val="32"/>
          <w:highlight w:val="none"/>
          <w:lang w:val="en-US" w:eastAsia="zh-CN"/>
        </w:rPr>
        <w:t>工作：</w:t>
      </w:r>
      <w:r>
        <w:rPr>
          <w:rFonts w:hint="eastAsia" w:ascii="仿宋_GB2312" w:hAnsi="仿宋_GB2312" w:eastAsia="仿宋_GB2312" w:cs="仿宋_GB2312"/>
          <w:b w:val="0"/>
          <w:bCs/>
          <w:color w:val="auto"/>
          <w:sz w:val="32"/>
          <w:szCs w:val="32"/>
          <w:highlight w:val="none"/>
          <w:lang w:val="en-US" w:eastAsia="zh-CN"/>
        </w:rPr>
        <w:t>2024年完成</w:t>
      </w:r>
      <w:r>
        <w:rPr>
          <w:rFonts w:hint="eastAsia" w:ascii="仿宋_GB2312" w:hAnsi="仿宋_GB2312" w:eastAsia="仿宋_GB2312" w:cs="仿宋_GB2312"/>
          <w:color w:val="auto"/>
          <w:sz w:val="32"/>
          <w:szCs w:val="32"/>
          <w:highlight w:val="none"/>
        </w:rPr>
        <w:t>施工图审查</w:t>
      </w:r>
      <w:r>
        <w:rPr>
          <w:rFonts w:hint="eastAsia" w:ascii="仿宋_GB2312" w:hAnsi="仿宋_GB2312" w:eastAsia="仿宋_GB2312" w:cs="仿宋_GB2312"/>
          <w:color w:val="auto"/>
          <w:sz w:val="32"/>
          <w:szCs w:val="32"/>
          <w:highlight w:val="none"/>
          <w:lang w:val="en-US" w:eastAsia="zh-CN"/>
        </w:rPr>
        <w:t>备案共计14个项目。</w:t>
      </w:r>
      <w:r>
        <w:rPr>
          <w:rFonts w:hint="eastAsia" w:ascii="仿宋_GB2312" w:hAnsi="仿宋_GB2312" w:eastAsia="仿宋_GB2312" w:cs="仿宋_GB2312"/>
          <w:color w:val="auto"/>
          <w:sz w:val="32"/>
          <w:szCs w:val="32"/>
          <w:highlight w:val="none"/>
        </w:rPr>
        <w:t>对于未进行建筑节能设计的施工图不予备案。</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初步设计评审情况</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严格按照相关的法律法规执行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确保初步设计评审顺利完成。</w:t>
      </w:r>
      <w:r>
        <w:rPr>
          <w:rFonts w:hint="eastAsia" w:ascii="仿宋_GB2312" w:hAnsi="仿宋_GB2312" w:eastAsia="仿宋_GB2312" w:cs="仿宋_GB2312"/>
          <w:b w:val="0"/>
          <w:bCs w:val="0"/>
          <w:color w:val="auto"/>
          <w:sz w:val="32"/>
          <w:szCs w:val="32"/>
          <w:highlight w:val="none"/>
          <w:lang w:val="en-US" w:eastAsia="zh-CN"/>
        </w:rPr>
        <w:t>目前共计参与11个市政基础设施建设的初步设计评审。</w:t>
      </w:r>
      <w:r>
        <w:rPr>
          <w:rFonts w:hint="eastAsia" w:ascii="仿宋_GB2312" w:hAnsi="仿宋_GB2312" w:eastAsia="仿宋_GB2312" w:cs="仿宋_GB2312"/>
          <w:b/>
          <w:bCs/>
          <w:color w:val="auto"/>
          <w:sz w:val="32"/>
          <w:szCs w:val="32"/>
          <w:highlight w:val="none"/>
          <w:lang w:val="en-US" w:eastAsia="zh-CN"/>
        </w:rPr>
        <w:t>4.建筑企业</w:t>
      </w:r>
      <w:r>
        <w:rPr>
          <w:rFonts w:hint="eastAsia" w:ascii="仿宋_GB2312" w:hAnsi="仿宋_GB2312" w:eastAsia="仿宋_GB2312" w:cs="仿宋_GB2312"/>
          <w:b/>
          <w:bCs/>
          <w:color w:val="auto"/>
          <w:sz w:val="32"/>
          <w:szCs w:val="32"/>
          <w:highlight w:val="none"/>
        </w:rPr>
        <w:t>资料上报</w:t>
      </w:r>
      <w:r>
        <w:rPr>
          <w:rFonts w:hint="eastAsia" w:ascii="仿宋_GB2312" w:hAnsi="仿宋_GB2312" w:eastAsia="仿宋_GB2312" w:cs="仿宋_GB2312"/>
          <w:b/>
          <w:bCs/>
          <w:color w:val="auto"/>
          <w:sz w:val="32"/>
          <w:szCs w:val="32"/>
          <w:highlight w:val="none"/>
          <w:lang w:val="en-US" w:eastAsia="zh-CN"/>
        </w:rPr>
        <w:t>审核</w:t>
      </w:r>
      <w:r>
        <w:rPr>
          <w:rFonts w:hint="eastAsia" w:ascii="仿宋_GB2312" w:hAnsi="仿宋_GB2312" w:eastAsia="仿宋_GB2312" w:cs="仿宋_GB2312"/>
          <w:b/>
          <w:bCs/>
          <w:color w:val="auto"/>
          <w:sz w:val="32"/>
          <w:szCs w:val="32"/>
          <w:highlight w:val="none"/>
        </w:rPr>
        <w:t>情况</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持续做好</w:t>
      </w:r>
      <w:r>
        <w:rPr>
          <w:rFonts w:hint="eastAsia" w:ascii="仿宋_GB2312" w:hAnsi="仿宋_GB2312" w:eastAsia="仿宋_GB2312" w:cs="仿宋_GB2312"/>
          <w:color w:val="auto"/>
          <w:sz w:val="32"/>
          <w:szCs w:val="32"/>
          <w:highlight w:val="none"/>
        </w:rPr>
        <w:t>建筑业产值季度上报工作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建筑企业资质审核工作。马尔康市注册的建筑企业34家，入统企业17家。</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b/>
          <w:bCs/>
          <w:color w:val="auto"/>
          <w:sz w:val="32"/>
          <w:szCs w:val="32"/>
          <w:highlight w:val="none"/>
          <w:lang w:val="en-US" w:eastAsia="zh-CN"/>
        </w:rPr>
        <w:t>5.消防专项审查工作：</w:t>
      </w:r>
      <w:r>
        <w:rPr>
          <w:rFonts w:hint="eastAsia" w:ascii="仿宋_GB2312" w:hAnsi="仿宋_GB2312" w:eastAsia="仿宋_GB2312" w:cs="仿宋_GB2312"/>
          <w:color w:val="auto"/>
          <w:kern w:val="0"/>
          <w:sz w:val="32"/>
          <w:szCs w:val="32"/>
          <w:highlight w:val="none"/>
          <w:lang w:val="en-US" w:eastAsia="zh-CN" w:bidi="ar"/>
        </w:rPr>
        <w:t>今年以来，我局严格按照消防审查工作细则要求，</w:t>
      </w:r>
      <w:r>
        <w:rPr>
          <w:rFonts w:hint="eastAsia" w:ascii="仿宋_GB2312" w:hAnsi="仿宋_GB2312" w:eastAsia="仿宋_GB2312" w:cs="仿宋_GB2312"/>
          <w:color w:val="auto"/>
          <w:sz w:val="32"/>
          <w:szCs w:val="32"/>
          <w:highlight w:val="none"/>
        </w:rPr>
        <w:t>对建设工程施工图设计和</w:t>
      </w:r>
      <w:r>
        <w:rPr>
          <w:rFonts w:hint="eastAsia" w:ascii="仿宋_GB2312" w:hAnsi="仿宋_GB2312" w:eastAsia="仿宋_GB2312" w:cs="仿宋_GB2312"/>
          <w:color w:val="auto"/>
          <w:sz w:val="32"/>
          <w:szCs w:val="32"/>
          <w:highlight w:val="none"/>
          <w:lang w:val="en-US" w:eastAsia="zh-CN"/>
        </w:rPr>
        <w:t>消防专项</w:t>
      </w:r>
      <w:r>
        <w:rPr>
          <w:rFonts w:hint="eastAsia" w:ascii="仿宋_GB2312" w:hAnsi="仿宋_GB2312" w:eastAsia="仿宋_GB2312" w:cs="仿宋_GB2312"/>
          <w:color w:val="auto"/>
          <w:sz w:val="32"/>
          <w:szCs w:val="32"/>
          <w:highlight w:val="none"/>
        </w:rPr>
        <w:t>审查</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rPr>
        <w:t>备案管理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今年5月以来，</w:t>
      </w:r>
      <w:r>
        <w:rPr>
          <w:rFonts w:hint="eastAsia" w:ascii="仿宋_GB2312" w:hAnsi="仿宋_GB2312" w:eastAsia="仿宋_GB2312" w:cs="仿宋_GB2312"/>
          <w:color w:val="auto"/>
          <w:kern w:val="0"/>
          <w:sz w:val="32"/>
          <w:szCs w:val="32"/>
          <w:highlight w:val="none"/>
          <w:lang w:val="en-US" w:eastAsia="zh-CN" w:bidi="ar"/>
        </w:rPr>
        <w:t>以采购服务的方式确定一家三方公司负责我市建筑工程消防审验工作，今年共计完成5个在建项目的消防审查。</w:t>
      </w:r>
      <w:r>
        <w:rPr>
          <w:rFonts w:hint="eastAsia" w:ascii="仿宋_GB2312" w:hAnsi="仿宋_GB2312" w:eastAsia="仿宋_GB2312" w:cs="仿宋_GB2312"/>
          <w:b/>
          <w:bCs w:val="0"/>
          <w:color w:val="auto"/>
          <w:sz w:val="32"/>
          <w:szCs w:val="32"/>
          <w:highlight w:val="none"/>
          <w:lang w:val="en-US" w:eastAsia="zh-CN"/>
        </w:rPr>
        <w:t>6.</w:t>
      </w:r>
      <w:r>
        <w:rPr>
          <w:rFonts w:hint="eastAsia" w:ascii="仿宋_GB2312" w:hAnsi="仿宋_GB2312" w:eastAsia="仿宋_GB2312" w:cs="仿宋_GB2312"/>
          <w:b/>
          <w:bCs w:val="0"/>
          <w:color w:val="auto"/>
          <w:sz w:val="32"/>
          <w:szCs w:val="32"/>
          <w:highlight w:val="none"/>
        </w:rPr>
        <w:t>加强农民工权益保护工作</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加强对施工单位民工工资支付情况专项检查，积极配合人力资源保障等部门解决好建设领域拖欠民工工资的问题，积极协调处理尘埃落定项目的一系列劳资纠纷，目前我市在建项目未发现拖欠工资的情况。</w:t>
      </w:r>
    </w:p>
    <w:p w14:paraId="5F099AA8">
      <w:pPr>
        <w:keepNext w:val="0"/>
        <w:keepLines w:val="0"/>
        <w:pageBreakBefore w:val="0"/>
        <w:numPr>
          <w:ilvl w:val="0"/>
          <w:numId w:val="0"/>
        </w:numPr>
        <w:kinsoku/>
        <w:wordWrap/>
        <w:topLinePunct w:val="0"/>
        <w:autoSpaceDN/>
        <w:bidi w:val="0"/>
        <w:adjustRightInd/>
        <w:snapToGrid/>
        <w:spacing w:line="560" w:lineRule="exact"/>
        <w:ind w:left="640" w:leftChars="0"/>
        <w:jc w:val="both"/>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（六）抓好质量安全监督，确保质量安全</w:t>
      </w:r>
    </w:p>
    <w:p w14:paraId="7FD6AF2F">
      <w:pPr>
        <w:keepNext w:val="0"/>
        <w:keepLines w:val="0"/>
        <w:pageBreakBefore w:val="0"/>
        <w:kinsoku/>
        <w:wordWrap/>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截至目前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我市</w:t>
      </w:r>
      <w:r>
        <w:rPr>
          <w:rFonts w:hint="eastAsia" w:ascii="仿宋_GB2312" w:hAnsi="仿宋_GB2312" w:eastAsia="仿宋_GB2312" w:cs="仿宋_GB2312"/>
          <w:color w:val="auto"/>
          <w:sz w:val="32"/>
          <w:szCs w:val="32"/>
          <w:highlight w:val="none"/>
          <w:lang w:val="en-US" w:eastAsia="zh-CN"/>
        </w:rPr>
        <w:t>在建项目</w:t>
      </w:r>
      <w:r>
        <w:rPr>
          <w:rFonts w:hint="eastAsia" w:ascii="仿宋_GB2312" w:hAnsi="仿宋_GB2312" w:eastAsia="仿宋_GB2312" w:cs="仿宋_GB2312"/>
          <w:color w:val="auto"/>
          <w:sz w:val="32"/>
          <w:szCs w:val="32"/>
          <w:highlight w:val="none"/>
        </w:rPr>
        <w:t>受监督工程项目</w:t>
      </w:r>
      <w:r>
        <w:rPr>
          <w:rFonts w:hint="eastAsia" w:ascii="仿宋_GB2312" w:hAnsi="仿宋_GB2312" w:eastAsia="仿宋_GB2312" w:cs="仿宋_GB2312"/>
          <w:color w:val="auto"/>
          <w:sz w:val="32"/>
          <w:szCs w:val="32"/>
          <w:highlight w:val="none"/>
          <w:lang w:val="en-US" w:eastAsia="zh-CN"/>
        </w:rPr>
        <w:t>75个</w:t>
      </w:r>
      <w:r>
        <w:rPr>
          <w:rFonts w:hint="eastAsia" w:ascii="仿宋_GB2312" w:hAnsi="仿宋_GB2312" w:eastAsia="仿宋_GB2312" w:cs="仿宋_GB2312"/>
          <w:color w:val="auto"/>
          <w:sz w:val="32"/>
          <w:szCs w:val="32"/>
          <w:highlight w:val="none"/>
        </w:rPr>
        <w:t>，总造价</w:t>
      </w:r>
      <w:r>
        <w:rPr>
          <w:rFonts w:hint="eastAsia" w:ascii="仿宋_GB2312" w:hAnsi="仿宋_GB2312" w:eastAsia="仿宋_GB2312" w:cs="仿宋_GB2312"/>
          <w:color w:val="auto"/>
          <w:sz w:val="32"/>
          <w:szCs w:val="32"/>
          <w:highlight w:val="none"/>
          <w:lang w:val="en-US" w:eastAsia="zh-CN"/>
        </w:rPr>
        <w:t>约29</w:t>
      </w:r>
      <w:r>
        <w:rPr>
          <w:rFonts w:hint="eastAsia" w:ascii="仿宋_GB2312" w:hAnsi="仿宋_GB2312" w:eastAsia="仿宋_GB2312" w:cs="仿宋_GB2312"/>
          <w:color w:val="auto"/>
          <w:sz w:val="32"/>
          <w:szCs w:val="32"/>
          <w:highlight w:val="none"/>
        </w:rPr>
        <w:t>亿元，总建筑面积</w:t>
      </w:r>
      <w:r>
        <w:rPr>
          <w:rFonts w:hint="eastAsia" w:ascii="仿宋_GB2312" w:hAnsi="仿宋_GB2312" w:eastAsia="仿宋_GB2312" w:cs="仿宋_GB2312"/>
          <w:color w:val="auto"/>
          <w:sz w:val="32"/>
          <w:szCs w:val="32"/>
          <w:highlight w:val="none"/>
          <w:lang w:val="en-US" w:eastAsia="zh-CN"/>
        </w:rPr>
        <w:t>47</w:t>
      </w:r>
      <w:r>
        <w:rPr>
          <w:rFonts w:hint="eastAsia" w:ascii="仿宋_GB2312" w:hAnsi="仿宋_GB2312" w:eastAsia="仿宋_GB2312" w:cs="仿宋_GB2312"/>
          <w:color w:val="auto"/>
          <w:sz w:val="32"/>
          <w:szCs w:val="32"/>
          <w:highlight w:val="none"/>
        </w:rPr>
        <w:t>万平方米</w:t>
      </w:r>
      <w:r>
        <w:rPr>
          <w:rFonts w:hint="eastAsia" w:ascii="仿宋_GB2312" w:hAnsi="仿宋_GB2312" w:eastAsia="仿宋_GB2312" w:cs="仿宋_GB2312"/>
          <w:color w:val="auto"/>
          <w:sz w:val="32"/>
          <w:szCs w:val="32"/>
          <w:highlight w:val="none"/>
          <w:lang w:val="en-US" w:eastAsia="zh-CN"/>
        </w:rPr>
        <w:t>。其中：跨年工程51个，新增项目23个，截至目前已完工项目31个，已竣工验收项目25个，在建19个</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受理</w:t>
      </w:r>
      <w:r>
        <w:rPr>
          <w:rFonts w:hint="eastAsia" w:ascii="仿宋_GB2312" w:hAnsi="仿宋_GB2312" w:eastAsia="仿宋_GB2312" w:cs="仿宋_GB2312"/>
          <w:color w:val="auto"/>
          <w:sz w:val="32"/>
          <w:szCs w:val="32"/>
          <w:highlight w:val="none"/>
          <w:lang w:val="en-US" w:eastAsia="zh-CN"/>
        </w:rPr>
        <w:t>并办结</w:t>
      </w:r>
      <w:r>
        <w:rPr>
          <w:rFonts w:hint="eastAsia" w:ascii="仿宋_GB2312" w:hAnsi="仿宋_GB2312" w:eastAsia="仿宋_GB2312" w:cs="仿宋_GB2312"/>
          <w:color w:val="auto"/>
          <w:sz w:val="32"/>
          <w:szCs w:val="32"/>
          <w:highlight w:val="none"/>
        </w:rPr>
        <w:t>工程质量</w:t>
      </w:r>
      <w:r>
        <w:rPr>
          <w:rFonts w:hint="eastAsia" w:ascii="仿宋_GB2312" w:hAnsi="仿宋_GB2312" w:eastAsia="仿宋_GB2312" w:cs="仿宋_GB2312"/>
          <w:color w:val="auto"/>
          <w:sz w:val="32"/>
          <w:szCs w:val="32"/>
          <w:highlight w:val="none"/>
          <w:lang w:val="en-US" w:eastAsia="zh-CN"/>
        </w:rPr>
        <w:t>安全监督12</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受理并办结建设工程消防验收及备案6项目，受理并办结竣工验收备案4项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均通过四川省政务一体化平台办理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参与工程实体监督</w:t>
      </w:r>
      <w:r>
        <w:rPr>
          <w:rFonts w:hint="eastAsia" w:ascii="仿宋_GB2312" w:hAnsi="仿宋_GB2312"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rPr>
        <w:t>余次，包括隐蔽工程验收、分部工程验收、单位工程验收及竣工验收、安全监督检查等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开展材料价格调查</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并开展了商品混凝土价格测算工作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4.开展施工起重机械安全专项整治工作。我站结合每月的质量安全例行巡查。5.</w:t>
      </w:r>
      <w:r>
        <w:rPr>
          <w:rFonts w:hint="eastAsia" w:ascii="仿宋_GB2312" w:hAnsi="仿宋_GB2312" w:eastAsia="仿宋_GB2312" w:cs="仿宋_GB2312"/>
          <w:color w:val="auto"/>
          <w:sz w:val="32"/>
          <w:szCs w:val="32"/>
          <w:highlight w:val="none"/>
        </w:rPr>
        <w:t>开展工程质量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安全文明施工</w:t>
      </w:r>
      <w:r>
        <w:rPr>
          <w:rFonts w:hint="eastAsia" w:ascii="仿宋_GB2312" w:hAnsi="仿宋_GB2312" w:eastAsia="仿宋_GB2312" w:cs="仿宋_GB2312"/>
          <w:color w:val="auto"/>
          <w:sz w:val="32"/>
          <w:szCs w:val="32"/>
          <w:highlight w:val="none"/>
          <w:lang w:val="en-US" w:eastAsia="zh-CN"/>
        </w:rPr>
        <w:t>及扬尘防治</w:t>
      </w:r>
      <w:r>
        <w:rPr>
          <w:rFonts w:hint="eastAsia" w:ascii="仿宋_GB2312" w:hAnsi="仿宋_GB2312" w:eastAsia="仿宋_GB2312" w:cs="仿宋_GB2312"/>
          <w:color w:val="auto"/>
          <w:sz w:val="32"/>
          <w:szCs w:val="32"/>
          <w:highlight w:val="none"/>
        </w:rPr>
        <w:t>例行巡查工作</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开展重大事故隐患排查整治工作，并对省厅检查发现的重大事故隐患跟踪督办。7.参与各州庆项目的推进协调工作。8.加强对各灾后重建项目的技术指导及质量安全监管。9.依法依规处理各类投诉。及时处理施工噪音扰民、扬尘污染等方面的投诉，对相应的建筑工地进行了进一步的规范施工要求。10.严格执法检查，联合市综合执法局开展多次执法检查，对检查发现的违法行为及时移交执法处理。11.在州住建局的领导下及时开展工地乱象整治专项行动，督促尘埃落定项目规范工地打围、硬化、规范设置喷淋设施。</w:t>
      </w:r>
    </w:p>
    <w:p w14:paraId="4649AB8B">
      <w:pPr>
        <w:keepNext w:val="0"/>
        <w:keepLines w:val="0"/>
        <w:pageBreakBefore w:val="0"/>
        <w:numPr>
          <w:ilvl w:val="0"/>
          <w:numId w:val="0"/>
        </w:numPr>
        <w:kinsoku/>
        <w:wordWrap/>
        <w:topLinePunct w:val="0"/>
        <w:autoSpaceDN/>
        <w:bidi w:val="0"/>
        <w:adjustRightInd/>
        <w:snapToGrid/>
        <w:spacing w:line="560" w:lineRule="exact"/>
        <w:ind w:left="640" w:leftChars="0"/>
        <w:jc w:val="both"/>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（七）加强房屋交易管理，稳定市场秩序</w:t>
      </w:r>
    </w:p>
    <w:p w14:paraId="432495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val="en-US" w:eastAsia="zh-CN"/>
        </w:rPr>
        <w:t>房产市场监管与调控</w:t>
      </w:r>
    </w:p>
    <w:p w14:paraId="104D67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累计</w:t>
      </w:r>
      <w:r>
        <w:rPr>
          <w:rFonts w:hint="eastAsia" w:ascii="仿宋_GB2312" w:hAnsi="仿宋_GB2312" w:eastAsia="仿宋_GB2312" w:cs="仿宋_GB2312"/>
          <w:color w:val="auto"/>
          <w:sz w:val="32"/>
          <w:szCs w:val="32"/>
          <w:highlight w:val="none"/>
          <w:lang w:val="en-US" w:eastAsia="zh-CN"/>
        </w:rPr>
        <w:t>检查</w:t>
      </w:r>
      <w:r>
        <w:rPr>
          <w:rFonts w:hint="default" w:ascii="仿宋_GB2312" w:hAnsi="仿宋_GB2312" w:eastAsia="仿宋_GB2312" w:cs="仿宋_GB2312"/>
          <w:color w:val="auto"/>
          <w:sz w:val="32"/>
          <w:szCs w:val="32"/>
          <w:highlight w:val="none"/>
          <w:lang w:val="en-US" w:eastAsia="zh-CN"/>
        </w:rPr>
        <w:t>楼盘</w:t>
      </w: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t>个，中介机构</w:t>
      </w: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US" w:eastAsia="zh-CN"/>
        </w:rPr>
        <w:t>家，</w:t>
      </w:r>
      <w:r>
        <w:rPr>
          <w:rFonts w:hint="eastAsia" w:ascii="仿宋_GB2312" w:hAnsi="仿宋_GB2312" w:eastAsia="仿宋_GB2312" w:cs="仿宋_GB2312"/>
          <w:color w:val="auto"/>
          <w:sz w:val="32"/>
          <w:szCs w:val="32"/>
          <w:highlight w:val="none"/>
          <w:lang w:val="en-US" w:eastAsia="zh-CN"/>
        </w:rPr>
        <w:t>让房地产市场环境健康有序，规范行业秩序、保障各方权益</w:t>
      </w:r>
      <w:r>
        <w:rPr>
          <w:rFonts w:hint="default" w:ascii="仿宋_GB2312" w:hAnsi="仿宋_GB2312" w:eastAsia="仿宋_GB2312" w:cs="仿宋_GB2312"/>
          <w:color w:val="auto"/>
          <w:sz w:val="32"/>
          <w:szCs w:val="32"/>
          <w:highlight w:val="none"/>
          <w:lang w:val="en-US" w:eastAsia="zh-CN"/>
        </w:rPr>
        <w:t>净化环境；</w:t>
      </w:r>
    </w:p>
    <w:p w14:paraId="6FBC76D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落实调控政策，加强</w:t>
      </w:r>
      <w:r>
        <w:rPr>
          <w:rFonts w:hint="eastAsia" w:ascii="仿宋_GB2312" w:hAnsi="仿宋_GB2312" w:eastAsia="仿宋_GB2312" w:cs="仿宋_GB2312"/>
          <w:color w:val="auto"/>
          <w:sz w:val="32"/>
          <w:szCs w:val="32"/>
          <w:highlight w:val="none"/>
          <w:lang w:val="en-US" w:eastAsia="zh-CN"/>
        </w:rPr>
        <w:t>商品房</w:t>
      </w:r>
      <w:r>
        <w:rPr>
          <w:rFonts w:hint="default" w:ascii="仿宋_GB2312" w:hAnsi="仿宋_GB2312" w:eastAsia="仿宋_GB2312" w:cs="仿宋_GB2312"/>
          <w:color w:val="auto"/>
          <w:sz w:val="32"/>
          <w:szCs w:val="32"/>
          <w:highlight w:val="none"/>
          <w:lang w:val="en-US" w:eastAsia="zh-CN"/>
        </w:rPr>
        <w:t>预售资金监管，确保专款专用，</w:t>
      </w:r>
      <w:r>
        <w:rPr>
          <w:rFonts w:hint="eastAsia" w:ascii="仿宋_GB2312" w:hAnsi="仿宋_GB2312" w:eastAsia="仿宋_GB2312" w:cs="仿宋_GB2312"/>
          <w:color w:val="auto"/>
          <w:sz w:val="32"/>
          <w:szCs w:val="32"/>
          <w:highlight w:val="none"/>
          <w:lang w:val="en-US" w:eastAsia="zh-CN"/>
        </w:rPr>
        <w:t>全年累积归集1.87亿元，累积拨付1.87 亿元，监管账户2家，已竣工交付，于2024年10月解除资金监管，</w:t>
      </w:r>
      <w:r>
        <w:rPr>
          <w:rFonts w:hint="default" w:ascii="仿宋_GB2312" w:hAnsi="仿宋_GB2312" w:eastAsia="仿宋_GB2312" w:cs="仿宋_GB2312"/>
          <w:color w:val="auto"/>
          <w:sz w:val="32"/>
          <w:szCs w:val="32"/>
          <w:highlight w:val="none"/>
          <w:lang w:val="en-US" w:eastAsia="zh-CN"/>
        </w:rPr>
        <w:t>有效防范项目烂尾风险。</w:t>
      </w:r>
    </w:p>
    <w:p w14:paraId="3CABEA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default" w:ascii="仿宋_GB2312" w:hAnsi="仿宋_GB2312" w:eastAsia="仿宋_GB2312" w:cs="仿宋_GB2312"/>
          <w:b/>
          <w:bCs/>
          <w:color w:val="auto"/>
          <w:sz w:val="32"/>
          <w:szCs w:val="32"/>
          <w:highlight w:val="none"/>
          <w:lang w:val="en-US" w:eastAsia="zh-CN"/>
        </w:rPr>
        <w:t>交易业务办理情况</w:t>
      </w:r>
    </w:p>
    <w:p w14:paraId="56FCB5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highlight w:val="none"/>
          <w:lang w:val="en-US" w:eastAsia="zh-CN"/>
        </w:rPr>
      </w:pPr>
      <w:r>
        <w:rPr>
          <w:rFonts w:hint="default" w:ascii="仿宋_GB2312" w:hAnsi="仿宋_GB2312" w:eastAsia="仿宋_GB2312" w:cs="仿宋_GB2312"/>
          <w:color w:val="auto"/>
          <w:sz w:val="32"/>
          <w:szCs w:val="32"/>
          <w:highlight w:val="none"/>
          <w:lang w:val="en-US" w:eastAsia="zh-CN"/>
        </w:rPr>
        <w:t>积极优化业务流程，推行 “一窗受理、集成服务” 模式，办理时长缩短了</w:t>
      </w:r>
      <w:r>
        <w:rPr>
          <w:rFonts w:hint="eastAsia" w:ascii="仿宋_GB2312" w:hAnsi="仿宋_GB2312" w:eastAsia="仿宋_GB2312" w:cs="仿宋_GB2312"/>
          <w:color w:val="auto"/>
          <w:sz w:val="32"/>
          <w:szCs w:val="32"/>
          <w:highlight w:val="none"/>
          <w:lang w:val="en-US" w:eastAsia="zh-CN"/>
        </w:rPr>
        <w:t>10</w:t>
      </w:r>
      <w:r>
        <w:rPr>
          <w:rFonts w:hint="default"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lang w:val="en-US" w:eastAsia="zh-CN"/>
        </w:rPr>
        <w:t>商品房备案277套</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销售面积2.9万平方米，</w:t>
      </w:r>
      <w:r>
        <w:rPr>
          <w:rFonts w:hint="default" w:ascii="仿宋_GB2312" w:hAnsi="仿宋_GB2312" w:eastAsia="仿宋_GB2312" w:cs="仿宋_GB2312"/>
          <w:color w:val="auto"/>
          <w:sz w:val="32"/>
          <w:szCs w:val="32"/>
          <w:highlight w:val="none"/>
          <w:lang w:val="en-US" w:eastAsia="zh-CN"/>
        </w:rPr>
        <w:t>交易金额</w:t>
      </w:r>
      <w:r>
        <w:rPr>
          <w:rFonts w:hint="eastAsia" w:ascii="仿宋_GB2312" w:hAnsi="仿宋_GB2312" w:eastAsia="仿宋_GB2312" w:cs="仿宋_GB2312"/>
          <w:color w:val="auto"/>
          <w:sz w:val="32"/>
          <w:szCs w:val="32"/>
          <w:highlight w:val="none"/>
          <w:lang w:val="en-US" w:eastAsia="zh-CN"/>
        </w:rPr>
        <w:t>3.04</w:t>
      </w:r>
      <w:r>
        <w:rPr>
          <w:rFonts w:hint="default" w:ascii="仿宋_GB2312" w:hAnsi="仿宋_GB2312" w:eastAsia="仿宋_GB2312" w:cs="仿宋_GB2312"/>
          <w:color w:val="auto"/>
          <w:sz w:val="32"/>
          <w:szCs w:val="32"/>
          <w:highlight w:val="none"/>
          <w:lang w:val="en-US" w:eastAsia="zh-CN"/>
        </w:rPr>
        <w:t xml:space="preserve"> 亿元；</w:t>
      </w:r>
      <w:r>
        <w:rPr>
          <w:rFonts w:hint="eastAsia" w:ascii="仿宋_GB2312" w:hAnsi="仿宋_GB2312" w:eastAsia="仿宋_GB2312" w:cs="仿宋_GB2312"/>
          <w:color w:val="auto"/>
          <w:sz w:val="32"/>
          <w:szCs w:val="32"/>
          <w:highlight w:val="none"/>
          <w:lang w:val="en-US" w:eastAsia="zh-CN"/>
        </w:rPr>
        <w:t>办</w:t>
      </w:r>
      <w:r>
        <w:rPr>
          <w:rFonts w:hint="default" w:ascii="仿宋_GB2312" w:hAnsi="仿宋_GB2312" w:eastAsia="仿宋_GB2312" w:cs="仿宋_GB2312"/>
          <w:color w:val="auto"/>
          <w:sz w:val="32"/>
          <w:szCs w:val="32"/>
          <w:highlight w:val="none"/>
          <w:lang w:val="en-US" w:eastAsia="zh-CN"/>
        </w:rPr>
        <w:t>理</w:t>
      </w:r>
      <w:r>
        <w:rPr>
          <w:rFonts w:hint="eastAsia" w:ascii="仿宋_GB2312" w:hAnsi="仿宋_GB2312" w:eastAsia="仿宋_GB2312" w:cs="仿宋_GB2312"/>
          <w:color w:val="auto"/>
          <w:sz w:val="32"/>
          <w:szCs w:val="32"/>
          <w:highlight w:val="none"/>
          <w:lang w:val="en-US" w:eastAsia="zh-CN"/>
        </w:rPr>
        <w:t>存量</w:t>
      </w:r>
      <w:r>
        <w:rPr>
          <w:rFonts w:hint="default"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color w:val="auto"/>
          <w:sz w:val="32"/>
          <w:szCs w:val="32"/>
          <w:highlight w:val="none"/>
          <w:lang w:val="en-US" w:eastAsia="zh-CN"/>
        </w:rPr>
        <w:t>交易214套</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销售面积2.28</w:t>
      </w:r>
      <w:r>
        <w:rPr>
          <w:rFonts w:hint="default" w:ascii="仿宋_GB2312" w:hAnsi="仿宋_GB2312" w:eastAsia="仿宋_GB2312" w:cs="仿宋_GB2312"/>
          <w:color w:val="auto"/>
          <w:sz w:val="32"/>
          <w:szCs w:val="32"/>
          <w:highlight w:val="none"/>
          <w:lang w:val="en-US" w:eastAsia="zh-CN"/>
        </w:rPr>
        <w:t>万平方米，</w:t>
      </w:r>
      <w:r>
        <w:rPr>
          <w:rFonts w:hint="eastAsia" w:ascii="仿宋_GB2312" w:hAnsi="仿宋_GB2312" w:eastAsia="仿宋_GB2312" w:cs="仿宋_GB2312"/>
          <w:color w:val="auto"/>
          <w:sz w:val="32"/>
          <w:szCs w:val="32"/>
          <w:highlight w:val="none"/>
          <w:lang w:val="en-US" w:eastAsia="zh-CN"/>
        </w:rPr>
        <w:t>签约金额1.19亿元。完成预售资金监管项目太阳公馆、康城锦地2个。办理资金拨付业务47笔。累积归集1.87亿元，累积拨付1.87 万元。办理棚户区改造和动迁房手工备案348套，备案面积2.76万平方米。完善了因历史遗留问题导致未办理不动产登记信息2处,分别是维宏达小区和马林局棚户区，共计319户的备案和不动产权登记。系统新建楼盘数据4处，共计13栋房屋，约面积6.2万平方米。</w:t>
      </w:r>
    </w:p>
    <w:p w14:paraId="02393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3.核查业务办理情况</w:t>
      </w:r>
    </w:p>
    <w:p w14:paraId="6FDE8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完成个人权属查询约</w:t>
      </w:r>
      <w:r>
        <w:rPr>
          <w:rFonts w:hint="eastAsia" w:ascii="仿宋" w:hAnsi="仿宋" w:eastAsia="仿宋" w:cs="仿宋"/>
          <w:color w:val="auto"/>
          <w:sz w:val="32"/>
          <w:szCs w:val="32"/>
          <w:highlight w:val="none"/>
          <w:lang w:val="en-US" w:eastAsia="zh-CN"/>
        </w:rPr>
        <w:t>3061</w:t>
      </w:r>
      <w:r>
        <w:rPr>
          <w:rFonts w:hint="eastAsia" w:ascii="仿宋" w:hAnsi="仿宋" w:eastAsia="仿宋" w:cs="仿宋"/>
          <w:color w:val="auto"/>
          <w:sz w:val="32"/>
          <w:szCs w:val="32"/>
          <w:highlight w:val="none"/>
        </w:rPr>
        <w:t>次，查询人数</w:t>
      </w:r>
      <w:r>
        <w:rPr>
          <w:rFonts w:hint="eastAsia" w:ascii="仿宋" w:hAnsi="仿宋" w:eastAsia="仿宋" w:cs="仿宋"/>
          <w:color w:val="auto"/>
          <w:sz w:val="32"/>
          <w:szCs w:val="32"/>
          <w:highlight w:val="none"/>
          <w:lang w:val="en-US" w:eastAsia="zh-CN"/>
        </w:rPr>
        <w:t>约6600</w:t>
      </w:r>
      <w:r>
        <w:rPr>
          <w:rFonts w:hint="eastAsia" w:ascii="仿宋" w:hAnsi="仿宋" w:eastAsia="仿宋" w:cs="仿宋"/>
          <w:color w:val="auto"/>
          <w:sz w:val="32"/>
          <w:szCs w:val="32"/>
          <w:highlight w:val="none"/>
        </w:rPr>
        <w:t>人。</w:t>
      </w:r>
    </w:p>
    <w:p w14:paraId="6269A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完成领导干部房屋信息核查</w:t>
      </w:r>
      <w:r>
        <w:rPr>
          <w:rFonts w:hint="eastAsia" w:ascii="仿宋" w:hAnsi="仿宋" w:eastAsia="仿宋" w:cs="仿宋"/>
          <w:color w:val="auto"/>
          <w:sz w:val="32"/>
          <w:szCs w:val="32"/>
          <w:highlight w:val="none"/>
          <w:lang w:val="en-US" w:eastAsia="zh-CN"/>
        </w:rPr>
        <w:t>117</w:t>
      </w:r>
      <w:r>
        <w:rPr>
          <w:rFonts w:hint="eastAsia" w:ascii="仿宋" w:hAnsi="仿宋" w:eastAsia="仿宋" w:cs="仿宋"/>
          <w:color w:val="auto"/>
          <w:sz w:val="32"/>
          <w:szCs w:val="32"/>
          <w:highlight w:val="none"/>
        </w:rPr>
        <w:t>批次约</w:t>
      </w:r>
      <w:r>
        <w:rPr>
          <w:rFonts w:hint="eastAsia" w:ascii="仿宋" w:hAnsi="仿宋" w:eastAsia="仿宋" w:cs="仿宋"/>
          <w:color w:val="auto"/>
          <w:sz w:val="32"/>
          <w:szCs w:val="32"/>
          <w:highlight w:val="none"/>
          <w:lang w:val="en-US" w:eastAsia="zh-CN"/>
        </w:rPr>
        <w:t>1500</w:t>
      </w:r>
      <w:r>
        <w:rPr>
          <w:rFonts w:hint="eastAsia" w:ascii="仿宋" w:hAnsi="仿宋" w:eastAsia="仿宋" w:cs="仿宋"/>
          <w:color w:val="auto"/>
          <w:sz w:val="32"/>
          <w:szCs w:val="32"/>
          <w:highlight w:val="none"/>
        </w:rPr>
        <w:t>人。</w:t>
      </w:r>
    </w:p>
    <w:p w14:paraId="3A00A3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4.其他业务办理情况</w:t>
      </w:r>
    </w:p>
    <w:p w14:paraId="06987855">
      <w:pPr>
        <w:keepNext w:val="0"/>
        <w:keepLines w:val="0"/>
        <w:pageBreakBefore w:val="0"/>
        <w:numPr>
          <w:ilvl w:val="0"/>
          <w:numId w:val="0"/>
        </w:numPr>
        <w:kinsoku/>
        <w:wordWrap/>
        <w:topLinePunct w:val="0"/>
        <w:autoSpaceDN/>
        <w:bidi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完善跟不动产登记中心信息资源共享；完成不动产权证登记补录918次，不动产权信息更正296次，抵押权注销104次；</w:t>
      </w:r>
      <w:r>
        <w:rPr>
          <w:rFonts w:hint="eastAsia" w:ascii="仿宋_GB2312" w:hAnsi="仿宋_GB2312" w:eastAsia="仿宋_GB2312" w:cs="仿宋_GB2312"/>
          <w:color w:val="auto"/>
          <w:sz w:val="32"/>
          <w:szCs w:val="32"/>
          <w:highlight w:val="none"/>
          <w:lang w:val="en-US" w:eastAsia="zh-CN"/>
        </w:rPr>
        <w:t>按时完成房地产市场月报、年报报表；</w:t>
      </w:r>
      <w:r>
        <w:rPr>
          <w:rFonts w:hint="eastAsia" w:ascii="仿宋" w:hAnsi="仿宋" w:eastAsia="仿宋" w:cs="仿宋"/>
          <w:color w:val="auto"/>
          <w:sz w:val="32"/>
          <w:szCs w:val="32"/>
          <w:highlight w:val="none"/>
          <w:lang w:val="en-US" w:eastAsia="zh-CN"/>
        </w:rPr>
        <w:t>协助单位各股室完成工改系统相关工作。</w:t>
      </w:r>
    </w:p>
    <w:p w14:paraId="3263D1B6">
      <w:pPr>
        <w:keepNext w:val="0"/>
        <w:keepLines w:val="0"/>
        <w:pageBreakBefore w:val="0"/>
        <w:numPr>
          <w:ilvl w:val="0"/>
          <w:numId w:val="0"/>
        </w:numPr>
        <w:kinsoku/>
        <w:wordWrap/>
        <w:topLinePunct w:val="0"/>
        <w:autoSpaceDN/>
        <w:bidi w:val="0"/>
        <w:adjustRightInd/>
        <w:snapToGrid/>
        <w:spacing w:line="560" w:lineRule="exact"/>
        <w:ind w:left="640" w:leftChars="0"/>
        <w:jc w:val="both"/>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（八）城乡环境综合治理 ，持续深化治理效果</w:t>
      </w:r>
    </w:p>
    <w:p w14:paraId="3657F498">
      <w:pPr>
        <w:keepNext w:val="0"/>
        <w:keepLines w:val="0"/>
        <w:pageBreakBefore w:val="0"/>
        <w:kinsoku/>
        <w:wordWrap/>
        <w:topLinePunct w:val="0"/>
        <w:autoSpaceDN/>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今年1-10月累计出动巡查人次600余次，发现并整改问题1000余处，共清理卫生死角垃圾70余顿，清理水上漂浮物30余吨（含河道两侧），清理和规范流动摊贩、占道经营2000余起，治理公厕脏乱差60余处，治理工地乱象30余起。发出整改通知书50余份。</w:t>
      </w:r>
    </w:p>
    <w:p w14:paraId="39DBB0F8">
      <w:pPr>
        <w:keepNext w:val="0"/>
        <w:keepLines w:val="0"/>
        <w:pageBreakBefore w:val="0"/>
        <w:numPr>
          <w:ilvl w:val="0"/>
          <w:numId w:val="0"/>
        </w:numPr>
        <w:kinsoku/>
        <w:wordWrap/>
        <w:topLinePunct w:val="0"/>
        <w:autoSpaceDN/>
        <w:bidi w:val="0"/>
        <w:adjustRightInd/>
        <w:snapToGrid/>
        <w:spacing w:line="560" w:lineRule="exact"/>
        <w:ind w:left="640" w:leftChars="0"/>
        <w:jc w:val="both"/>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（九）加强市政建设维护，点亮城市绿化建设</w:t>
      </w:r>
    </w:p>
    <w:p w14:paraId="53B9D4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市政设施管护规范化。安排专人对市政设施设备随坏随修，</w:t>
      </w:r>
      <w:r>
        <w:rPr>
          <w:rFonts w:hint="eastAsia" w:ascii="仿宋_GB2312" w:hAnsi="仿宋_GB2312" w:eastAsia="仿宋_GB2312" w:cs="仿宋_GB2312"/>
          <w:color w:val="auto"/>
          <w:sz w:val="32"/>
          <w:szCs w:val="32"/>
          <w:highlight w:val="none"/>
          <w:lang w:val="en-US" w:eastAsia="zh-CN"/>
        </w:rPr>
        <w:t>全年</w:t>
      </w:r>
      <w:r>
        <w:rPr>
          <w:rFonts w:hint="eastAsia" w:ascii="仿宋_GB2312" w:hAnsi="仿宋_GB2312" w:eastAsia="仿宋_GB2312" w:cs="仿宋_GB2312"/>
          <w:color w:val="auto"/>
          <w:sz w:val="32"/>
          <w:szCs w:val="32"/>
          <w:highlight w:val="none"/>
        </w:rPr>
        <w:t>修缮城区下沉井盖及路面</w:t>
      </w:r>
      <w:r>
        <w:rPr>
          <w:rFonts w:hint="eastAsia" w:ascii="仿宋_GB2312" w:hAnsi="仿宋_GB2312" w:eastAsia="仿宋_GB2312" w:cs="仿宋_GB2312"/>
          <w:color w:val="auto"/>
          <w:sz w:val="32"/>
          <w:szCs w:val="32"/>
          <w:highlight w:val="none"/>
          <w:lang w:val="en-US" w:eastAsia="zh-CN"/>
        </w:rPr>
        <w:t>80余处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修缮破损人行道地砖500余平方，疏通雨水、污水管网200余处，修缮人行道护栏15余处，处理山体塌方10余处，更换破损果皮箱13余处，维修更换路灯灯泡2000余个，更换损坏路灯时控器7个，更换损坏路灯跌落保险10个，更换损坏路灯线路300余米，更换路灯灯头200余个，配合协调电力公司修改路灯线路，维修更换夜景亮化灯具300余根，更换夜景亮化集中控制器24个，修复更改夜景亮化线路6处，维修更换夜景照明线路200余米。2024年1-6月共投入资金400余万元，（至今未拨付）2024年7-9月市政零星工程正在审计中。</w:t>
      </w:r>
    </w:p>
    <w:p w14:paraId="314BD7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城市园林绿化</w:t>
      </w:r>
      <w:r>
        <w:rPr>
          <w:rFonts w:hint="eastAsia" w:ascii="仿宋_GB2312" w:hAnsi="仿宋_GB2312" w:eastAsia="仿宋_GB2312" w:cs="仿宋_GB2312"/>
          <w:color w:val="auto"/>
          <w:sz w:val="32"/>
          <w:szCs w:val="32"/>
          <w:highlight w:val="none"/>
          <w:lang w:eastAsia="zh-CN"/>
        </w:rPr>
        <w:t>养护规范化</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bidi="ar"/>
        </w:rPr>
        <w:t>为加大主城区人居环境绿化，提高城区绿化率，美化城区人居环境。马尔康市绿化养护面积81616平方米，</w:t>
      </w:r>
      <w:r>
        <w:rPr>
          <w:rFonts w:hint="eastAsia" w:ascii="仿宋_GB2312" w:hAnsi="仿宋_GB2312" w:eastAsia="仿宋_GB2312" w:cs="仿宋_GB2312"/>
          <w:color w:val="auto"/>
          <w:sz w:val="32"/>
          <w:szCs w:val="32"/>
          <w:highlight w:val="none"/>
        </w:rPr>
        <w:t>嘎辉桥至绕城路两岸296个河堤花箱</w:t>
      </w:r>
      <w:r>
        <w:rPr>
          <w:rFonts w:hint="eastAsia" w:ascii="仿宋_GB2312" w:hAnsi="仿宋_GB2312" w:eastAsia="仿宋_GB2312" w:cs="仿宋_GB2312"/>
          <w:color w:val="auto"/>
          <w:sz w:val="32"/>
          <w:szCs w:val="32"/>
          <w:highlight w:val="none"/>
          <w:lang w:val="en-US" w:eastAsia="zh-CN"/>
        </w:rPr>
        <w:t>及加绒耍街</w:t>
      </w:r>
      <w:r>
        <w:rPr>
          <w:rFonts w:hint="eastAsia" w:ascii="仿宋_GB2312" w:hAnsi="仿宋_GB2312" w:eastAsia="仿宋_GB2312" w:cs="仿宋_GB2312"/>
          <w:color w:val="auto"/>
          <w:sz w:val="32"/>
          <w:szCs w:val="32"/>
          <w:highlight w:val="none"/>
        </w:rPr>
        <w:t>栽植的多花蔷薇进行精细化管理，补栽大花月季</w:t>
      </w:r>
      <w:r>
        <w:rPr>
          <w:rFonts w:hint="eastAsia" w:ascii="仿宋_GB2312" w:hAnsi="仿宋_GB2312" w:eastAsia="仿宋_GB2312" w:cs="仿宋_GB2312"/>
          <w:color w:val="auto"/>
          <w:sz w:val="32"/>
          <w:szCs w:val="32"/>
          <w:highlight w:val="none"/>
          <w:lang w:val="en-US" w:eastAsia="zh-CN"/>
        </w:rPr>
        <w:t>445</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eastAsia="zh-CN"/>
        </w:rPr>
        <w:t>株；</w:t>
      </w:r>
      <w:r>
        <w:rPr>
          <w:rFonts w:hint="eastAsia" w:ascii="仿宋_GB2312" w:hAnsi="仿宋_GB2312" w:eastAsia="仿宋_GB2312" w:cs="仿宋_GB2312"/>
          <w:color w:val="auto"/>
          <w:sz w:val="32"/>
          <w:szCs w:val="32"/>
          <w:highlight w:val="none"/>
          <w:lang w:val="en-US" w:eastAsia="zh-CN"/>
        </w:rPr>
        <w:t>266个护栏跨栏花箱</w:t>
      </w:r>
      <w:r>
        <w:rPr>
          <w:rFonts w:hint="eastAsia" w:ascii="仿宋_GB2312" w:hAnsi="仿宋_GB2312" w:eastAsia="仿宋_GB2312" w:cs="仿宋_GB2312"/>
          <w:color w:val="auto"/>
          <w:sz w:val="32"/>
          <w:szCs w:val="32"/>
          <w:highlight w:val="none"/>
        </w:rPr>
        <w:t>栽植</w:t>
      </w:r>
      <w:r>
        <w:rPr>
          <w:rFonts w:hint="eastAsia" w:ascii="仿宋_GB2312" w:hAnsi="仿宋_GB2312" w:eastAsia="仿宋_GB2312" w:cs="仿宋_GB2312"/>
          <w:color w:val="auto"/>
          <w:sz w:val="32"/>
          <w:szCs w:val="32"/>
          <w:highlight w:val="none"/>
          <w:lang w:val="en-US" w:eastAsia="zh-CN"/>
        </w:rPr>
        <w:t>牵牛花、月季、大丽菊鲜花3835盆；公路沿线补栽红枫114株、石楠柱12株、石楠球100株、女贞球40株、杜鹃180株；补栽色带苗大叶黄杨苗1000株、石楠苗26000株、女贞苗22000株。</w:t>
      </w:r>
    </w:p>
    <w:p w14:paraId="71B7252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lang w:eastAsia="zh-CN"/>
        </w:rPr>
        <w:t>存在的问题</w:t>
      </w:r>
    </w:p>
    <w:p w14:paraId="0B69F034">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jc w:val="both"/>
        <w:textAlignment w:val="auto"/>
        <w:rPr>
          <w:rStyle w:val="24"/>
          <w:rFonts w:hint="eastAsia" w:ascii="仿宋_GB2312" w:hAnsi="仿宋_GB2312" w:eastAsia="仿宋_GB2312" w:cs="仿宋_GB2312"/>
          <w:color w:val="auto"/>
          <w:kern w:val="2"/>
          <w:sz w:val="32"/>
          <w:szCs w:val="32"/>
          <w:highlight w:val="none"/>
          <w:lang w:val="en-US" w:eastAsia="zh-CN" w:bidi="ar-SA"/>
        </w:rPr>
      </w:pPr>
      <w:r>
        <w:rPr>
          <w:rStyle w:val="24"/>
          <w:rFonts w:hint="eastAsia" w:ascii="仿宋_GB2312" w:hAnsi="仿宋_GB2312" w:eastAsia="仿宋_GB2312" w:cs="仿宋_GB2312"/>
          <w:b/>
          <w:bCs/>
          <w:color w:val="auto"/>
          <w:kern w:val="2"/>
          <w:sz w:val="32"/>
          <w:szCs w:val="32"/>
          <w:highlight w:val="none"/>
          <w:lang w:val="en-US" w:eastAsia="zh-CN" w:bidi="ar-SA"/>
        </w:rPr>
        <w:t>1.</w:t>
      </w:r>
      <w:r>
        <w:rPr>
          <w:rStyle w:val="24"/>
          <w:rFonts w:hint="eastAsia" w:ascii="仿宋_GB2312" w:hAnsi="仿宋_GB2312" w:eastAsia="仿宋_GB2312" w:cs="仿宋_GB2312"/>
          <w:color w:val="auto"/>
          <w:kern w:val="2"/>
          <w:sz w:val="32"/>
          <w:szCs w:val="32"/>
          <w:highlight w:val="none"/>
          <w:lang w:val="en-US" w:eastAsia="zh-CN" w:bidi="ar-SA"/>
        </w:rPr>
        <w:t>旧城改建相关工作攻坚难度大，推进速度慢，需持续不断做好群众工作。</w:t>
      </w:r>
    </w:p>
    <w:p w14:paraId="6F375F25">
      <w:pPr>
        <w:keepNext w:val="0"/>
        <w:keepLines w:val="0"/>
        <w:pageBreakBefore w:val="0"/>
        <w:numPr>
          <w:ilvl w:val="0"/>
          <w:numId w:val="0"/>
        </w:numPr>
        <w:kinsoku/>
        <w:wordWrap/>
        <w:topLinePunct w:val="0"/>
        <w:autoSpaceDN/>
        <w:bidi w:val="0"/>
        <w:spacing w:line="560" w:lineRule="exact"/>
        <w:ind w:firstLine="640" w:firstLineChars="200"/>
        <w:textAlignment w:val="auto"/>
        <w:rPr>
          <w:rFonts w:hint="default" w:ascii="黑体" w:eastAsia="黑体"/>
          <w:color w:val="auto"/>
          <w:sz w:val="32"/>
          <w:szCs w:val="32"/>
          <w:highlight w:val="none"/>
          <w:lang w:val="en-US" w:eastAsia="zh-CN"/>
        </w:rPr>
      </w:pPr>
      <w:r>
        <w:rPr>
          <w:rFonts w:hint="eastAsia" w:ascii="仿宋_GB2312" w:eastAsia="仿宋_GB2312"/>
          <w:color w:val="auto"/>
          <w:sz w:val="32"/>
          <w:szCs w:val="32"/>
          <w:highlight w:val="none"/>
          <w:lang w:val="en-US" w:eastAsia="zh-CN"/>
        </w:rPr>
        <w:t>2.目前未办理施工许可手续就已进入施工环节的问题比较突出。</w:t>
      </w:r>
    </w:p>
    <w:p w14:paraId="39CACF55">
      <w:pPr>
        <w:keepNext w:val="0"/>
        <w:keepLines w:val="0"/>
        <w:pageBreakBefore w:val="0"/>
        <w:kinsoku/>
        <w:wordWrap/>
        <w:topLinePunct w:val="0"/>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3.房屋交易中心</w:t>
      </w:r>
      <w:r>
        <w:rPr>
          <w:rFonts w:hint="eastAsia" w:ascii="仿宋" w:hAnsi="仿宋" w:eastAsia="仿宋" w:cs="仿宋"/>
          <w:color w:val="auto"/>
          <w:sz w:val="32"/>
          <w:szCs w:val="32"/>
          <w:highlight w:val="none"/>
        </w:rPr>
        <w:t>流程繁琐拖沓</w:t>
      </w:r>
      <w:r>
        <w:rPr>
          <w:rFonts w:hint="eastAsia" w:ascii="仿宋" w:hAnsi="仿宋" w:eastAsia="仿宋" w:cs="仿宋"/>
          <w:color w:val="auto"/>
          <w:sz w:val="32"/>
          <w:szCs w:val="32"/>
          <w:highlight w:val="none"/>
          <w:lang w:eastAsia="zh-CN"/>
        </w:rPr>
        <w:t>，</w:t>
      </w:r>
      <w:r>
        <w:rPr>
          <w:rFonts w:hint="default" w:ascii="仿宋" w:hAnsi="仿宋" w:eastAsia="仿宋" w:cs="仿宋"/>
          <w:color w:val="auto"/>
          <w:sz w:val="32"/>
          <w:szCs w:val="32"/>
          <w:highlight w:val="none"/>
        </w:rPr>
        <w:t>审批速度</w:t>
      </w:r>
      <w:r>
        <w:rPr>
          <w:rFonts w:hint="eastAsia" w:ascii="仿宋" w:hAnsi="仿宋" w:eastAsia="仿宋" w:cs="仿宋"/>
          <w:color w:val="auto"/>
          <w:sz w:val="32"/>
          <w:szCs w:val="32"/>
          <w:highlight w:val="none"/>
          <w:lang w:val="en-US" w:eastAsia="zh-CN"/>
        </w:rPr>
        <w:t>较</w:t>
      </w:r>
      <w:r>
        <w:rPr>
          <w:rFonts w:hint="default" w:ascii="仿宋" w:hAnsi="仿宋" w:eastAsia="仿宋" w:cs="仿宋"/>
          <w:color w:val="auto"/>
          <w:sz w:val="32"/>
          <w:szCs w:val="32"/>
          <w:highlight w:val="none"/>
        </w:rPr>
        <w:t>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窗口业务积压时有发生。</w:t>
      </w:r>
      <w:r>
        <w:rPr>
          <w:rFonts w:hint="default" w:ascii="仿宋" w:hAnsi="仿宋" w:eastAsia="仿宋" w:cs="仿宋"/>
          <w:color w:val="auto"/>
          <w:sz w:val="32"/>
          <w:szCs w:val="32"/>
          <w:highlight w:val="none"/>
        </w:rPr>
        <w:t>特殊房产交易，如法拍房、继承房过户审批，内部流转层级多，个别审批耗时超法定时限，阻碍交易进程，</w:t>
      </w:r>
      <w:r>
        <w:rPr>
          <w:rFonts w:hint="eastAsia" w:ascii="仿宋" w:hAnsi="仿宋" w:eastAsia="仿宋" w:cs="仿宋"/>
          <w:color w:val="auto"/>
          <w:sz w:val="32"/>
          <w:szCs w:val="32"/>
          <w:highlight w:val="none"/>
          <w:lang w:val="en-US" w:eastAsia="zh-CN"/>
        </w:rPr>
        <w:t>易</w:t>
      </w:r>
      <w:r>
        <w:rPr>
          <w:rFonts w:hint="default" w:ascii="仿宋" w:hAnsi="仿宋" w:eastAsia="仿宋" w:cs="仿宋"/>
          <w:color w:val="auto"/>
          <w:sz w:val="32"/>
          <w:szCs w:val="32"/>
          <w:highlight w:val="none"/>
        </w:rPr>
        <w:t>引发办事群众不满。</w:t>
      </w:r>
    </w:p>
    <w:p w14:paraId="7824F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kern w:val="2"/>
          <w:sz w:val="32"/>
          <w:szCs w:val="32"/>
        </w:rPr>
      </w:pPr>
      <w:r>
        <w:rPr>
          <w:rFonts w:hint="eastAsia" w:ascii="仿宋" w:hAnsi="仿宋" w:eastAsia="仿宋"/>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马尔康市路灯东起桌克基，西止俄尔雅武警中队，路灯共计1296盏（在持续增加中）城区内路灯线路损坏较为严重，多处需要开挖路面及人行道进行修复或更换线路，主城区多处区域系2023年新铺设道路，不允许开挖。2023年夜景照明新建部分已基本移交至我局，目前我局缺少专业维修维护队伍，涉及高空作业、河道作业、编程人员，夜景照明线路损坏较多，且多处路灯集中控制器损坏，需要更换设备。我局目前维修路灯人员2名，车辆2辆（其中一辆已年久未修无法正常使用）无车辆维修保养购买保险及加油（含尿素）专项资金。</w:t>
      </w:r>
    </w:p>
    <w:p w14:paraId="0C594920">
      <w:pPr>
        <w:pStyle w:val="18"/>
        <w:spacing w:before="0" w:line="360" w:lineRule="auto"/>
        <w:ind w:firstLine="643" w:firstLineChars="200"/>
        <w:rPr>
          <w:rFonts w:ascii="??" w:hAnsi="??" w:eastAsia="宋体" w:cs="宋体"/>
          <w:b/>
          <w:bCs/>
          <w:sz w:val="32"/>
          <w:szCs w:val="32"/>
        </w:rPr>
      </w:pPr>
      <w:r>
        <w:rPr>
          <w:rFonts w:hint="eastAsia" w:ascii="??" w:hAnsi="??" w:eastAsia="宋体" w:cs="宋体"/>
          <w:b/>
          <w:bCs/>
          <w:sz w:val="32"/>
          <w:szCs w:val="32"/>
        </w:rPr>
        <w:t>　　二、部门预算单位构成</w:t>
      </w:r>
    </w:p>
    <w:p w14:paraId="610EB56A">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马尔康市住建局属一级预算单位，其中：行政单位</w:t>
      </w:r>
      <w:r>
        <w:rPr>
          <w:rFonts w:hint="eastAsia" w:ascii="??" w:hAnsi="??" w:eastAsia="宋体" w:cs="宋体"/>
          <w:sz w:val="32"/>
          <w:szCs w:val="32"/>
          <w:lang w:val="en-US" w:eastAsia="zh-CN"/>
        </w:rPr>
        <w:t>1</w:t>
      </w:r>
      <w:r>
        <w:rPr>
          <w:rFonts w:hint="eastAsia" w:ascii="??" w:hAnsi="??" w:eastAsia="宋体" w:cs="宋体"/>
          <w:sz w:val="32"/>
          <w:szCs w:val="32"/>
        </w:rPr>
        <w:t>个；参照公务员法管理的事业单位0个；其他事业单位</w:t>
      </w:r>
      <w:r>
        <w:rPr>
          <w:rFonts w:hint="eastAsia" w:ascii="??" w:hAnsi="??" w:eastAsia="宋体" w:cs="宋体"/>
          <w:sz w:val="32"/>
          <w:szCs w:val="32"/>
          <w:lang w:val="en-US" w:eastAsia="zh-CN"/>
        </w:rPr>
        <w:t>1</w:t>
      </w:r>
      <w:r>
        <w:rPr>
          <w:rFonts w:hint="eastAsia" w:ascii="??" w:hAnsi="??" w:eastAsia="宋体" w:cs="宋体"/>
          <w:sz w:val="32"/>
          <w:szCs w:val="32"/>
        </w:rPr>
        <w:t>个。</w:t>
      </w:r>
    </w:p>
    <w:p w14:paraId="5F30BC22">
      <w:pPr>
        <w:pStyle w:val="18"/>
        <w:spacing w:before="0" w:line="360" w:lineRule="auto"/>
        <w:ind w:firstLine="643" w:firstLineChars="200"/>
        <w:rPr>
          <w:rFonts w:ascii="??" w:hAnsi="??" w:eastAsia="宋体" w:cs="宋体"/>
          <w:b/>
          <w:bCs/>
          <w:sz w:val="32"/>
          <w:szCs w:val="32"/>
        </w:rPr>
      </w:pPr>
      <w:r>
        <w:rPr>
          <w:rFonts w:hint="eastAsia" w:ascii="??" w:hAnsi="??" w:eastAsia="宋体" w:cs="宋体"/>
          <w:b/>
          <w:bCs/>
          <w:sz w:val="32"/>
          <w:szCs w:val="32"/>
        </w:rPr>
        <w:t>　　三、收支预算情况说明</w:t>
      </w:r>
    </w:p>
    <w:p w14:paraId="1CB6F68A">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　　按照综合预算的原则，马尔康市住建局所有收入和支出均纳入部门预算管理。收入包括：一般公共预算拨款收入</w:t>
      </w:r>
      <w:r>
        <w:rPr>
          <w:rFonts w:hint="eastAsia" w:ascii="??" w:hAnsi="??" w:eastAsia="宋体" w:cs="宋体"/>
          <w:sz w:val="32"/>
          <w:szCs w:val="32"/>
          <w:lang w:val="en-US" w:eastAsia="zh-CN"/>
        </w:rPr>
        <w:t>1073.09</w:t>
      </w:r>
      <w:r>
        <w:rPr>
          <w:rFonts w:hint="eastAsia" w:ascii="??" w:hAnsi="??" w:eastAsia="宋体" w:cs="宋体"/>
          <w:sz w:val="32"/>
          <w:szCs w:val="32"/>
        </w:rPr>
        <w:t>万元，事业收入0万元，其他收入0万元</w:t>
      </w:r>
      <w:r>
        <w:rPr>
          <w:rFonts w:hint="eastAsia" w:ascii="??" w:hAnsi="??" w:eastAsia="宋体" w:cs="宋体"/>
          <w:color w:val="000000" w:themeColor="text1"/>
          <w:sz w:val="32"/>
          <w:szCs w:val="32"/>
          <w14:textFill>
            <w14:solidFill>
              <w14:schemeClr w14:val="tx1"/>
            </w14:solidFill>
          </w14:textFill>
        </w:rPr>
        <w:t>，</w:t>
      </w:r>
      <w:r>
        <w:rPr>
          <w:rFonts w:hint="eastAsia" w:ascii="??" w:hAnsi="??" w:eastAsia="宋体" w:cs="宋体"/>
          <w:sz w:val="32"/>
          <w:szCs w:val="32"/>
        </w:rPr>
        <w:t>上年结转</w:t>
      </w:r>
      <w:r>
        <w:rPr>
          <w:rFonts w:hint="eastAsia" w:ascii="??" w:hAnsi="??" w:eastAsia="宋体" w:cs="宋体"/>
          <w:sz w:val="32"/>
          <w:szCs w:val="32"/>
          <w:lang w:val="en-US" w:eastAsia="zh-CN"/>
        </w:rPr>
        <w:t>8253.07</w:t>
      </w:r>
      <w:r>
        <w:rPr>
          <w:rFonts w:hint="eastAsia" w:ascii="??" w:hAnsi="??" w:eastAsia="宋体" w:cs="宋体"/>
          <w:sz w:val="32"/>
          <w:szCs w:val="32"/>
        </w:rPr>
        <w:t>万元；马尔康市住建局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4</w:t>
      </w:r>
      <w:r>
        <w:rPr>
          <w:rFonts w:hint="eastAsia" w:ascii="??" w:hAnsi="??" w:eastAsia="宋体" w:cs="宋体"/>
          <w:sz w:val="32"/>
          <w:szCs w:val="32"/>
        </w:rPr>
        <w:t>年收支总预算</w:t>
      </w:r>
      <w:r>
        <w:rPr>
          <w:rFonts w:hint="eastAsia" w:ascii="??" w:hAnsi="??" w:eastAsia="宋体" w:cs="宋体"/>
          <w:sz w:val="32"/>
          <w:szCs w:val="32"/>
          <w:lang w:val="en-US" w:eastAsia="zh-CN"/>
        </w:rPr>
        <w:t>8271.65</w:t>
      </w:r>
      <w:r>
        <w:rPr>
          <w:rFonts w:hint="eastAsia" w:ascii="??" w:hAnsi="??" w:eastAsia="宋体" w:cs="宋体"/>
          <w:sz w:val="32"/>
          <w:szCs w:val="32"/>
        </w:rPr>
        <w:t>万元</w:t>
      </w:r>
      <w:r>
        <w:rPr>
          <w:rFonts w:ascii="??" w:hAnsi="??" w:eastAsia="宋体" w:cs="宋体"/>
          <w:sz w:val="32"/>
          <w:szCs w:val="32"/>
        </w:rPr>
        <w:t>,</w:t>
      </w:r>
      <w:r>
        <w:rPr>
          <w:rFonts w:hint="eastAsia" w:ascii="??" w:hAnsi="??" w:eastAsia="宋体" w:cs="宋体"/>
          <w:sz w:val="32"/>
          <w:szCs w:val="32"/>
        </w:rPr>
        <w:t>　比202</w:t>
      </w:r>
      <w:r>
        <w:rPr>
          <w:rFonts w:hint="eastAsia" w:ascii="??" w:hAnsi="??" w:eastAsia="宋体" w:cs="宋体"/>
          <w:sz w:val="32"/>
          <w:szCs w:val="32"/>
          <w:lang w:val="en-US" w:eastAsia="zh-CN"/>
        </w:rPr>
        <w:t>4</w:t>
      </w:r>
      <w:r>
        <w:rPr>
          <w:rFonts w:hint="eastAsia" w:ascii="??" w:hAnsi="??" w:eastAsia="宋体" w:cs="宋体"/>
          <w:sz w:val="32"/>
          <w:szCs w:val="32"/>
        </w:rPr>
        <w:t>年收支预算总数增加</w:t>
      </w:r>
      <w:r>
        <w:rPr>
          <w:rFonts w:hint="eastAsia" w:ascii="??" w:hAnsi="??" w:eastAsia="宋体" w:cs="宋体"/>
          <w:sz w:val="32"/>
          <w:szCs w:val="32"/>
          <w:lang w:val="en-US" w:eastAsia="zh-CN"/>
        </w:rPr>
        <w:t>1839.85</w:t>
      </w:r>
      <w:r>
        <w:rPr>
          <w:rFonts w:hint="eastAsia" w:ascii="??" w:hAnsi="??" w:eastAsia="宋体" w:cs="宋体"/>
          <w:sz w:val="32"/>
          <w:szCs w:val="32"/>
        </w:rPr>
        <w:t>万元，主要原因</w:t>
      </w:r>
      <w:r>
        <w:rPr>
          <w:rFonts w:ascii="??" w:hAnsi="??" w:eastAsia="宋体" w:cs="宋体"/>
          <w:sz w:val="32"/>
          <w:szCs w:val="32"/>
        </w:rPr>
        <w:t>:</w:t>
      </w:r>
      <w:r>
        <w:rPr>
          <w:rFonts w:hint="eastAsia" w:ascii="??" w:hAnsi="??" w:eastAsia="宋体" w:cs="宋体"/>
          <w:sz w:val="32"/>
          <w:szCs w:val="32"/>
        </w:rPr>
        <w:t>人员变动，工资变动，上年结转。</w:t>
      </w:r>
    </w:p>
    <w:p w14:paraId="5A14D4B0">
      <w:pPr>
        <w:pStyle w:val="18"/>
        <w:spacing w:before="0" w:line="360" w:lineRule="auto"/>
        <w:ind w:firstLine="640" w:firstLineChars="200"/>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（一）收入预算情况</w:t>
      </w:r>
    </w:p>
    <w:p w14:paraId="2EAC89B6">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　　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5</w:t>
      </w:r>
      <w:r>
        <w:rPr>
          <w:rFonts w:hint="eastAsia" w:ascii="??" w:hAnsi="??" w:eastAsia="宋体" w:cs="宋体"/>
          <w:sz w:val="32"/>
          <w:szCs w:val="32"/>
        </w:rPr>
        <w:t>年收入预算</w:t>
      </w:r>
      <w:r>
        <w:rPr>
          <w:rFonts w:hint="eastAsia" w:ascii="??" w:hAnsi="??" w:eastAsia="宋体" w:cs="宋体"/>
          <w:sz w:val="32"/>
          <w:szCs w:val="32"/>
          <w:lang w:val="en-US" w:eastAsia="zh-CN"/>
        </w:rPr>
        <w:t>9326.16</w:t>
      </w:r>
      <w:r>
        <w:rPr>
          <w:rFonts w:hint="eastAsia" w:ascii="??" w:hAnsi="??" w:eastAsia="宋体" w:cs="宋体"/>
          <w:sz w:val="32"/>
          <w:szCs w:val="32"/>
        </w:rPr>
        <w:t>万元，其中：；一般公共预算拨款收入</w:t>
      </w:r>
      <w:r>
        <w:rPr>
          <w:rFonts w:hint="eastAsia" w:ascii="??" w:hAnsi="??" w:eastAsia="宋体" w:cs="宋体"/>
          <w:sz w:val="32"/>
          <w:szCs w:val="32"/>
          <w:lang w:val="en-US" w:eastAsia="zh-CN"/>
        </w:rPr>
        <w:t>1073.09</w:t>
      </w:r>
      <w:r>
        <w:rPr>
          <w:rFonts w:hint="eastAsia" w:ascii="??" w:hAnsi="??" w:eastAsia="宋体" w:cs="宋体"/>
          <w:sz w:val="32"/>
          <w:szCs w:val="32"/>
        </w:rPr>
        <w:t>万元，占1</w:t>
      </w:r>
      <w:r>
        <w:rPr>
          <w:rFonts w:hint="eastAsia" w:ascii="??" w:hAnsi="??" w:eastAsia="宋体" w:cs="宋体"/>
          <w:sz w:val="32"/>
          <w:szCs w:val="32"/>
          <w:lang w:val="en-US" w:eastAsia="zh-CN"/>
        </w:rPr>
        <w:t>1</w:t>
      </w:r>
      <w:r>
        <w:rPr>
          <w:rFonts w:hint="eastAsia" w:ascii="??" w:hAnsi="??" w:eastAsia="宋体" w:cs="宋体"/>
          <w:sz w:val="32"/>
          <w:szCs w:val="32"/>
        </w:rPr>
        <w:t>.51</w:t>
      </w:r>
      <w:r>
        <w:rPr>
          <w:rFonts w:ascii="??" w:hAnsi="??" w:eastAsia="宋体" w:cs="宋体"/>
          <w:sz w:val="32"/>
          <w:szCs w:val="32"/>
        </w:rPr>
        <w:t>%</w:t>
      </w:r>
      <w:r>
        <w:rPr>
          <w:rFonts w:hint="eastAsia" w:ascii="??" w:hAnsi="??" w:eastAsia="宋体" w:cs="宋体"/>
          <w:sz w:val="32"/>
          <w:szCs w:val="32"/>
        </w:rPr>
        <w:t>。</w:t>
      </w:r>
    </w:p>
    <w:p w14:paraId="3E001E90">
      <w:pPr>
        <w:pStyle w:val="18"/>
        <w:spacing w:before="0" w:line="360" w:lineRule="auto"/>
        <w:ind w:firstLine="640" w:firstLineChars="200"/>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（二）支出预算情况</w:t>
      </w:r>
    </w:p>
    <w:p w14:paraId="56C18509">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5</w:t>
      </w:r>
      <w:r>
        <w:rPr>
          <w:rFonts w:hint="eastAsia" w:ascii="??" w:hAnsi="??" w:eastAsia="宋体" w:cs="宋体"/>
          <w:sz w:val="32"/>
          <w:szCs w:val="32"/>
        </w:rPr>
        <w:t>年支出预算</w:t>
      </w:r>
      <w:r>
        <w:rPr>
          <w:rFonts w:hint="eastAsia" w:ascii="??" w:hAnsi="??" w:eastAsia="宋体" w:cs="宋体"/>
          <w:sz w:val="32"/>
          <w:szCs w:val="32"/>
          <w:lang w:val="en-US" w:eastAsia="zh-CN"/>
        </w:rPr>
        <w:t>9326.16</w:t>
      </w:r>
      <w:r>
        <w:rPr>
          <w:rFonts w:hint="eastAsia" w:ascii="??" w:hAnsi="??" w:eastAsia="宋体" w:cs="宋体"/>
          <w:sz w:val="32"/>
          <w:szCs w:val="32"/>
        </w:rPr>
        <w:t>万元，其中：基本支出</w:t>
      </w:r>
      <w:r>
        <w:rPr>
          <w:rFonts w:hint="eastAsia" w:ascii="??" w:hAnsi="??" w:eastAsia="宋体" w:cs="宋体"/>
          <w:sz w:val="32"/>
          <w:szCs w:val="32"/>
          <w:lang w:val="en-US" w:eastAsia="zh-CN"/>
        </w:rPr>
        <w:t>1073.09</w:t>
      </w:r>
      <w:r>
        <w:rPr>
          <w:rFonts w:hint="eastAsia" w:ascii="??" w:hAnsi="??" w:eastAsia="宋体" w:cs="宋体"/>
          <w:sz w:val="32"/>
          <w:szCs w:val="32"/>
        </w:rPr>
        <w:t>万元，占</w:t>
      </w:r>
      <w:r>
        <w:rPr>
          <w:rFonts w:hint="eastAsia" w:ascii="??" w:hAnsi="??" w:eastAsia="宋体" w:cs="宋体"/>
          <w:sz w:val="32"/>
          <w:szCs w:val="32"/>
          <w:lang w:val="en-US" w:eastAsia="zh-CN"/>
        </w:rPr>
        <w:t>11</w:t>
      </w:r>
      <w:r>
        <w:rPr>
          <w:rFonts w:hint="eastAsia" w:ascii="??" w:hAnsi="??" w:eastAsia="宋体" w:cs="宋体"/>
          <w:sz w:val="32"/>
          <w:szCs w:val="32"/>
        </w:rPr>
        <w:t>.51</w:t>
      </w:r>
      <w:r>
        <w:rPr>
          <w:rFonts w:ascii="??" w:hAnsi="??" w:eastAsia="宋体" w:cs="宋体"/>
          <w:sz w:val="32"/>
          <w:szCs w:val="32"/>
        </w:rPr>
        <w:t>%</w:t>
      </w:r>
      <w:r>
        <w:rPr>
          <w:rFonts w:hint="eastAsia" w:ascii="??" w:hAnsi="??" w:eastAsia="宋体" w:cs="宋体"/>
          <w:sz w:val="32"/>
          <w:szCs w:val="32"/>
        </w:rPr>
        <w:t>；项目支出</w:t>
      </w:r>
      <w:r>
        <w:rPr>
          <w:rFonts w:hint="eastAsia" w:ascii="??" w:hAnsi="??" w:eastAsia="宋体" w:cs="宋体"/>
          <w:sz w:val="32"/>
          <w:szCs w:val="32"/>
          <w:lang w:val="en-US" w:eastAsia="zh-CN"/>
        </w:rPr>
        <w:t>8253.07</w:t>
      </w:r>
      <w:r>
        <w:rPr>
          <w:rFonts w:hint="eastAsia" w:ascii="??" w:hAnsi="??" w:eastAsia="宋体" w:cs="宋体"/>
          <w:sz w:val="32"/>
          <w:szCs w:val="32"/>
        </w:rPr>
        <w:t>万元，占8</w:t>
      </w:r>
      <w:r>
        <w:rPr>
          <w:rFonts w:hint="eastAsia" w:ascii="??" w:hAnsi="??" w:eastAsia="宋体" w:cs="宋体"/>
          <w:sz w:val="32"/>
          <w:szCs w:val="32"/>
          <w:lang w:val="en-US" w:eastAsia="zh-CN"/>
        </w:rPr>
        <w:t>8</w:t>
      </w:r>
      <w:r>
        <w:rPr>
          <w:rFonts w:hint="eastAsia" w:ascii="??" w:hAnsi="??" w:eastAsia="宋体" w:cs="宋体"/>
          <w:sz w:val="32"/>
          <w:szCs w:val="32"/>
        </w:rPr>
        <w:t>.4</w:t>
      </w:r>
      <w:r>
        <w:rPr>
          <w:rFonts w:hint="eastAsia" w:ascii="??" w:hAnsi="??" w:eastAsia="宋体" w:cs="宋体"/>
          <w:sz w:val="32"/>
          <w:szCs w:val="32"/>
          <w:lang w:val="en-US" w:eastAsia="zh-CN"/>
        </w:rPr>
        <w:t>9</w:t>
      </w:r>
      <w:r>
        <w:rPr>
          <w:rFonts w:ascii="??" w:hAnsi="??" w:eastAsia="宋体" w:cs="宋体"/>
          <w:sz w:val="32"/>
          <w:szCs w:val="32"/>
        </w:rPr>
        <w:t>%</w:t>
      </w:r>
      <w:r>
        <w:rPr>
          <w:rFonts w:hint="eastAsia" w:ascii="??" w:hAnsi="??" w:eastAsia="宋体" w:cs="宋体"/>
          <w:sz w:val="32"/>
          <w:szCs w:val="32"/>
        </w:rPr>
        <w:t>。</w:t>
      </w:r>
    </w:p>
    <w:p w14:paraId="68CA0E81">
      <w:pPr>
        <w:pStyle w:val="18"/>
        <w:spacing w:before="0" w:line="360" w:lineRule="auto"/>
        <w:ind w:firstLine="643" w:firstLineChars="200"/>
        <w:rPr>
          <w:rFonts w:ascii="??" w:hAnsi="??" w:eastAsia="宋体" w:cs="宋体"/>
          <w:b/>
          <w:bCs/>
          <w:sz w:val="32"/>
          <w:szCs w:val="32"/>
        </w:rPr>
      </w:pPr>
      <w:r>
        <w:rPr>
          <w:rFonts w:hint="eastAsia" w:ascii="??" w:hAnsi="??" w:eastAsia="宋体" w:cs="宋体"/>
          <w:b/>
          <w:bCs/>
          <w:sz w:val="32"/>
          <w:szCs w:val="32"/>
        </w:rPr>
        <w:t>　　四、财政拨款收支预算情况说明</w:t>
      </w:r>
    </w:p>
    <w:p w14:paraId="7FBE2763">
      <w:pPr>
        <w:pStyle w:val="18"/>
        <w:spacing w:before="0" w:line="360" w:lineRule="auto"/>
        <w:ind w:firstLine="640" w:firstLineChars="200"/>
        <w:rPr>
          <w:rFonts w:ascii="??" w:hAnsi="??" w:eastAsia="宋体" w:cs="宋体"/>
          <w:b/>
          <w:bCs/>
          <w:sz w:val="32"/>
          <w:szCs w:val="32"/>
        </w:rPr>
      </w:pPr>
      <w:r>
        <w:rPr>
          <w:rFonts w:hint="eastAsia" w:ascii="??" w:hAnsi="??" w:eastAsia="宋体" w:cs="宋体"/>
          <w:sz w:val="32"/>
          <w:szCs w:val="32"/>
        </w:rPr>
        <w:t>　　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5</w:t>
      </w:r>
      <w:r>
        <w:rPr>
          <w:rFonts w:hint="eastAsia" w:ascii="??" w:hAnsi="??" w:eastAsia="宋体" w:cs="宋体"/>
          <w:sz w:val="32"/>
          <w:szCs w:val="32"/>
        </w:rPr>
        <w:t>年财政拨款收支总预算</w:t>
      </w:r>
      <w:r>
        <w:rPr>
          <w:rFonts w:hint="eastAsia" w:ascii="??" w:hAnsi="??" w:eastAsia="宋体" w:cs="宋体"/>
          <w:sz w:val="32"/>
          <w:szCs w:val="32"/>
          <w:lang w:val="en-US" w:eastAsia="zh-CN"/>
        </w:rPr>
        <w:t>9326.16</w:t>
      </w:r>
      <w:r>
        <w:rPr>
          <w:rFonts w:hint="eastAsia" w:ascii="??" w:hAnsi="??" w:eastAsia="宋体" w:cs="宋体"/>
          <w:sz w:val="32"/>
          <w:szCs w:val="32"/>
        </w:rPr>
        <w:t>万元</w:t>
      </w:r>
      <w:r>
        <w:rPr>
          <w:rFonts w:ascii="??" w:hAnsi="??" w:eastAsia="宋体" w:cs="宋体"/>
          <w:sz w:val="32"/>
          <w:szCs w:val="32"/>
        </w:rPr>
        <w:t>,</w:t>
      </w:r>
      <w:r>
        <w:rPr>
          <w:rFonts w:hint="eastAsia" w:ascii="??" w:hAnsi="??" w:eastAsia="宋体" w:cs="宋体"/>
          <w:sz w:val="32"/>
          <w:szCs w:val="32"/>
        </w:rPr>
        <w:t>基本收入为</w:t>
      </w:r>
      <w:r>
        <w:rPr>
          <w:rFonts w:hint="eastAsia" w:ascii="??" w:hAnsi="??" w:eastAsia="宋体" w:cs="宋体"/>
          <w:sz w:val="32"/>
          <w:szCs w:val="32"/>
          <w:lang w:val="en-US" w:eastAsia="zh-CN"/>
        </w:rPr>
        <w:t>1073.09</w:t>
      </w:r>
      <w:r>
        <w:rPr>
          <w:rFonts w:hint="eastAsia" w:ascii="??" w:hAnsi="??" w:eastAsia="宋体" w:cs="宋体"/>
          <w:sz w:val="32"/>
          <w:szCs w:val="32"/>
        </w:rPr>
        <w:t>万元，比202</w:t>
      </w:r>
      <w:r>
        <w:rPr>
          <w:rFonts w:hint="eastAsia" w:ascii="??" w:hAnsi="??" w:eastAsia="宋体" w:cs="宋体"/>
          <w:sz w:val="32"/>
          <w:szCs w:val="32"/>
          <w:lang w:val="en-US" w:eastAsia="zh-CN"/>
        </w:rPr>
        <w:t>4</w:t>
      </w:r>
      <w:r>
        <w:rPr>
          <w:rFonts w:hint="eastAsia" w:ascii="??" w:hAnsi="??" w:eastAsia="宋体" w:cs="宋体"/>
          <w:sz w:val="32"/>
          <w:szCs w:val="32"/>
        </w:rPr>
        <w:t>年财政拨款收支总预算增加</w:t>
      </w:r>
      <w:r>
        <w:rPr>
          <w:rFonts w:hint="eastAsia" w:ascii="??" w:hAnsi="??" w:eastAsia="宋体" w:cs="宋体"/>
          <w:sz w:val="32"/>
          <w:szCs w:val="32"/>
          <w:lang w:val="en-US" w:eastAsia="zh-CN"/>
        </w:rPr>
        <w:t>1839.85</w:t>
      </w:r>
      <w:r>
        <w:rPr>
          <w:rFonts w:hint="eastAsia" w:ascii="??" w:hAnsi="??" w:eastAsia="宋体" w:cs="宋体"/>
          <w:sz w:val="32"/>
          <w:szCs w:val="32"/>
        </w:rPr>
        <w:t>万元，主要原因</w:t>
      </w:r>
      <w:r>
        <w:rPr>
          <w:rFonts w:ascii="??" w:hAnsi="??" w:eastAsia="宋体" w:cs="宋体"/>
          <w:sz w:val="32"/>
          <w:szCs w:val="32"/>
        </w:rPr>
        <w:t>:</w:t>
      </w:r>
      <w:r>
        <w:rPr>
          <w:rFonts w:hint="eastAsia" w:ascii="??" w:hAnsi="??" w:eastAsia="宋体" w:cs="宋体"/>
          <w:sz w:val="32"/>
          <w:szCs w:val="32"/>
        </w:rPr>
        <w:t>人员增加，上年结转。收入包括：本年一般公共预算拨款收入</w:t>
      </w:r>
      <w:r>
        <w:rPr>
          <w:rFonts w:hint="eastAsia" w:ascii="??" w:hAnsi="??" w:eastAsia="宋体" w:cs="宋体"/>
          <w:sz w:val="32"/>
          <w:szCs w:val="32"/>
          <w:lang w:val="en-US" w:eastAsia="zh-CN"/>
        </w:rPr>
        <w:t>1073.09</w:t>
      </w:r>
      <w:r>
        <w:rPr>
          <w:rFonts w:hint="eastAsia" w:ascii="??" w:hAnsi="??" w:eastAsia="宋体" w:cs="宋体"/>
          <w:sz w:val="32"/>
          <w:szCs w:val="32"/>
        </w:rPr>
        <w:t>万元，上年结转财政拨款资金</w:t>
      </w:r>
      <w:r>
        <w:rPr>
          <w:rFonts w:hint="eastAsia" w:ascii="??" w:hAnsi="??" w:eastAsia="宋体" w:cs="宋体"/>
          <w:sz w:val="32"/>
          <w:szCs w:val="32"/>
          <w:lang w:val="en-US" w:eastAsia="zh-CN"/>
        </w:rPr>
        <w:t>8253.07</w:t>
      </w:r>
      <w:r>
        <w:rPr>
          <w:rFonts w:hint="eastAsia" w:ascii="??" w:hAnsi="??" w:eastAsia="宋体" w:cs="宋体"/>
          <w:sz w:val="32"/>
          <w:szCs w:val="32"/>
        </w:rPr>
        <w:t>万元；其中城乡社区支出</w:t>
      </w:r>
      <w:r>
        <w:rPr>
          <w:rFonts w:hint="eastAsia" w:ascii="??" w:hAnsi="??" w:eastAsia="宋体" w:cs="宋体"/>
          <w:sz w:val="32"/>
          <w:szCs w:val="32"/>
          <w:lang w:val="en-US" w:eastAsia="zh-CN"/>
        </w:rPr>
        <w:t>7045.95</w:t>
      </w:r>
      <w:r>
        <w:rPr>
          <w:rFonts w:hint="eastAsia" w:ascii="??" w:hAnsi="??" w:eastAsia="宋体" w:cs="宋体"/>
          <w:sz w:val="32"/>
          <w:szCs w:val="32"/>
        </w:rPr>
        <w:t>万元，社会保障和就业支出</w:t>
      </w:r>
      <w:r>
        <w:rPr>
          <w:rFonts w:hint="eastAsia" w:ascii="??" w:hAnsi="??" w:eastAsia="宋体" w:cs="宋体"/>
          <w:sz w:val="32"/>
          <w:szCs w:val="32"/>
          <w:lang w:val="en-US" w:eastAsia="zh-CN"/>
        </w:rPr>
        <w:t>147.33</w:t>
      </w:r>
      <w:r>
        <w:rPr>
          <w:rFonts w:hint="eastAsia" w:ascii="??" w:hAnsi="??" w:eastAsia="宋体" w:cs="宋体"/>
          <w:sz w:val="32"/>
          <w:szCs w:val="32"/>
        </w:rPr>
        <w:t>万元，卫生健康支出</w:t>
      </w:r>
      <w:r>
        <w:rPr>
          <w:rFonts w:hint="eastAsia" w:ascii="??" w:hAnsi="??" w:eastAsia="宋体" w:cs="宋体"/>
          <w:sz w:val="32"/>
          <w:szCs w:val="32"/>
          <w:lang w:val="en-US" w:eastAsia="zh-CN"/>
        </w:rPr>
        <w:t>71.02</w:t>
      </w:r>
      <w:r>
        <w:rPr>
          <w:rFonts w:hint="eastAsia" w:ascii="??" w:hAnsi="??" w:eastAsia="宋体" w:cs="宋体"/>
          <w:sz w:val="32"/>
          <w:szCs w:val="32"/>
        </w:rPr>
        <w:t>万元，住房保障支出</w:t>
      </w:r>
      <w:r>
        <w:rPr>
          <w:rFonts w:hint="eastAsia" w:ascii="??" w:hAnsi="??" w:eastAsia="宋体" w:cs="宋体"/>
          <w:sz w:val="32"/>
          <w:szCs w:val="32"/>
          <w:lang w:val="en-US" w:eastAsia="zh-CN"/>
        </w:rPr>
        <w:t>84.79</w:t>
      </w:r>
      <w:r>
        <w:rPr>
          <w:rFonts w:hint="eastAsia" w:ascii="??" w:hAnsi="??" w:eastAsia="宋体" w:cs="宋体"/>
          <w:sz w:val="32"/>
          <w:szCs w:val="32"/>
        </w:rPr>
        <w:t>万元，其他支出</w:t>
      </w:r>
      <w:r>
        <w:rPr>
          <w:rFonts w:hint="eastAsia" w:ascii="??" w:hAnsi="??" w:eastAsia="宋体" w:cs="宋体"/>
          <w:sz w:val="32"/>
          <w:szCs w:val="32"/>
          <w:lang w:val="en-US" w:eastAsia="zh-CN"/>
        </w:rPr>
        <w:t>1977.07</w:t>
      </w:r>
      <w:r>
        <w:rPr>
          <w:rFonts w:hint="eastAsia" w:ascii="??" w:hAnsi="??" w:eastAsia="宋体" w:cs="宋体"/>
          <w:sz w:val="32"/>
          <w:szCs w:val="32"/>
        </w:rPr>
        <w:t>万元。马尔康市住建局</w:t>
      </w:r>
      <w:r>
        <w:rPr>
          <w:rFonts w:ascii="??" w:hAnsi="??" w:eastAsia="宋体" w:cs="宋体"/>
          <w:sz w:val="32"/>
          <w:szCs w:val="32"/>
        </w:rPr>
        <w:t>20</w:t>
      </w:r>
      <w:r>
        <w:rPr>
          <w:rFonts w:hint="eastAsia" w:ascii="??" w:hAnsi="??" w:eastAsia="宋体" w:cs="宋体"/>
          <w:sz w:val="32"/>
          <w:szCs w:val="32"/>
        </w:rPr>
        <w:t>24年收支总预算</w:t>
      </w:r>
      <w:r>
        <w:rPr>
          <w:rFonts w:hint="eastAsia" w:ascii="??" w:hAnsi="??" w:eastAsia="宋体" w:cs="宋体"/>
          <w:sz w:val="32"/>
          <w:szCs w:val="32"/>
          <w:lang w:val="en-US" w:eastAsia="zh-CN"/>
        </w:rPr>
        <w:t>9326.16</w:t>
      </w:r>
      <w:r>
        <w:rPr>
          <w:rFonts w:hint="eastAsia" w:ascii="??" w:hAnsi="??" w:eastAsia="宋体" w:cs="宋体"/>
          <w:sz w:val="32"/>
          <w:szCs w:val="32"/>
        </w:rPr>
        <w:t>万元。</w:t>
      </w:r>
    </w:p>
    <w:p w14:paraId="7F7DDD16">
      <w:pPr>
        <w:pStyle w:val="18"/>
        <w:spacing w:before="0" w:line="360" w:lineRule="auto"/>
        <w:ind w:left="481"/>
        <w:rPr>
          <w:rFonts w:ascii="??" w:hAnsi="??" w:eastAsia="宋体" w:cs="宋体"/>
          <w:b/>
          <w:bCs/>
          <w:sz w:val="32"/>
          <w:szCs w:val="32"/>
        </w:rPr>
      </w:pPr>
      <w:r>
        <w:rPr>
          <w:rFonts w:hint="eastAsia" w:ascii="??" w:hAnsi="??" w:eastAsia="宋体" w:cs="宋体"/>
          <w:b/>
          <w:bCs/>
          <w:sz w:val="32"/>
          <w:szCs w:val="32"/>
        </w:rPr>
        <w:t>五、一般公共预算当年拨款情况说明</w:t>
      </w:r>
    </w:p>
    <w:p w14:paraId="0E89ACAE">
      <w:pPr>
        <w:pStyle w:val="18"/>
        <w:spacing w:before="0" w:line="360" w:lineRule="auto"/>
        <w:ind w:left="481"/>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（一）一般公共预算当年拨款规模变化情况</w:t>
      </w:r>
    </w:p>
    <w:p w14:paraId="31576A76">
      <w:pPr>
        <w:pStyle w:val="18"/>
        <w:spacing w:before="0" w:line="360" w:lineRule="auto"/>
        <w:ind w:left="481"/>
        <w:rPr>
          <w:rFonts w:ascii="??" w:hAnsi="??" w:eastAsia="宋体" w:cs="宋体"/>
          <w:sz w:val="32"/>
          <w:szCs w:val="32"/>
        </w:rPr>
      </w:pPr>
      <w:r>
        <w:rPr>
          <w:rFonts w:hint="eastAsia" w:ascii="??" w:hAnsi="??" w:eastAsia="宋体" w:cs="宋体"/>
          <w:sz w:val="32"/>
          <w:szCs w:val="32"/>
        </w:rPr>
        <w:t>　　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5</w:t>
      </w:r>
      <w:r>
        <w:rPr>
          <w:rFonts w:hint="eastAsia" w:ascii="??" w:hAnsi="??" w:eastAsia="宋体" w:cs="宋体"/>
          <w:sz w:val="32"/>
          <w:szCs w:val="32"/>
        </w:rPr>
        <w:t>年一般公共预算当年拨款</w:t>
      </w:r>
      <w:r>
        <w:rPr>
          <w:rFonts w:hint="eastAsia" w:ascii="??" w:hAnsi="??" w:eastAsia="宋体" w:cs="宋体"/>
          <w:sz w:val="32"/>
          <w:szCs w:val="32"/>
          <w:lang w:val="en-US" w:eastAsia="zh-CN"/>
        </w:rPr>
        <w:t>5386.16</w:t>
      </w:r>
      <w:r>
        <w:rPr>
          <w:rFonts w:hint="eastAsia" w:ascii="??" w:hAnsi="??" w:eastAsia="宋体" w:cs="宋体"/>
          <w:sz w:val="32"/>
          <w:szCs w:val="32"/>
        </w:rPr>
        <w:t>万元，比2023年预算数</w:t>
      </w:r>
      <w:r>
        <w:rPr>
          <w:rFonts w:hint="eastAsia" w:ascii="??" w:hAnsi="??" w:eastAsia="宋体" w:cs="宋体"/>
          <w:sz w:val="32"/>
          <w:szCs w:val="32"/>
          <w:lang w:val="en-US" w:eastAsia="zh-CN"/>
        </w:rPr>
        <w:t>减少899.85</w:t>
      </w:r>
      <w:r>
        <w:rPr>
          <w:rFonts w:hint="eastAsia" w:ascii="??" w:hAnsi="??" w:eastAsia="宋体" w:cs="宋体"/>
          <w:sz w:val="32"/>
          <w:szCs w:val="32"/>
        </w:rPr>
        <w:t>万元，主要是基本支出增加</w:t>
      </w:r>
      <w:r>
        <w:rPr>
          <w:rFonts w:hint="eastAsia" w:ascii="??" w:hAnsi="??" w:eastAsia="宋体" w:cs="宋体"/>
          <w:sz w:val="32"/>
          <w:szCs w:val="32"/>
          <w:lang w:val="en-US" w:eastAsia="zh-CN"/>
        </w:rPr>
        <w:t>286.08</w:t>
      </w:r>
      <w:r>
        <w:rPr>
          <w:rFonts w:hint="eastAsia" w:ascii="??" w:hAnsi="??" w:eastAsia="宋体" w:cs="宋体"/>
          <w:sz w:val="32"/>
          <w:szCs w:val="32"/>
        </w:rPr>
        <w:t>万元</w:t>
      </w:r>
      <w:r>
        <w:rPr>
          <w:rFonts w:hint="eastAsia" w:ascii="??" w:hAnsi="??" w:eastAsia="宋体" w:cs="宋体"/>
          <w:sz w:val="32"/>
          <w:szCs w:val="32"/>
          <w:lang w:eastAsia="zh-CN"/>
        </w:rPr>
        <w:t>，</w:t>
      </w:r>
      <w:r>
        <w:rPr>
          <w:rFonts w:hint="eastAsia" w:ascii="??" w:hAnsi="??" w:eastAsia="宋体" w:cs="宋体"/>
          <w:sz w:val="32"/>
          <w:szCs w:val="32"/>
          <w:lang w:val="en-US" w:eastAsia="zh-CN"/>
        </w:rPr>
        <w:t>上年结转减少899.85万元</w:t>
      </w:r>
      <w:r>
        <w:rPr>
          <w:rFonts w:hint="eastAsia" w:ascii="??" w:hAnsi="??" w:eastAsia="宋体" w:cs="宋体"/>
          <w:sz w:val="32"/>
          <w:szCs w:val="32"/>
        </w:rPr>
        <w:t>，主要原因</w:t>
      </w:r>
      <w:r>
        <w:rPr>
          <w:rFonts w:ascii="??" w:hAnsi="??" w:eastAsia="宋体" w:cs="宋体"/>
          <w:sz w:val="32"/>
          <w:szCs w:val="32"/>
        </w:rPr>
        <w:t>:</w:t>
      </w:r>
      <w:r>
        <w:rPr>
          <w:rFonts w:hint="eastAsia" w:ascii="??" w:hAnsi="??" w:eastAsia="宋体" w:cs="宋体"/>
          <w:sz w:val="32"/>
          <w:szCs w:val="32"/>
        </w:rPr>
        <w:t>人员增加</w:t>
      </w:r>
      <w:r>
        <w:rPr>
          <w:rFonts w:hint="eastAsia" w:ascii="??" w:hAnsi="??" w:eastAsia="宋体" w:cs="宋体"/>
          <w:sz w:val="32"/>
          <w:szCs w:val="32"/>
          <w:lang w:eastAsia="zh-CN"/>
        </w:rPr>
        <w:t>，</w:t>
      </w:r>
      <w:r>
        <w:rPr>
          <w:rFonts w:hint="eastAsia" w:ascii="??" w:hAnsi="??" w:eastAsia="宋体" w:cs="宋体"/>
          <w:sz w:val="32"/>
          <w:szCs w:val="32"/>
          <w:lang w:val="en-US" w:eastAsia="zh-CN"/>
        </w:rPr>
        <w:t>上年项目结转</w:t>
      </w:r>
      <w:r>
        <w:rPr>
          <w:rFonts w:hint="eastAsia" w:ascii="??" w:hAnsi="??" w:eastAsia="宋体" w:cs="宋体"/>
          <w:sz w:val="32"/>
          <w:szCs w:val="32"/>
        </w:rPr>
        <w:t>。</w:t>
      </w:r>
    </w:p>
    <w:p w14:paraId="2751DC77">
      <w:pPr>
        <w:pStyle w:val="18"/>
        <w:spacing w:before="0" w:line="360" w:lineRule="auto"/>
        <w:ind w:left="481" w:firstLine="645"/>
        <w:rPr>
          <w:rFonts w:hint="eastAsia" w:ascii="??" w:hAnsi="??" w:eastAsia="宋体" w:cs="宋体"/>
          <w:b/>
          <w:sz w:val="32"/>
          <w:szCs w:val="32"/>
        </w:rPr>
      </w:pPr>
      <w:r>
        <w:rPr>
          <w:rFonts w:hint="eastAsia" w:ascii="??" w:hAnsi="??" w:eastAsia="宋体" w:cs="宋体"/>
          <w:b/>
          <w:sz w:val="32"/>
          <w:szCs w:val="32"/>
        </w:rPr>
        <w:t>（二）一般公共预算当年拨款结构情况（按照各单位预算中涉及功能科目逐一说明）</w:t>
      </w:r>
    </w:p>
    <w:p w14:paraId="751EBCE0">
      <w:pPr>
        <w:pStyle w:val="18"/>
        <w:spacing w:before="0" w:line="360" w:lineRule="auto"/>
        <w:ind w:left="481" w:firstLine="645"/>
        <w:rPr>
          <w:rFonts w:ascii="??" w:hAnsi="??" w:eastAsia="宋体" w:cs="宋体"/>
          <w:sz w:val="32"/>
          <w:szCs w:val="32"/>
        </w:rPr>
      </w:pPr>
      <w:r>
        <w:rPr>
          <w:rFonts w:hint="eastAsia" w:ascii="??" w:hAnsi="??" w:eastAsia="宋体" w:cs="宋体"/>
          <w:sz w:val="32"/>
          <w:szCs w:val="32"/>
        </w:rPr>
        <w:t>城乡社区支出</w:t>
      </w:r>
      <w:r>
        <w:rPr>
          <w:rFonts w:hint="eastAsia" w:ascii="??" w:hAnsi="??" w:eastAsia="宋体" w:cs="宋体"/>
          <w:sz w:val="32"/>
          <w:szCs w:val="32"/>
          <w:lang w:val="en-US" w:eastAsia="zh-CN"/>
        </w:rPr>
        <w:t>3105.95</w:t>
      </w:r>
      <w:r>
        <w:rPr>
          <w:rFonts w:hint="eastAsia" w:ascii="??" w:hAnsi="??" w:eastAsia="宋体" w:cs="宋体"/>
          <w:sz w:val="32"/>
          <w:szCs w:val="32"/>
        </w:rPr>
        <w:t>万元，占比</w:t>
      </w:r>
      <w:r>
        <w:rPr>
          <w:rFonts w:hint="eastAsia" w:ascii="??" w:hAnsi="??" w:eastAsia="宋体" w:cs="宋体"/>
          <w:sz w:val="32"/>
          <w:szCs w:val="32"/>
          <w:lang w:val="en-US" w:eastAsia="zh-CN"/>
        </w:rPr>
        <w:t>75.55</w:t>
      </w:r>
      <w:r>
        <w:rPr>
          <w:rFonts w:hint="eastAsia" w:ascii="??" w:hAnsi="??" w:eastAsia="宋体" w:cs="宋体"/>
          <w:sz w:val="32"/>
          <w:szCs w:val="32"/>
        </w:rPr>
        <w:t>%；社会保障和就业支出</w:t>
      </w:r>
      <w:r>
        <w:rPr>
          <w:rFonts w:hint="eastAsia" w:ascii="??" w:hAnsi="??" w:eastAsia="宋体" w:cs="宋体"/>
          <w:sz w:val="32"/>
          <w:szCs w:val="32"/>
          <w:lang w:val="en-US" w:eastAsia="zh-CN"/>
        </w:rPr>
        <w:t>147.33</w:t>
      </w:r>
      <w:r>
        <w:rPr>
          <w:rFonts w:hint="eastAsia" w:ascii="??" w:hAnsi="??" w:eastAsia="宋体" w:cs="宋体"/>
          <w:sz w:val="32"/>
          <w:szCs w:val="32"/>
        </w:rPr>
        <w:t>万元占比1.5</w:t>
      </w:r>
      <w:r>
        <w:rPr>
          <w:rFonts w:hint="eastAsia" w:ascii="??" w:hAnsi="??" w:eastAsia="宋体" w:cs="宋体"/>
          <w:sz w:val="32"/>
          <w:szCs w:val="32"/>
          <w:lang w:val="en-US" w:eastAsia="zh-CN"/>
        </w:rPr>
        <w:t>8</w:t>
      </w:r>
      <w:r>
        <w:rPr>
          <w:rFonts w:hint="eastAsia" w:ascii="??" w:hAnsi="??" w:eastAsia="宋体" w:cs="宋体"/>
          <w:sz w:val="32"/>
          <w:szCs w:val="32"/>
        </w:rPr>
        <w:t>%，卫生健康支出</w:t>
      </w:r>
      <w:r>
        <w:rPr>
          <w:rFonts w:hint="eastAsia" w:ascii="??" w:hAnsi="??" w:eastAsia="宋体" w:cs="宋体"/>
          <w:sz w:val="32"/>
          <w:szCs w:val="32"/>
          <w:lang w:val="en-US" w:eastAsia="zh-CN"/>
        </w:rPr>
        <w:t>71.02</w:t>
      </w:r>
      <w:r>
        <w:rPr>
          <w:rFonts w:hint="eastAsia" w:ascii="??" w:hAnsi="??" w:eastAsia="宋体" w:cs="宋体"/>
          <w:sz w:val="32"/>
          <w:szCs w:val="32"/>
        </w:rPr>
        <w:t>万元占比0.</w:t>
      </w:r>
      <w:r>
        <w:rPr>
          <w:rFonts w:hint="eastAsia" w:ascii="??" w:hAnsi="??" w:eastAsia="宋体" w:cs="宋体"/>
          <w:sz w:val="32"/>
          <w:szCs w:val="32"/>
          <w:lang w:val="en-US" w:eastAsia="zh-CN"/>
        </w:rPr>
        <w:t>76</w:t>
      </w:r>
      <w:r>
        <w:rPr>
          <w:rFonts w:hint="eastAsia" w:ascii="??" w:hAnsi="??" w:eastAsia="宋体" w:cs="宋体"/>
          <w:sz w:val="32"/>
          <w:szCs w:val="32"/>
        </w:rPr>
        <w:t>%，住房保障支出</w:t>
      </w:r>
      <w:r>
        <w:rPr>
          <w:rFonts w:hint="eastAsia" w:ascii="??" w:hAnsi="??" w:eastAsia="宋体" w:cs="宋体"/>
          <w:sz w:val="32"/>
          <w:szCs w:val="32"/>
          <w:lang w:val="en-US" w:eastAsia="zh-CN"/>
        </w:rPr>
        <w:t>84.79</w:t>
      </w:r>
      <w:r>
        <w:rPr>
          <w:rFonts w:hint="eastAsia" w:ascii="??" w:hAnsi="??" w:eastAsia="宋体" w:cs="宋体"/>
          <w:sz w:val="32"/>
          <w:szCs w:val="32"/>
        </w:rPr>
        <w:t>万元占比0.</w:t>
      </w:r>
      <w:r>
        <w:rPr>
          <w:rFonts w:hint="eastAsia" w:ascii="??" w:hAnsi="??" w:eastAsia="宋体" w:cs="宋体"/>
          <w:sz w:val="32"/>
          <w:szCs w:val="32"/>
          <w:lang w:val="en-US" w:eastAsia="zh-CN"/>
        </w:rPr>
        <w:t>91</w:t>
      </w:r>
      <w:r>
        <w:rPr>
          <w:rFonts w:hint="eastAsia" w:ascii="??" w:hAnsi="??" w:eastAsia="宋体" w:cs="宋体"/>
          <w:sz w:val="32"/>
          <w:szCs w:val="32"/>
        </w:rPr>
        <w:t>%，其他支出</w:t>
      </w:r>
      <w:r>
        <w:rPr>
          <w:rFonts w:hint="eastAsia" w:ascii="??" w:hAnsi="??" w:eastAsia="宋体" w:cs="宋体"/>
          <w:sz w:val="32"/>
          <w:szCs w:val="32"/>
          <w:lang w:val="en-US" w:eastAsia="zh-CN"/>
        </w:rPr>
        <w:t>1977.07</w:t>
      </w:r>
      <w:r>
        <w:rPr>
          <w:rFonts w:hint="eastAsia" w:ascii="??" w:hAnsi="??" w:eastAsia="宋体" w:cs="宋体"/>
          <w:sz w:val="32"/>
          <w:szCs w:val="32"/>
        </w:rPr>
        <w:t>万元占比</w:t>
      </w:r>
      <w:r>
        <w:rPr>
          <w:rFonts w:hint="eastAsia" w:ascii="??" w:hAnsi="??" w:eastAsia="宋体" w:cs="宋体"/>
          <w:sz w:val="32"/>
          <w:szCs w:val="32"/>
          <w:lang w:val="en-US" w:eastAsia="zh-CN"/>
        </w:rPr>
        <w:t>21.19</w:t>
      </w:r>
      <w:r>
        <w:rPr>
          <w:rFonts w:hint="eastAsia" w:ascii="??" w:hAnsi="??" w:eastAsia="宋体" w:cs="宋体"/>
          <w:sz w:val="32"/>
          <w:szCs w:val="32"/>
        </w:rPr>
        <w:t>%。</w:t>
      </w:r>
    </w:p>
    <w:p w14:paraId="50B3C8AE">
      <w:pPr>
        <w:pStyle w:val="18"/>
        <w:spacing w:before="0" w:line="360" w:lineRule="auto"/>
        <w:ind w:firstLine="643" w:firstLineChars="200"/>
        <w:rPr>
          <w:rFonts w:ascii="??" w:hAnsi="??" w:eastAsia="宋体" w:cs="宋体"/>
          <w:b/>
          <w:sz w:val="32"/>
          <w:szCs w:val="32"/>
        </w:rPr>
      </w:pPr>
      <w:r>
        <w:rPr>
          <w:rFonts w:hint="eastAsia" w:ascii="??" w:hAnsi="??" w:eastAsia="宋体" w:cs="宋体"/>
          <w:b/>
          <w:sz w:val="32"/>
          <w:szCs w:val="32"/>
        </w:rPr>
        <w:t>（三）一般公共预算当年拨款具体使用情况（按照各单位预算中涉及功能科目逐一说明）</w:t>
      </w:r>
    </w:p>
    <w:p w14:paraId="5625C066">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　　</w:t>
      </w:r>
      <w:r>
        <w:rPr>
          <w:rFonts w:ascii="??" w:hAnsi="??" w:eastAsia="宋体" w:cs="宋体"/>
          <w:sz w:val="32"/>
          <w:szCs w:val="32"/>
        </w:rPr>
        <w:t>1</w:t>
      </w:r>
      <w:r>
        <w:rPr>
          <w:rFonts w:hint="eastAsia" w:ascii="??" w:hAnsi="??" w:eastAsia="宋体" w:cs="宋体"/>
          <w:sz w:val="32"/>
          <w:szCs w:val="32"/>
        </w:rPr>
        <w:t>．社会保障和就业支出</w:t>
      </w:r>
      <w:r>
        <w:rPr>
          <w:rFonts w:hint="eastAsia" w:ascii="??" w:hAnsi="??" w:eastAsia="宋体" w:cs="宋体"/>
          <w:sz w:val="32"/>
          <w:szCs w:val="32"/>
          <w:lang w:val="en-US" w:eastAsia="zh-CN"/>
        </w:rPr>
        <w:t>147.33</w:t>
      </w:r>
      <w:r>
        <w:rPr>
          <w:rFonts w:hint="eastAsia" w:ascii="??" w:hAnsi="??" w:eastAsia="宋体" w:cs="宋体"/>
          <w:sz w:val="32"/>
          <w:szCs w:val="32"/>
        </w:rPr>
        <w:t>万元，202</w:t>
      </w:r>
      <w:r>
        <w:rPr>
          <w:rFonts w:hint="eastAsia" w:ascii="??" w:hAnsi="??" w:eastAsia="宋体" w:cs="宋体"/>
          <w:sz w:val="32"/>
          <w:szCs w:val="32"/>
          <w:lang w:val="en-US" w:eastAsia="zh-CN"/>
        </w:rPr>
        <w:t>5</w:t>
      </w:r>
      <w:r>
        <w:rPr>
          <w:rFonts w:hint="eastAsia" w:ascii="??" w:hAnsi="??" w:eastAsia="宋体" w:cs="宋体"/>
          <w:sz w:val="32"/>
          <w:szCs w:val="32"/>
        </w:rPr>
        <w:t>年预算数为</w:t>
      </w:r>
      <w:r>
        <w:rPr>
          <w:rFonts w:hint="eastAsia" w:ascii="??" w:hAnsi="??" w:eastAsia="宋体" w:cs="宋体"/>
          <w:sz w:val="32"/>
          <w:szCs w:val="32"/>
          <w:lang w:val="en-US" w:eastAsia="zh-CN"/>
        </w:rPr>
        <w:t>147.33</w:t>
      </w:r>
      <w:r>
        <w:rPr>
          <w:rFonts w:hint="eastAsia" w:ascii="??" w:hAnsi="??" w:eastAsia="宋体" w:cs="宋体"/>
          <w:sz w:val="32"/>
          <w:szCs w:val="32"/>
        </w:rPr>
        <w:t>万元，主要用于：会保障和就业208（类）行政事业单位离退休05（款）（机关事业单位养老保险缴费支出）05（项）</w:t>
      </w:r>
      <w:r>
        <w:rPr>
          <w:rFonts w:hint="eastAsia" w:ascii="??" w:hAnsi="??" w:eastAsia="宋体" w:cs="宋体"/>
          <w:sz w:val="32"/>
          <w:szCs w:val="32"/>
          <w:lang w:val="en-US" w:eastAsia="zh-CN"/>
        </w:rPr>
        <w:t>98.22</w:t>
      </w:r>
      <w:r>
        <w:rPr>
          <w:rFonts w:hint="eastAsia" w:ascii="??" w:hAnsi="??" w:eastAsia="宋体" w:cs="宋体"/>
          <w:sz w:val="32"/>
          <w:szCs w:val="32"/>
        </w:rPr>
        <w:t>万元，包括干部职工每月的养老保险费用。主要用于</w:t>
      </w:r>
      <w:r>
        <w:rPr>
          <w:rFonts w:ascii="??" w:hAnsi="??" w:eastAsia="宋体" w:cs="宋体"/>
          <w:sz w:val="32"/>
          <w:szCs w:val="32"/>
        </w:rPr>
        <w:t xml:space="preserve"> :</w:t>
      </w:r>
      <w:r>
        <w:rPr>
          <w:rFonts w:hint="eastAsia" w:ascii="??" w:hAnsi="??" w:eastAsia="宋体" w:cs="宋体"/>
          <w:sz w:val="32"/>
          <w:szCs w:val="32"/>
        </w:rPr>
        <w:t>机关事业单位养老保险缴费支出。社会保障和就业（208）行政事业单位离退休（05）机关事业单位基本职业年金缴费支出（06）（机关事业单位职业年金缴费支出）</w:t>
      </w:r>
      <w:r>
        <w:rPr>
          <w:rFonts w:hint="eastAsia" w:ascii="??" w:hAnsi="??" w:eastAsia="宋体" w:cs="宋体"/>
          <w:sz w:val="32"/>
          <w:szCs w:val="32"/>
          <w:lang w:val="en-US" w:eastAsia="zh-CN"/>
        </w:rPr>
        <w:t>49.11</w:t>
      </w:r>
      <w:r>
        <w:rPr>
          <w:rFonts w:hint="eastAsia" w:ascii="??" w:hAnsi="??" w:eastAsia="宋体" w:cs="宋体"/>
          <w:sz w:val="32"/>
          <w:szCs w:val="32"/>
        </w:rPr>
        <w:t>万元，包括干部职工每月的职业年金费用。</w:t>
      </w:r>
    </w:p>
    <w:p w14:paraId="3EC01857">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 xml:space="preserve">    2．卫生健康支出</w:t>
      </w:r>
      <w:r>
        <w:rPr>
          <w:rFonts w:hint="eastAsia" w:ascii="??" w:hAnsi="??" w:eastAsia="宋体" w:cs="宋体"/>
          <w:sz w:val="32"/>
          <w:szCs w:val="32"/>
          <w:lang w:val="en-US" w:eastAsia="zh-CN"/>
        </w:rPr>
        <w:t>71.02</w:t>
      </w:r>
      <w:r>
        <w:rPr>
          <w:rFonts w:hint="eastAsia" w:ascii="??" w:hAnsi="??" w:eastAsia="宋体" w:cs="宋体"/>
          <w:sz w:val="32"/>
          <w:szCs w:val="32"/>
        </w:rPr>
        <w:t>万元，202</w:t>
      </w:r>
      <w:r>
        <w:rPr>
          <w:rFonts w:hint="eastAsia" w:ascii="??" w:hAnsi="??" w:eastAsia="宋体" w:cs="宋体"/>
          <w:sz w:val="32"/>
          <w:szCs w:val="32"/>
          <w:lang w:val="en-US" w:eastAsia="zh-CN"/>
        </w:rPr>
        <w:t>5</w:t>
      </w:r>
      <w:r>
        <w:rPr>
          <w:rFonts w:hint="eastAsia" w:ascii="??" w:hAnsi="??" w:eastAsia="宋体" w:cs="宋体"/>
          <w:sz w:val="32"/>
          <w:szCs w:val="32"/>
        </w:rPr>
        <w:t>年预算数为</w:t>
      </w:r>
      <w:r>
        <w:rPr>
          <w:rFonts w:hint="eastAsia" w:ascii="??" w:hAnsi="??" w:eastAsia="宋体" w:cs="宋体"/>
          <w:sz w:val="32"/>
          <w:szCs w:val="32"/>
          <w:lang w:val="en-US" w:eastAsia="zh-CN"/>
        </w:rPr>
        <w:t>71.02</w:t>
      </w:r>
      <w:r>
        <w:rPr>
          <w:rFonts w:hint="eastAsia" w:ascii="??" w:hAnsi="??" w:eastAsia="宋体" w:cs="宋体"/>
          <w:sz w:val="32"/>
          <w:szCs w:val="32"/>
        </w:rPr>
        <w:t>万元，主要用于：医疗卫生与计划生育（210）行政事业单位（11）行政单位医疗（01）（行政单位医疗）</w:t>
      </w:r>
      <w:r>
        <w:rPr>
          <w:rFonts w:hint="eastAsia" w:ascii="??" w:hAnsi="??" w:eastAsia="宋体" w:cs="宋体"/>
          <w:sz w:val="32"/>
          <w:szCs w:val="32"/>
          <w:lang w:val="en-US" w:eastAsia="zh-CN"/>
        </w:rPr>
        <w:t>15.07</w:t>
      </w:r>
      <w:r>
        <w:rPr>
          <w:rFonts w:hint="eastAsia" w:ascii="??" w:hAnsi="??" w:eastAsia="宋体" w:cs="宋体"/>
          <w:sz w:val="32"/>
          <w:szCs w:val="32"/>
        </w:rPr>
        <w:t>万元，包括干部职工每月的医疗保险、失业保险、大病统筹。医疗卫生与计划生育（210）行政事业单位医疗（11）事业单位医疗（02）（事业单位医疗）</w:t>
      </w:r>
      <w:r>
        <w:rPr>
          <w:rFonts w:hint="eastAsia" w:ascii="??" w:hAnsi="??" w:eastAsia="宋体" w:cs="宋体"/>
          <w:sz w:val="32"/>
          <w:szCs w:val="32"/>
          <w:lang w:val="en-US" w:eastAsia="zh-CN"/>
        </w:rPr>
        <w:t>38.87</w:t>
      </w:r>
      <w:r>
        <w:rPr>
          <w:rFonts w:hint="eastAsia" w:ascii="??" w:hAnsi="??" w:eastAsia="宋体" w:cs="宋体"/>
          <w:sz w:val="32"/>
          <w:szCs w:val="32"/>
        </w:rPr>
        <w:t>万元，包括干部职工每月的医疗保险、失业保险、大病统筹.医疗卫生与计划生育（2</w:t>
      </w:r>
      <w:r>
        <w:rPr>
          <w:rFonts w:hint="eastAsia" w:ascii="??" w:hAnsi="??" w:eastAsia="宋体" w:cs="宋体"/>
          <w:sz w:val="32"/>
          <w:szCs w:val="32"/>
          <w:lang w:val="en-US" w:eastAsia="zh-CN"/>
        </w:rPr>
        <w:t>10</w:t>
      </w:r>
      <w:r>
        <w:rPr>
          <w:rFonts w:hint="eastAsia" w:ascii="??" w:hAnsi="??" w:eastAsia="宋体" w:cs="宋体"/>
          <w:sz w:val="32"/>
          <w:szCs w:val="32"/>
        </w:rPr>
        <w:t>）行政事业单位医疗（11）公务员医疗补助（03）（公务医疗补助）</w:t>
      </w:r>
      <w:r>
        <w:rPr>
          <w:rFonts w:hint="eastAsia" w:ascii="??" w:hAnsi="??" w:eastAsia="宋体" w:cs="宋体"/>
          <w:sz w:val="32"/>
          <w:szCs w:val="32"/>
          <w:lang w:val="en-US" w:eastAsia="zh-CN"/>
        </w:rPr>
        <w:t>4.33</w:t>
      </w:r>
      <w:r>
        <w:rPr>
          <w:rFonts w:hint="eastAsia" w:ascii="??" w:hAnsi="??" w:eastAsia="宋体" w:cs="宋体"/>
          <w:sz w:val="32"/>
          <w:szCs w:val="32"/>
        </w:rPr>
        <w:t>万元，包括干部职工每月的公务员医疗保险。医疗卫生与计划生育（210）行政事业单位（11）行政单位医疗（99）（其他行政事业单位医疗支出）</w:t>
      </w:r>
      <w:r>
        <w:rPr>
          <w:rFonts w:hint="eastAsia" w:ascii="??" w:hAnsi="??" w:eastAsia="宋体" w:cs="宋体"/>
          <w:sz w:val="32"/>
          <w:szCs w:val="32"/>
          <w:lang w:val="en-US" w:eastAsia="zh-CN"/>
        </w:rPr>
        <w:t>12.76</w:t>
      </w:r>
      <w:r>
        <w:rPr>
          <w:rFonts w:hint="eastAsia" w:ascii="??" w:hAnsi="??" w:eastAsia="宋体" w:cs="宋体"/>
          <w:sz w:val="32"/>
          <w:szCs w:val="32"/>
        </w:rPr>
        <w:t>万元，包括干部其他医疗支出。</w:t>
      </w:r>
    </w:p>
    <w:p w14:paraId="3588BAE9">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3.住房保障支出</w:t>
      </w:r>
      <w:r>
        <w:rPr>
          <w:rFonts w:hint="eastAsia" w:ascii="??" w:hAnsi="??" w:eastAsia="宋体" w:cs="宋体"/>
          <w:sz w:val="32"/>
          <w:szCs w:val="32"/>
          <w:lang w:val="en-US" w:eastAsia="zh-CN"/>
        </w:rPr>
        <w:t>84.79</w:t>
      </w:r>
      <w:r>
        <w:rPr>
          <w:rFonts w:hint="eastAsia" w:ascii="??" w:hAnsi="??" w:eastAsia="宋体" w:cs="宋体"/>
          <w:sz w:val="32"/>
          <w:szCs w:val="32"/>
        </w:rPr>
        <w:t>万元，202</w:t>
      </w:r>
      <w:r>
        <w:rPr>
          <w:rFonts w:hint="eastAsia" w:ascii="??" w:hAnsi="??" w:eastAsia="宋体" w:cs="宋体"/>
          <w:sz w:val="32"/>
          <w:szCs w:val="32"/>
          <w:lang w:val="en-US" w:eastAsia="zh-CN"/>
        </w:rPr>
        <w:t>5</w:t>
      </w:r>
      <w:r>
        <w:rPr>
          <w:rFonts w:hint="eastAsia" w:ascii="??" w:hAnsi="??" w:eastAsia="宋体" w:cs="宋体"/>
          <w:sz w:val="32"/>
          <w:szCs w:val="32"/>
        </w:rPr>
        <w:t>年预算数为</w:t>
      </w:r>
      <w:r>
        <w:rPr>
          <w:rFonts w:hint="eastAsia" w:ascii="??" w:hAnsi="??" w:eastAsia="宋体" w:cs="宋体"/>
          <w:sz w:val="32"/>
          <w:szCs w:val="32"/>
          <w:lang w:val="en-US" w:eastAsia="zh-CN"/>
        </w:rPr>
        <w:t>84.79</w:t>
      </w:r>
      <w:r>
        <w:rPr>
          <w:rFonts w:hint="eastAsia" w:ascii="??" w:hAnsi="??" w:eastAsia="宋体" w:cs="宋体"/>
          <w:sz w:val="32"/>
          <w:szCs w:val="32"/>
        </w:rPr>
        <w:t>万元，主要用于：住房保障（221）住房改革支出(02）住房公积金（01）（住房公积金）</w:t>
      </w:r>
      <w:r>
        <w:rPr>
          <w:rFonts w:hint="eastAsia" w:ascii="??" w:hAnsi="??" w:eastAsia="宋体" w:cs="宋体"/>
          <w:sz w:val="32"/>
          <w:szCs w:val="32"/>
          <w:lang w:val="en-US" w:eastAsia="zh-CN"/>
        </w:rPr>
        <w:t>87.49</w:t>
      </w:r>
      <w:r>
        <w:rPr>
          <w:rFonts w:hint="eastAsia" w:ascii="??" w:hAnsi="??" w:eastAsia="宋体" w:cs="宋体"/>
          <w:sz w:val="32"/>
          <w:szCs w:val="32"/>
        </w:rPr>
        <w:t>万元，包括干部职工每月的住房公积金。</w:t>
      </w:r>
    </w:p>
    <w:p w14:paraId="7A97C4A7">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4.城乡社区支出</w:t>
      </w:r>
      <w:r>
        <w:rPr>
          <w:rFonts w:hint="eastAsia" w:ascii="??" w:hAnsi="??" w:eastAsia="宋体" w:cs="宋体"/>
          <w:sz w:val="32"/>
          <w:szCs w:val="32"/>
          <w:lang w:val="en-US" w:eastAsia="zh-CN"/>
        </w:rPr>
        <w:t>3105.95</w:t>
      </w:r>
      <w:r>
        <w:rPr>
          <w:rFonts w:hint="eastAsia" w:ascii="??" w:hAnsi="??" w:eastAsia="宋体" w:cs="宋体"/>
          <w:sz w:val="32"/>
          <w:szCs w:val="32"/>
        </w:rPr>
        <w:t>万元，202</w:t>
      </w:r>
      <w:r>
        <w:rPr>
          <w:rFonts w:hint="eastAsia" w:ascii="??" w:hAnsi="??" w:eastAsia="宋体" w:cs="宋体"/>
          <w:sz w:val="32"/>
          <w:szCs w:val="32"/>
          <w:lang w:val="en-US" w:eastAsia="zh-CN"/>
        </w:rPr>
        <w:t>5</w:t>
      </w:r>
      <w:r>
        <w:rPr>
          <w:rFonts w:hint="eastAsia" w:ascii="??" w:hAnsi="??" w:eastAsia="宋体" w:cs="宋体"/>
          <w:sz w:val="32"/>
          <w:szCs w:val="32"/>
        </w:rPr>
        <w:t>年预算为</w:t>
      </w:r>
      <w:r>
        <w:rPr>
          <w:rFonts w:hint="eastAsia" w:ascii="??" w:hAnsi="??" w:eastAsia="宋体" w:cs="宋体"/>
          <w:sz w:val="32"/>
          <w:szCs w:val="32"/>
          <w:lang w:val="en-US" w:eastAsia="zh-CN"/>
        </w:rPr>
        <w:t>7045.95</w:t>
      </w:r>
      <w:r>
        <w:rPr>
          <w:rFonts w:hint="eastAsia" w:ascii="??" w:hAnsi="??" w:eastAsia="宋体" w:cs="宋体"/>
          <w:sz w:val="32"/>
          <w:szCs w:val="32"/>
        </w:rPr>
        <w:t xml:space="preserve"> 万元， 主要用于：行政运行（2120101）（行政运行）</w:t>
      </w:r>
      <w:r>
        <w:rPr>
          <w:rFonts w:hint="eastAsia" w:ascii="??" w:hAnsi="??" w:eastAsia="宋体" w:cs="宋体"/>
          <w:sz w:val="32"/>
          <w:szCs w:val="32"/>
          <w:lang w:val="en-US" w:eastAsia="zh-CN"/>
        </w:rPr>
        <w:t>256.94</w:t>
      </w:r>
      <w:r>
        <w:rPr>
          <w:rFonts w:hint="eastAsia" w:ascii="??" w:hAnsi="??" w:eastAsia="宋体" w:cs="宋体"/>
          <w:sz w:val="32"/>
          <w:szCs w:val="32"/>
        </w:rPr>
        <w:t>万元，包括基本工资、津贴补贴、资金。自然资源海洋气象，事业运行（2120199）（事业运行）</w:t>
      </w:r>
      <w:r>
        <w:rPr>
          <w:rFonts w:hint="eastAsia" w:ascii="??" w:hAnsi="??" w:eastAsia="宋体" w:cs="宋体"/>
          <w:sz w:val="32"/>
          <w:szCs w:val="32"/>
          <w:lang w:val="en-US" w:eastAsia="zh-CN"/>
        </w:rPr>
        <w:t>513.02</w:t>
      </w:r>
      <w:r>
        <w:rPr>
          <w:rFonts w:hint="eastAsia" w:ascii="??" w:hAnsi="??" w:eastAsia="宋体" w:cs="宋体"/>
          <w:sz w:val="32"/>
          <w:szCs w:val="32"/>
        </w:rPr>
        <w:t>万元，包括基本工资、津贴补贴、资金、绩效工资。</w:t>
      </w:r>
      <w:r>
        <w:rPr>
          <w:rFonts w:hint="eastAsia" w:ascii="??" w:hAnsi="??" w:eastAsia="宋体" w:cs="宋体"/>
          <w:sz w:val="32"/>
          <w:szCs w:val="32"/>
          <w:lang w:val="en-US" w:eastAsia="zh-CN"/>
        </w:rPr>
        <w:t>城乡社区规划与管理</w:t>
      </w:r>
      <w:r>
        <w:rPr>
          <w:rFonts w:hint="eastAsia" w:ascii="??" w:hAnsi="??" w:eastAsia="宋体" w:cs="宋体"/>
          <w:sz w:val="32"/>
          <w:szCs w:val="32"/>
        </w:rPr>
        <w:t>（212</w:t>
      </w:r>
      <w:r>
        <w:rPr>
          <w:rFonts w:hint="eastAsia" w:ascii="??" w:hAnsi="??" w:eastAsia="宋体" w:cs="宋体"/>
          <w:sz w:val="32"/>
          <w:szCs w:val="32"/>
          <w:lang w:val="en-US" w:eastAsia="zh-CN"/>
        </w:rPr>
        <w:t>0201</w:t>
      </w:r>
      <w:r>
        <w:rPr>
          <w:rFonts w:hint="eastAsia" w:ascii="??" w:hAnsi="??" w:eastAsia="宋体" w:cs="宋体"/>
          <w:sz w:val="32"/>
          <w:szCs w:val="32"/>
        </w:rPr>
        <w:t>）（</w:t>
      </w:r>
      <w:r>
        <w:rPr>
          <w:rFonts w:hint="eastAsia" w:ascii="??" w:hAnsi="??" w:eastAsia="宋体" w:cs="宋体"/>
          <w:sz w:val="32"/>
          <w:szCs w:val="32"/>
          <w:lang w:val="en-US" w:eastAsia="zh-CN"/>
        </w:rPr>
        <w:t>城乡社区规划与管理</w:t>
      </w:r>
      <w:r>
        <w:rPr>
          <w:rFonts w:hint="eastAsia" w:ascii="??" w:hAnsi="??" w:eastAsia="宋体" w:cs="宋体"/>
          <w:sz w:val="32"/>
          <w:szCs w:val="32"/>
        </w:rPr>
        <w:t>）</w:t>
      </w:r>
      <w:r>
        <w:rPr>
          <w:rFonts w:hint="eastAsia" w:ascii="??" w:hAnsi="??" w:eastAsia="宋体" w:cs="宋体"/>
          <w:sz w:val="32"/>
          <w:szCs w:val="32"/>
          <w:lang w:val="en-US" w:eastAsia="zh-CN"/>
        </w:rPr>
        <w:t>16</w:t>
      </w:r>
      <w:r>
        <w:rPr>
          <w:rFonts w:hint="eastAsia" w:ascii="??" w:hAnsi="??" w:eastAsia="宋体" w:cs="宋体"/>
          <w:sz w:val="32"/>
          <w:szCs w:val="32"/>
        </w:rPr>
        <w:t>万元，主要用于</w:t>
      </w:r>
      <w:r>
        <w:rPr>
          <w:rFonts w:hint="eastAsia" w:ascii="??" w:hAnsi="??" w:eastAsia="宋体" w:cs="宋体"/>
          <w:sz w:val="32"/>
          <w:szCs w:val="32"/>
          <w:lang w:val="en-US" w:eastAsia="zh-CN"/>
        </w:rPr>
        <w:t>马尔康市瓶改管瓶改电项目</w:t>
      </w:r>
      <w:r>
        <w:rPr>
          <w:rFonts w:hint="eastAsia" w:ascii="??" w:hAnsi="??" w:eastAsia="宋体" w:cs="宋体"/>
          <w:sz w:val="32"/>
          <w:szCs w:val="32"/>
        </w:rPr>
        <w:t>。</w:t>
      </w:r>
      <w:r>
        <w:rPr>
          <w:rFonts w:hint="eastAsia" w:ascii="??" w:hAnsi="??" w:eastAsia="宋体" w:cs="宋体"/>
          <w:sz w:val="32"/>
          <w:szCs w:val="32"/>
          <w:lang w:val="en-US" w:eastAsia="zh-CN"/>
        </w:rPr>
        <w:t>其他城乡社区公共设施支出（2120399）（其他城乡社区公共设施支出）2320万元，主要用于马尔康市燃气管道老化更新改造项目。5</w:t>
      </w:r>
      <w:r>
        <w:rPr>
          <w:rFonts w:hint="eastAsia" w:ascii="??" w:hAnsi="??" w:eastAsia="宋体" w:cs="宋体"/>
          <w:sz w:val="32"/>
          <w:szCs w:val="32"/>
        </w:rPr>
        <w:t>.其他支出</w:t>
      </w:r>
      <w:r>
        <w:rPr>
          <w:rFonts w:hint="eastAsia" w:ascii="??" w:hAnsi="??" w:eastAsia="宋体" w:cs="宋体"/>
          <w:sz w:val="32"/>
          <w:szCs w:val="32"/>
          <w:lang w:val="en-US" w:eastAsia="zh-CN"/>
        </w:rPr>
        <w:t>1977.07</w:t>
      </w:r>
      <w:r>
        <w:rPr>
          <w:rFonts w:hint="eastAsia" w:ascii="??" w:hAnsi="??" w:eastAsia="宋体" w:cs="宋体"/>
          <w:sz w:val="32"/>
          <w:szCs w:val="32"/>
        </w:rPr>
        <w:t>万元，202</w:t>
      </w:r>
      <w:r>
        <w:rPr>
          <w:rFonts w:hint="eastAsia" w:ascii="??" w:hAnsi="??" w:eastAsia="宋体" w:cs="宋体"/>
          <w:sz w:val="32"/>
          <w:szCs w:val="32"/>
          <w:lang w:val="en-US" w:eastAsia="zh-CN"/>
        </w:rPr>
        <w:t>5</w:t>
      </w:r>
      <w:r>
        <w:rPr>
          <w:rFonts w:hint="eastAsia" w:ascii="??" w:hAnsi="??" w:eastAsia="宋体" w:cs="宋体"/>
          <w:sz w:val="32"/>
          <w:szCs w:val="32"/>
        </w:rPr>
        <w:t>年预算数为</w:t>
      </w:r>
      <w:r>
        <w:rPr>
          <w:rFonts w:hint="eastAsia" w:ascii="??" w:hAnsi="??" w:eastAsia="宋体" w:cs="宋体"/>
          <w:sz w:val="32"/>
          <w:szCs w:val="32"/>
          <w:lang w:val="en-US" w:eastAsia="zh-CN"/>
        </w:rPr>
        <w:t>1977.07</w:t>
      </w:r>
      <w:r>
        <w:rPr>
          <w:rFonts w:hint="eastAsia" w:ascii="??" w:hAnsi="??" w:eastAsia="宋体" w:cs="宋体"/>
          <w:sz w:val="32"/>
          <w:szCs w:val="32"/>
        </w:rPr>
        <w:t>万元，主要其他支出（2299999）（其他支出）</w:t>
      </w:r>
      <w:r>
        <w:rPr>
          <w:rFonts w:hint="eastAsia" w:ascii="??" w:hAnsi="??" w:eastAsia="宋体" w:cs="宋体"/>
          <w:sz w:val="32"/>
          <w:szCs w:val="32"/>
          <w:lang w:val="en-US" w:eastAsia="zh-CN"/>
        </w:rPr>
        <w:t>1977.07</w:t>
      </w:r>
      <w:r>
        <w:rPr>
          <w:rFonts w:hint="eastAsia" w:ascii="??" w:hAnsi="??" w:eastAsia="宋体" w:cs="宋体"/>
          <w:sz w:val="32"/>
          <w:szCs w:val="32"/>
        </w:rPr>
        <w:t>万元，主要用于马尔康市</w:t>
      </w:r>
      <w:r>
        <w:rPr>
          <w:rFonts w:hint="eastAsia" w:ascii="??" w:hAnsi="??" w:eastAsia="宋体" w:cs="宋体"/>
          <w:sz w:val="32"/>
          <w:szCs w:val="32"/>
          <w:lang w:val="en-US" w:eastAsia="zh-CN"/>
        </w:rPr>
        <w:t>小水沟片区市政基础设施</w:t>
      </w:r>
      <w:r>
        <w:rPr>
          <w:rFonts w:hint="eastAsia" w:ascii="??" w:hAnsi="??" w:eastAsia="宋体" w:cs="宋体"/>
          <w:sz w:val="32"/>
          <w:szCs w:val="32"/>
        </w:rPr>
        <w:t>建设项目。</w:t>
      </w:r>
    </w:p>
    <w:p w14:paraId="5328562A">
      <w:pPr>
        <w:pStyle w:val="18"/>
        <w:spacing w:before="0" w:line="360" w:lineRule="auto"/>
        <w:ind w:firstLine="320" w:firstLineChars="100"/>
        <w:rPr>
          <w:rFonts w:ascii="??" w:hAnsi="??" w:eastAsia="宋体" w:cs="宋体"/>
          <w:b/>
          <w:bCs/>
          <w:sz w:val="32"/>
          <w:szCs w:val="32"/>
        </w:rPr>
      </w:pPr>
      <w:r>
        <w:rPr>
          <w:rFonts w:hint="eastAsia" w:ascii="??" w:hAnsi="??" w:eastAsia="宋体" w:cs="宋体"/>
          <w:sz w:val="32"/>
          <w:szCs w:val="32"/>
        </w:rPr>
        <w:t>　</w:t>
      </w:r>
      <w:r>
        <w:rPr>
          <w:rFonts w:hint="eastAsia" w:ascii="??" w:hAnsi="??" w:eastAsia="宋体" w:cs="宋体"/>
          <w:b/>
          <w:bCs/>
          <w:sz w:val="32"/>
          <w:szCs w:val="32"/>
        </w:rPr>
        <w:t>　六、一般公共预算基本支出情况说明</w:t>
      </w:r>
    </w:p>
    <w:p w14:paraId="60055BD4">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5</w:t>
      </w:r>
      <w:r>
        <w:rPr>
          <w:rFonts w:hint="eastAsia" w:ascii="??" w:hAnsi="??" w:eastAsia="宋体" w:cs="宋体"/>
          <w:sz w:val="32"/>
          <w:szCs w:val="32"/>
        </w:rPr>
        <w:t>年一般公共预算基本支出7</w:t>
      </w:r>
      <w:r>
        <w:rPr>
          <w:rFonts w:hint="eastAsia" w:ascii="??" w:hAnsi="??" w:eastAsia="宋体" w:cs="宋体"/>
          <w:sz w:val="32"/>
          <w:szCs w:val="32"/>
          <w:lang w:val="en-US" w:eastAsia="zh-CN"/>
        </w:rPr>
        <w:t>1073.09</w:t>
      </w:r>
      <w:r>
        <w:rPr>
          <w:rFonts w:hint="eastAsia" w:ascii="??" w:hAnsi="??" w:eastAsia="宋体" w:cs="宋体"/>
          <w:sz w:val="32"/>
          <w:szCs w:val="32"/>
        </w:rPr>
        <w:t>万元，其中：人员经费</w:t>
      </w:r>
      <w:r>
        <w:rPr>
          <w:rFonts w:hint="eastAsia" w:ascii="??" w:hAnsi="??" w:eastAsia="宋体" w:cs="宋体"/>
          <w:sz w:val="32"/>
          <w:szCs w:val="32"/>
          <w:lang w:val="en-US" w:eastAsia="zh-CN"/>
        </w:rPr>
        <w:t>1010.97</w:t>
      </w:r>
      <w:r>
        <w:rPr>
          <w:rFonts w:hint="eastAsia" w:ascii="??" w:hAnsi="??" w:eastAsia="宋体" w:cs="宋体"/>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 w:hAnsi="??" w:eastAsia="宋体" w:cs="宋体"/>
          <w:sz w:val="32"/>
          <w:szCs w:val="32"/>
          <w:lang w:val="en-US" w:eastAsia="zh-CN"/>
        </w:rPr>
        <w:t>62.11</w:t>
      </w:r>
      <w:r>
        <w:rPr>
          <w:rFonts w:hint="eastAsia" w:ascii="??" w:hAnsi="??" w:eastAsia="宋体" w:cs="宋体"/>
          <w:sz w:val="32"/>
          <w:szCs w:val="32"/>
        </w:rPr>
        <w:t>万元，主要包括：办公费、印刷费、手续费、水费、电费、邮电费、差旅费、维修（护）费、租赁费、会议费、培训费、劳务费、工会经费、福利费、其他交通工具运行维护费、其他商品和服务支出。</w:t>
      </w:r>
    </w:p>
    <w:p w14:paraId="4DDAE48A">
      <w:pPr>
        <w:pStyle w:val="18"/>
        <w:spacing w:before="0" w:line="360" w:lineRule="auto"/>
        <w:ind w:firstLine="321" w:firstLineChars="100"/>
        <w:rPr>
          <w:rFonts w:ascii="??" w:hAnsi="??" w:eastAsia="宋体" w:cs="宋体"/>
          <w:b/>
          <w:bCs/>
          <w:sz w:val="32"/>
          <w:szCs w:val="32"/>
        </w:rPr>
      </w:pPr>
      <w:r>
        <w:rPr>
          <w:rFonts w:hint="eastAsia" w:ascii="??" w:hAnsi="??" w:eastAsia="宋体" w:cs="宋体"/>
          <w:b/>
          <w:bCs/>
          <w:sz w:val="32"/>
          <w:szCs w:val="32"/>
        </w:rPr>
        <w:t>　　七、</w:t>
      </w:r>
      <w:r>
        <w:rPr>
          <w:rFonts w:ascii="??" w:hAnsi="??" w:eastAsia="宋体" w:cs="宋体"/>
          <w:b/>
          <w:bCs/>
          <w:sz w:val="32"/>
          <w:szCs w:val="32"/>
        </w:rPr>
        <w:t>“</w:t>
      </w:r>
      <w:r>
        <w:rPr>
          <w:rFonts w:hint="eastAsia" w:ascii="??" w:hAnsi="??" w:eastAsia="宋体" w:cs="宋体"/>
          <w:b/>
          <w:bCs/>
          <w:sz w:val="32"/>
          <w:szCs w:val="32"/>
        </w:rPr>
        <w:t>三公</w:t>
      </w:r>
      <w:r>
        <w:rPr>
          <w:rFonts w:ascii="??" w:hAnsi="??" w:eastAsia="宋体" w:cs="宋体"/>
          <w:b/>
          <w:bCs/>
          <w:sz w:val="32"/>
          <w:szCs w:val="32"/>
        </w:rPr>
        <w:t>”</w:t>
      </w:r>
      <w:r>
        <w:rPr>
          <w:rFonts w:hint="eastAsia" w:ascii="??" w:hAnsi="??" w:eastAsia="宋体" w:cs="宋体"/>
          <w:b/>
          <w:bCs/>
          <w:sz w:val="32"/>
          <w:szCs w:val="32"/>
        </w:rPr>
        <w:t>经费财政拨款预算安排情况说明</w:t>
      </w:r>
    </w:p>
    <w:p w14:paraId="65B3AD24">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马尔康市住建局202</w:t>
      </w:r>
      <w:r>
        <w:rPr>
          <w:rFonts w:hint="eastAsia" w:ascii="??" w:hAnsi="??" w:eastAsia="宋体" w:cs="宋体"/>
          <w:sz w:val="32"/>
          <w:szCs w:val="32"/>
          <w:lang w:val="en-US" w:eastAsia="zh-CN"/>
        </w:rPr>
        <w:t>5</w:t>
      </w:r>
      <w:r>
        <w:rPr>
          <w:rFonts w:hint="eastAsia" w:ascii="??" w:hAnsi="??" w:eastAsia="宋体" w:cs="宋体"/>
          <w:sz w:val="32"/>
          <w:szCs w:val="32"/>
        </w:rPr>
        <w:t>年</w:t>
      </w:r>
      <w:r>
        <w:rPr>
          <w:rFonts w:ascii="??" w:hAnsi="??" w:eastAsia="宋体" w:cs="宋体"/>
          <w:sz w:val="32"/>
          <w:szCs w:val="32"/>
        </w:rPr>
        <w:t>“</w:t>
      </w:r>
      <w:r>
        <w:rPr>
          <w:rFonts w:hint="eastAsia" w:ascii="??" w:hAnsi="??" w:eastAsia="宋体" w:cs="宋体"/>
          <w:sz w:val="32"/>
          <w:szCs w:val="32"/>
        </w:rPr>
        <w:t>三公</w:t>
      </w:r>
      <w:r>
        <w:rPr>
          <w:rFonts w:ascii="??" w:hAnsi="??" w:eastAsia="宋体" w:cs="宋体"/>
          <w:sz w:val="32"/>
          <w:szCs w:val="32"/>
        </w:rPr>
        <w:t>”</w:t>
      </w:r>
      <w:r>
        <w:rPr>
          <w:rFonts w:hint="eastAsia" w:ascii="??" w:hAnsi="??" w:eastAsia="宋体" w:cs="宋体"/>
          <w:sz w:val="32"/>
          <w:szCs w:val="32"/>
        </w:rPr>
        <w:t>经费财政拨款预算数</w:t>
      </w:r>
      <w:r>
        <w:rPr>
          <w:rFonts w:hint="eastAsia" w:ascii="??" w:hAnsi="??" w:eastAsia="宋体" w:cs="宋体"/>
          <w:sz w:val="32"/>
          <w:szCs w:val="32"/>
          <w:lang w:val="en-US" w:eastAsia="zh-CN"/>
        </w:rPr>
        <w:t>2.5</w:t>
      </w:r>
      <w:r>
        <w:rPr>
          <w:rFonts w:hint="eastAsia" w:ascii="??" w:hAnsi="??" w:eastAsia="宋体" w:cs="宋体"/>
          <w:sz w:val="32"/>
          <w:szCs w:val="32"/>
        </w:rPr>
        <w:t>万元，其中：公务用车购置为0万元；公务用车运行维护费</w:t>
      </w:r>
      <w:r>
        <w:rPr>
          <w:rFonts w:hint="eastAsia" w:ascii="??" w:hAnsi="??" w:eastAsia="宋体" w:cs="宋体"/>
          <w:sz w:val="32"/>
          <w:szCs w:val="32"/>
          <w:lang w:val="en-US" w:eastAsia="zh-CN"/>
        </w:rPr>
        <w:t>2.5</w:t>
      </w:r>
      <w:r>
        <w:rPr>
          <w:rFonts w:hint="eastAsia" w:ascii="??" w:hAnsi="??" w:eastAsia="宋体" w:cs="宋体"/>
          <w:sz w:val="32"/>
          <w:szCs w:val="32"/>
        </w:rPr>
        <w:t>万元。因公出国（境）费0.00元，公务接待费0.00元。</w:t>
      </w:r>
    </w:p>
    <w:p w14:paraId="50A179B4">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5</w:t>
      </w:r>
      <w:r>
        <w:rPr>
          <w:rFonts w:hint="eastAsia" w:ascii="??" w:hAnsi="??" w:eastAsia="宋体" w:cs="宋体"/>
          <w:sz w:val="32"/>
          <w:szCs w:val="32"/>
        </w:rPr>
        <w:t>年公务用车运行维护费</w:t>
      </w:r>
      <w:r>
        <w:rPr>
          <w:rFonts w:hint="eastAsia" w:ascii="??" w:hAnsi="??" w:eastAsia="宋体" w:cs="宋体"/>
          <w:sz w:val="32"/>
          <w:szCs w:val="32"/>
          <w:lang w:val="en-US" w:eastAsia="zh-CN"/>
        </w:rPr>
        <w:t>2.5</w:t>
      </w:r>
      <w:r>
        <w:rPr>
          <w:rFonts w:hint="eastAsia" w:ascii="??" w:hAnsi="??" w:eastAsia="宋体" w:cs="宋体"/>
          <w:sz w:val="32"/>
          <w:szCs w:val="32"/>
        </w:rPr>
        <w:t>万元。较202</w:t>
      </w:r>
      <w:r>
        <w:rPr>
          <w:rFonts w:hint="eastAsia" w:ascii="??" w:hAnsi="??" w:eastAsia="宋体" w:cs="宋体"/>
          <w:sz w:val="32"/>
          <w:szCs w:val="32"/>
          <w:lang w:val="en-US" w:eastAsia="zh-CN"/>
        </w:rPr>
        <w:t>4</w:t>
      </w:r>
      <w:r>
        <w:rPr>
          <w:rFonts w:hint="eastAsia" w:ascii="??" w:hAnsi="??" w:eastAsia="宋体" w:cs="宋体"/>
          <w:sz w:val="32"/>
          <w:szCs w:val="32"/>
        </w:rPr>
        <w:t>年预算经费3万元</w:t>
      </w:r>
      <w:r>
        <w:rPr>
          <w:rFonts w:hint="eastAsia" w:ascii="??" w:hAnsi="??" w:eastAsia="宋体" w:cs="宋体"/>
          <w:sz w:val="32"/>
          <w:szCs w:val="32"/>
          <w:lang w:val="en-US" w:eastAsia="zh-CN"/>
        </w:rPr>
        <w:t>减少0.16</w:t>
      </w:r>
      <w:r>
        <w:rPr>
          <w:rFonts w:ascii="??" w:hAnsi="??" w:eastAsia="宋体" w:cs="宋体"/>
          <w:sz w:val="32"/>
          <w:szCs w:val="32"/>
        </w:rPr>
        <w:t>%</w:t>
      </w:r>
      <w:r>
        <w:rPr>
          <w:rFonts w:hint="eastAsia" w:ascii="??" w:hAnsi="??" w:eastAsia="宋体" w:cs="宋体"/>
          <w:sz w:val="32"/>
          <w:szCs w:val="32"/>
        </w:rPr>
        <w:t>，因公出国（境）费0.00元，公务接待费0.00元。主要原因：</w:t>
      </w:r>
      <w:r>
        <w:rPr>
          <w:rFonts w:hint="eastAsia" w:ascii="??" w:hAnsi="??" w:eastAsia="宋体" w:cs="宋体"/>
          <w:sz w:val="32"/>
          <w:szCs w:val="32"/>
          <w:lang w:val="en-US" w:eastAsia="zh-CN"/>
        </w:rPr>
        <w:t>三公经费控制</w:t>
      </w:r>
      <w:r>
        <w:rPr>
          <w:rFonts w:hint="eastAsia" w:ascii="??" w:hAnsi="??" w:eastAsia="宋体" w:cs="宋体"/>
          <w:sz w:val="32"/>
          <w:szCs w:val="32"/>
        </w:rPr>
        <w:t>。</w:t>
      </w:r>
    </w:p>
    <w:p w14:paraId="26E7F118">
      <w:pPr>
        <w:pStyle w:val="18"/>
        <w:spacing w:before="0" w:line="360" w:lineRule="auto"/>
        <w:ind w:firstLine="320" w:firstLineChars="100"/>
        <w:rPr>
          <w:rFonts w:ascii="??" w:hAnsi="??" w:eastAsia="宋体" w:cs="宋体"/>
          <w:b/>
          <w:bCs/>
          <w:sz w:val="32"/>
          <w:szCs w:val="32"/>
        </w:rPr>
      </w:pPr>
      <w:r>
        <w:rPr>
          <w:rFonts w:hint="eastAsia" w:ascii="??" w:hAnsi="??" w:eastAsia="宋体" w:cs="宋体"/>
          <w:sz w:val="32"/>
          <w:szCs w:val="32"/>
        </w:rPr>
        <w:t>　</w:t>
      </w:r>
      <w:r>
        <w:rPr>
          <w:rFonts w:hint="eastAsia" w:ascii="??" w:hAnsi="??" w:eastAsia="宋体" w:cs="宋体"/>
          <w:b/>
          <w:bCs/>
          <w:sz w:val="32"/>
          <w:szCs w:val="32"/>
        </w:rPr>
        <w:t>　　八、政府性基金预算支出情况说明</w:t>
      </w:r>
    </w:p>
    <w:p w14:paraId="3B3A99B6">
      <w:pPr>
        <w:pStyle w:val="18"/>
        <w:spacing w:before="0" w:line="360" w:lineRule="auto"/>
        <w:ind w:firstLine="320" w:firstLineChars="100"/>
        <w:rPr>
          <w:rFonts w:hint="default" w:ascii="??" w:hAnsi="??" w:eastAsia="宋体" w:cs="宋体"/>
          <w:sz w:val="32"/>
          <w:szCs w:val="32"/>
          <w:lang w:val="en-US" w:eastAsia="zh-CN"/>
        </w:rPr>
      </w:pPr>
      <w:r>
        <w:rPr>
          <w:rFonts w:hint="eastAsia" w:ascii="??" w:hAnsi="??" w:eastAsia="宋体" w:cs="宋体"/>
          <w:sz w:val="32"/>
          <w:szCs w:val="32"/>
        </w:rPr>
        <w:t>　　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5</w:t>
      </w:r>
      <w:r>
        <w:rPr>
          <w:rFonts w:hint="eastAsia" w:ascii="??" w:hAnsi="??" w:eastAsia="宋体" w:cs="宋体"/>
          <w:sz w:val="32"/>
          <w:szCs w:val="32"/>
        </w:rPr>
        <w:t>年政府性基金预算拨款安排的支出</w:t>
      </w:r>
      <w:r>
        <w:rPr>
          <w:rFonts w:hint="eastAsia" w:ascii="??" w:hAnsi="??" w:eastAsia="宋体" w:cs="宋体"/>
          <w:sz w:val="32"/>
          <w:szCs w:val="32"/>
          <w:lang w:val="en-US" w:eastAsia="zh-CN"/>
        </w:rPr>
        <w:t>3940</w:t>
      </w:r>
      <w:r>
        <w:rPr>
          <w:rFonts w:hint="eastAsia" w:ascii="??" w:hAnsi="??" w:eastAsia="宋体" w:cs="宋体"/>
          <w:sz w:val="32"/>
          <w:szCs w:val="32"/>
        </w:rPr>
        <w:t>万元。较202</w:t>
      </w:r>
      <w:r>
        <w:rPr>
          <w:rFonts w:hint="eastAsia" w:ascii="??" w:hAnsi="??" w:eastAsia="宋体" w:cs="宋体"/>
          <w:sz w:val="32"/>
          <w:szCs w:val="32"/>
          <w:lang w:val="en-US" w:eastAsia="zh-CN"/>
        </w:rPr>
        <w:t>4</w:t>
      </w:r>
      <w:r>
        <w:rPr>
          <w:rFonts w:hint="eastAsia" w:ascii="??" w:hAnsi="??" w:eastAsia="宋体" w:cs="宋体"/>
          <w:sz w:val="32"/>
          <w:szCs w:val="32"/>
        </w:rPr>
        <w:t>年预算经费</w:t>
      </w:r>
      <w:r>
        <w:rPr>
          <w:rFonts w:hint="eastAsia" w:ascii="??" w:hAnsi="??" w:eastAsia="宋体" w:cs="宋体"/>
          <w:sz w:val="32"/>
          <w:szCs w:val="32"/>
          <w:lang w:val="en-US" w:eastAsia="zh-CN"/>
        </w:rPr>
        <w:t>3940</w:t>
      </w:r>
      <w:r>
        <w:rPr>
          <w:rFonts w:hint="eastAsia" w:ascii="??" w:hAnsi="??" w:eastAsia="宋体" w:cs="宋体"/>
          <w:sz w:val="32"/>
          <w:szCs w:val="32"/>
        </w:rPr>
        <w:t>万元增长</w:t>
      </w:r>
      <w:r>
        <w:rPr>
          <w:rFonts w:hint="eastAsia" w:ascii="??" w:hAnsi="??" w:eastAsia="宋体" w:cs="宋体"/>
          <w:sz w:val="32"/>
          <w:szCs w:val="32"/>
          <w:lang w:val="en-US" w:eastAsia="zh-CN"/>
        </w:rPr>
        <w:t>10</w:t>
      </w:r>
      <w:r>
        <w:rPr>
          <w:rFonts w:hint="eastAsia" w:ascii="??" w:hAnsi="??" w:eastAsia="宋体" w:cs="宋体"/>
          <w:sz w:val="32"/>
          <w:szCs w:val="32"/>
        </w:rPr>
        <w:t>0</w:t>
      </w:r>
      <w:r>
        <w:rPr>
          <w:rFonts w:ascii="??" w:hAnsi="??" w:eastAsia="宋体" w:cs="宋体"/>
          <w:sz w:val="32"/>
          <w:szCs w:val="32"/>
        </w:rPr>
        <w:t>%</w:t>
      </w:r>
      <w:r>
        <w:rPr>
          <w:rFonts w:hint="eastAsia" w:ascii="??" w:hAnsi="??" w:eastAsia="宋体" w:cs="宋体"/>
          <w:sz w:val="32"/>
          <w:szCs w:val="32"/>
        </w:rPr>
        <w:t>，主要原因是：安排</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5</w:t>
      </w:r>
      <w:r>
        <w:rPr>
          <w:rFonts w:hint="eastAsia" w:ascii="??" w:hAnsi="??" w:eastAsia="宋体" w:cs="宋体"/>
          <w:sz w:val="32"/>
          <w:szCs w:val="32"/>
        </w:rPr>
        <w:t>年政府性基金预算拨款支出。</w:t>
      </w:r>
      <w:r>
        <w:rPr>
          <w:rFonts w:hint="eastAsia" w:ascii="??" w:hAnsi="??" w:eastAsia="宋体" w:cs="宋体"/>
          <w:sz w:val="32"/>
          <w:szCs w:val="32"/>
          <w:lang w:val="en-US" w:eastAsia="zh-CN"/>
        </w:rPr>
        <w:t>城乡社区公共设施支出（2129801）（城乡社区公共设施支出）3940万元。</w:t>
      </w:r>
    </w:p>
    <w:p w14:paraId="2C70F784">
      <w:pPr>
        <w:pStyle w:val="18"/>
        <w:spacing w:before="0" w:line="360" w:lineRule="auto"/>
        <w:ind w:firstLine="321" w:firstLineChars="100"/>
        <w:rPr>
          <w:rFonts w:ascii="??" w:hAnsi="??" w:eastAsia="宋体" w:cs="宋体"/>
          <w:b/>
          <w:bCs/>
          <w:sz w:val="32"/>
          <w:szCs w:val="32"/>
        </w:rPr>
      </w:pPr>
      <w:r>
        <w:rPr>
          <w:rFonts w:hint="eastAsia" w:ascii="??" w:hAnsi="??" w:eastAsia="宋体" w:cs="宋体"/>
          <w:b/>
          <w:bCs/>
          <w:sz w:val="32"/>
          <w:szCs w:val="32"/>
        </w:rPr>
        <w:t>　　九、其他重要事项的情况说明</w:t>
      </w:r>
    </w:p>
    <w:p w14:paraId="3C029BAF">
      <w:pPr>
        <w:pStyle w:val="18"/>
        <w:spacing w:before="0" w:line="360" w:lineRule="auto"/>
        <w:ind w:firstLine="320" w:firstLineChars="100"/>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（一）机关运行经费</w:t>
      </w:r>
    </w:p>
    <w:p w14:paraId="57E76ABA">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马尔康市住建局202</w:t>
      </w:r>
      <w:r>
        <w:rPr>
          <w:rFonts w:hint="eastAsia" w:ascii="??" w:hAnsi="??" w:eastAsia="宋体" w:cs="宋体"/>
          <w:sz w:val="32"/>
          <w:szCs w:val="32"/>
          <w:lang w:val="en-US" w:eastAsia="zh-CN"/>
        </w:rPr>
        <w:t>5</w:t>
      </w:r>
      <w:r>
        <w:rPr>
          <w:rFonts w:hint="eastAsia" w:ascii="??" w:hAnsi="??" w:eastAsia="宋体" w:cs="宋体"/>
          <w:sz w:val="32"/>
          <w:szCs w:val="32"/>
        </w:rPr>
        <w:t>年机关运行经费财政拨款预算为</w:t>
      </w:r>
      <w:r>
        <w:rPr>
          <w:rFonts w:hint="eastAsia" w:ascii="??" w:hAnsi="??" w:eastAsia="宋体" w:cs="宋体"/>
          <w:sz w:val="32"/>
          <w:szCs w:val="32"/>
          <w:lang w:val="en-US" w:eastAsia="zh-CN"/>
        </w:rPr>
        <w:t>256.94</w:t>
      </w:r>
      <w:r>
        <w:rPr>
          <w:rFonts w:hint="eastAsia" w:ascii="??" w:hAnsi="??" w:eastAsia="宋体" w:cs="宋体"/>
          <w:sz w:val="32"/>
          <w:szCs w:val="32"/>
        </w:rPr>
        <w:t>万元，比</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4</w:t>
      </w:r>
      <w:r>
        <w:rPr>
          <w:rFonts w:hint="eastAsia" w:ascii="??" w:hAnsi="??" w:eastAsia="宋体" w:cs="宋体"/>
          <w:sz w:val="32"/>
          <w:szCs w:val="32"/>
        </w:rPr>
        <w:t>年预算增加</w:t>
      </w:r>
      <w:r>
        <w:rPr>
          <w:rFonts w:hint="eastAsia" w:ascii="??" w:hAnsi="??" w:eastAsia="宋体" w:cs="宋体"/>
          <w:sz w:val="32"/>
          <w:szCs w:val="32"/>
          <w:lang w:val="en-US" w:eastAsia="zh-CN"/>
        </w:rPr>
        <w:t>74.08</w:t>
      </w:r>
      <w:r>
        <w:rPr>
          <w:rFonts w:hint="eastAsia" w:ascii="??" w:hAnsi="??" w:eastAsia="宋体" w:cs="宋体"/>
          <w:sz w:val="32"/>
          <w:szCs w:val="32"/>
        </w:rPr>
        <w:t>万元，增加</w:t>
      </w:r>
      <w:r>
        <w:rPr>
          <w:rFonts w:hint="eastAsia" w:ascii="??" w:hAnsi="??" w:eastAsia="宋体" w:cs="宋体"/>
          <w:sz w:val="32"/>
          <w:szCs w:val="32"/>
          <w:lang w:val="en-US" w:eastAsia="zh-CN"/>
        </w:rPr>
        <w:t>40.51</w:t>
      </w:r>
      <w:r>
        <w:rPr>
          <w:rFonts w:ascii="??" w:hAnsi="??" w:eastAsia="宋体" w:cs="宋体"/>
          <w:sz w:val="32"/>
          <w:szCs w:val="32"/>
        </w:rPr>
        <w:t>%</w:t>
      </w:r>
      <w:r>
        <w:rPr>
          <w:rFonts w:hint="eastAsia" w:ascii="??" w:hAnsi="??" w:eastAsia="宋体" w:cs="宋体"/>
          <w:sz w:val="32"/>
          <w:szCs w:val="32"/>
        </w:rPr>
        <w:t>。</w:t>
      </w:r>
    </w:p>
    <w:p w14:paraId="5DC4FC2B">
      <w:pPr>
        <w:pStyle w:val="18"/>
        <w:spacing w:before="0" w:line="360" w:lineRule="auto"/>
        <w:ind w:firstLine="320" w:firstLineChars="100"/>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（二）政府采购情况</w:t>
      </w:r>
    </w:p>
    <w:p w14:paraId="7302D31E">
      <w:pPr>
        <w:pStyle w:val="18"/>
        <w:spacing w:before="0" w:line="360" w:lineRule="auto"/>
        <w:ind w:firstLine="320" w:firstLineChars="100"/>
        <w:rPr>
          <w:rFonts w:hint="default" w:ascii="??" w:hAnsi="??" w:eastAsia="宋体" w:cs="宋体"/>
          <w:sz w:val="32"/>
          <w:szCs w:val="32"/>
          <w:lang w:val="en-US" w:eastAsia="zh-CN"/>
        </w:rPr>
      </w:pPr>
      <w:r>
        <w:rPr>
          <w:rFonts w:hint="eastAsia" w:ascii="??" w:hAnsi="??" w:eastAsia="宋体" w:cs="宋体"/>
          <w:sz w:val="32"/>
          <w:szCs w:val="32"/>
        </w:rPr>
        <w:t>　</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4</w:t>
      </w:r>
      <w:r>
        <w:rPr>
          <w:rFonts w:hint="eastAsia" w:ascii="??" w:hAnsi="??" w:eastAsia="宋体" w:cs="宋体"/>
          <w:sz w:val="32"/>
          <w:szCs w:val="32"/>
        </w:rPr>
        <w:t>年马尔康市单位安排政府采购预算</w:t>
      </w:r>
      <w:r>
        <w:rPr>
          <w:rFonts w:hint="eastAsia" w:ascii="??" w:hAnsi="??" w:eastAsia="宋体" w:cs="宋体"/>
          <w:sz w:val="32"/>
          <w:szCs w:val="32"/>
          <w:lang w:val="en-US" w:eastAsia="zh-CN"/>
        </w:rPr>
        <w:t>145</w:t>
      </w:r>
      <w:r>
        <w:rPr>
          <w:rFonts w:hint="eastAsia" w:ascii="??" w:hAnsi="??" w:eastAsia="宋体" w:cs="宋体"/>
          <w:sz w:val="32"/>
          <w:szCs w:val="32"/>
        </w:rPr>
        <w:t>万元，主要用于：</w:t>
      </w:r>
      <w:r>
        <w:rPr>
          <w:rFonts w:hint="eastAsia" w:ascii="??" w:hAnsi="??" w:eastAsia="宋体" w:cs="宋体"/>
          <w:sz w:val="32"/>
          <w:szCs w:val="32"/>
          <w:lang w:val="en-US" w:eastAsia="zh-CN"/>
        </w:rPr>
        <w:t>2024年老旧小区改造项目</w:t>
      </w:r>
    </w:p>
    <w:p w14:paraId="610ED8CC">
      <w:pPr>
        <w:pStyle w:val="18"/>
        <w:spacing w:before="0" w:line="360" w:lineRule="auto"/>
        <w:ind w:firstLine="320" w:firstLineChars="100"/>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（三）国有资产占有使用情况</w:t>
      </w:r>
    </w:p>
    <w:p w14:paraId="313AD422">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马尔康市住建局截止202</w:t>
      </w:r>
      <w:r>
        <w:rPr>
          <w:rFonts w:hint="eastAsia" w:ascii="??" w:hAnsi="??" w:eastAsia="宋体" w:cs="宋体"/>
          <w:sz w:val="32"/>
          <w:szCs w:val="32"/>
          <w:lang w:val="en-US" w:eastAsia="zh-CN"/>
        </w:rPr>
        <w:t>4</w:t>
      </w:r>
      <w:r>
        <w:rPr>
          <w:rFonts w:hint="eastAsia" w:ascii="??" w:hAnsi="??" w:eastAsia="宋体" w:cs="宋体"/>
          <w:sz w:val="32"/>
          <w:szCs w:val="32"/>
        </w:rPr>
        <w:t>年12月31日资产总额</w:t>
      </w:r>
      <w:r>
        <w:rPr>
          <w:rFonts w:hint="eastAsia" w:ascii="??" w:hAnsi="??" w:eastAsia="宋体" w:cs="宋体"/>
          <w:sz w:val="32"/>
          <w:szCs w:val="32"/>
          <w:lang w:val="en-US" w:eastAsia="zh-CN"/>
        </w:rPr>
        <w:t>206.32</w:t>
      </w:r>
      <w:r>
        <w:rPr>
          <w:rFonts w:hint="eastAsia" w:ascii="??" w:hAnsi="??" w:eastAsia="宋体" w:cs="宋体"/>
          <w:sz w:val="32"/>
          <w:szCs w:val="32"/>
        </w:rPr>
        <w:t>万元，其中：流动资产</w:t>
      </w:r>
      <w:r>
        <w:rPr>
          <w:rFonts w:hint="eastAsia" w:ascii="??" w:hAnsi="??" w:eastAsia="宋体" w:cs="宋体"/>
          <w:sz w:val="32"/>
          <w:szCs w:val="32"/>
          <w:lang w:val="en-US" w:eastAsia="zh-CN"/>
        </w:rPr>
        <w:t>19.01</w:t>
      </w:r>
      <w:r>
        <w:rPr>
          <w:rFonts w:hint="eastAsia" w:ascii="??" w:hAnsi="??" w:eastAsia="宋体" w:cs="宋体"/>
          <w:sz w:val="32"/>
          <w:szCs w:val="32"/>
        </w:rPr>
        <w:t>万元，占资产总额的11.11%；固定资产187.31万元，占资产总额88.89%。</w:t>
      </w:r>
    </w:p>
    <w:p w14:paraId="220DA5E8">
      <w:pPr>
        <w:pStyle w:val="18"/>
        <w:spacing w:before="0" w:line="360" w:lineRule="auto"/>
        <w:ind w:firstLine="320" w:firstLineChars="100"/>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（四）绩效目标设置情况</w:t>
      </w:r>
    </w:p>
    <w:p w14:paraId="63777BA5">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5</w:t>
      </w:r>
      <w:r>
        <w:rPr>
          <w:rFonts w:hint="eastAsia" w:ascii="??" w:hAnsi="??" w:eastAsia="宋体" w:cs="宋体"/>
          <w:sz w:val="32"/>
          <w:szCs w:val="32"/>
        </w:rPr>
        <w:t>年马尔康市住建局通用项目和专用项目均按要求实行绩效目标管理，涉及一般公共预算当年拨款</w:t>
      </w:r>
      <w:r>
        <w:rPr>
          <w:rFonts w:hint="eastAsia" w:ascii="??" w:hAnsi="??" w:eastAsia="宋体" w:cs="宋体"/>
          <w:sz w:val="32"/>
          <w:szCs w:val="32"/>
          <w:lang w:val="en-US" w:eastAsia="zh-CN"/>
        </w:rPr>
        <w:t>1073.09</w:t>
      </w:r>
      <w:r>
        <w:rPr>
          <w:rFonts w:hint="eastAsia" w:ascii="??" w:hAnsi="??" w:eastAsia="宋体" w:cs="宋体"/>
          <w:sz w:val="32"/>
          <w:szCs w:val="32"/>
        </w:rPr>
        <w:t>万元</w:t>
      </w:r>
      <w:r>
        <w:rPr>
          <w:rFonts w:hint="eastAsia" w:ascii="??" w:hAnsi="??" w:eastAsia="宋体" w:cs="宋体"/>
          <w:sz w:val="32"/>
          <w:szCs w:val="32"/>
          <w:lang w:eastAsia="zh-CN"/>
        </w:rPr>
        <w:t>，</w:t>
      </w:r>
      <w:r>
        <w:rPr>
          <w:rFonts w:hint="eastAsia" w:ascii="??" w:hAnsi="??" w:eastAsia="宋体" w:cs="宋体"/>
          <w:sz w:val="32"/>
          <w:szCs w:val="32"/>
          <w:lang w:val="en-US" w:eastAsia="zh-CN"/>
        </w:rPr>
        <w:t>上年结转8253.07万元</w:t>
      </w:r>
      <w:r>
        <w:rPr>
          <w:rFonts w:hint="eastAsia" w:ascii="??" w:hAnsi="??" w:eastAsia="宋体" w:cs="宋体"/>
          <w:sz w:val="32"/>
          <w:szCs w:val="32"/>
        </w:rPr>
        <w:t>。</w:t>
      </w:r>
    </w:p>
    <w:p w14:paraId="2B4ACEF1">
      <w:pPr>
        <w:pStyle w:val="18"/>
        <w:spacing w:before="0" w:line="360" w:lineRule="auto"/>
        <w:ind w:firstLine="321" w:firstLineChars="100"/>
        <w:rPr>
          <w:rFonts w:ascii="??" w:hAnsi="??" w:eastAsia="宋体" w:cs="宋体"/>
          <w:b/>
          <w:bCs/>
          <w:sz w:val="32"/>
          <w:szCs w:val="32"/>
        </w:rPr>
      </w:pPr>
      <w:r>
        <w:rPr>
          <w:rFonts w:hint="eastAsia" w:ascii="??" w:hAnsi="??" w:eastAsia="宋体" w:cs="宋体"/>
          <w:b/>
          <w:bCs/>
          <w:sz w:val="32"/>
          <w:szCs w:val="32"/>
        </w:rPr>
        <w:t>　　十、名词解释</w:t>
      </w:r>
    </w:p>
    <w:p w14:paraId="122DC6AC">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（一）财政拨款收入：指由财政拨款形成的部门收入。按现行管理制度，部门预算中反映的财政拨款仅包括一般公共预算拨款和政府性基金预算拨款。</w:t>
      </w:r>
    </w:p>
    <w:p w14:paraId="0F7EAF24">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（二）事业收入：指所属事业单位开展专业业务活动及辅助活动所取得的收入。</w:t>
      </w:r>
    </w:p>
    <w:p w14:paraId="33FBFD49">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（三）事业单位经营收入：指所属事业单位在专业业务活动及其辅助活动之外开展非独立核算经营活动取得的收入。</w:t>
      </w:r>
    </w:p>
    <w:p w14:paraId="5E3B4C8D">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（四）其他收入：指除上述</w:t>
      </w:r>
      <w:r>
        <w:rPr>
          <w:rFonts w:ascii="??" w:hAnsi="??" w:eastAsia="宋体" w:cs="宋体"/>
          <w:sz w:val="32"/>
          <w:szCs w:val="32"/>
        </w:rPr>
        <w:t>“</w:t>
      </w:r>
      <w:r>
        <w:rPr>
          <w:rFonts w:hint="eastAsia" w:ascii="??" w:hAnsi="??" w:eastAsia="宋体" w:cs="宋体"/>
          <w:sz w:val="32"/>
          <w:szCs w:val="32"/>
        </w:rPr>
        <w:t>财政拨款收入</w:t>
      </w:r>
      <w:r>
        <w:rPr>
          <w:rFonts w:ascii="??" w:hAnsi="??" w:eastAsia="宋体" w:cs="宋体"/>
          <w:sz w:val="32"/>
          <w:szCs w:val="32"/>
        </w:rPr>
        <w:t>”</w:t>
      </w:r>
      <w:r>
        <w:rPr>
          <w:rFonts w:hint="eastAsia" w:ascii="??" w:hAnsi="??" w:eastAsia="宋体" w:cs="宋体"/>
          <w:sz w:val="32"/>
          <w:szCs w:val="32"/>
        </w:rPr>
        <w:t>、</w:t>
      </w:r>
      <w:r>
        <w:rPr>
          <w:rFonts w:ascii="??" w:hAnsi="??" w:eastAsia="宋体" w:cs="宋体"/>
          <w:sz w:val="32"/>
          <w:szCs w:val="32"/>
        </w:rPr>
        <w:t>“</w:t>
      </w:r>
      <w:r>
        <w:rPr>
          <w:rFonts w:hint="eastAsia" w:ascii="??" w:hAnsi="??" w:eastAsia="宋体" w:cs="宋体"/>
          <w:sz w:val="32"/>
          <w:szCs w:val="32"/>
        </w:rPr>
        <w:t>事业收入</w:t>
      </w:r>
      <w:r>
        <w:rPr>
          <w:rFonts w:ascii="??" w:hAnsi="??" w:eastAsia="宋体" w:cs="宋体"/>
          <w:sz w:val="32"/>
          <w:szCs w:val="32"/>
        </w:rPr>
        <w:t>”</w:t>
      </w:r>
      <w:r>
        <w:rPr>
          <w:rFonts w:hint="eastAsia" w:ascii="??" w:hAnsi="??" w:eastAsia="宋体" w:cs="宋体"/>
          <w:sz w:val="32"/>
          <w:szCs w:val="32"/>
        </w:rPr>
        <w:t>、</w:t>
      </w:r>
      <w:r>
        <w:rPr>
          <w:rFonts w:ascii="??" w:hAnsi="??" w:eastAsia="宋体" w:cs="宋体"/>
          <w:sz w:val="32"/>
          <w:szCs w:val="32"/>
        </w:rPr>
        <w:t>“</w:t>
      </w:r>
      <w:r>
        <w:rPr>
          <w:rFonts w:hint="eastAsia" w:ascii="??" w:hAnsi="??" w:eastAsia="宋体" w:cs="宋体"/>
          <w:sz w:val="32"/>
          <w:szCs w:val="32"/>
        </w:rPr>
        <w:t>事业单位经营收入</w:t>
      </w:r>
      <w:r>
        <w:rPr>
          <w:rFonts w:ascii="??" w:hAnsi="??" w:eastAsia="宋体" w:cs="宋体"/>
          <w:sz w:val="32"/>
          <w:szCs w:val="32"/>
        </w:rPr>
        <w:t>”</w:t>
      </w:r>
      <w:r>
        <w:rPr>
          <w:rFonts w:hint="eastAsia" w:ascii="??" w:hAnsi="??" w:eastAsia="宋体" w:cs="宋体"/>
          <w:sz w:val="32"/>
          <w:szCs w:val="32"/>
        </w:rPr>
        <w:t>等以外的收入，主要是所属行政事业单位按规定动用的售房收入、存款利息收入等。</w:t>
      </w:r>
    </w:p>
    <w:p w14:paraId="79EA7D95">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（五）用事业基金弥补收支差额：指所属事业单位在预计用当年的</w:t>
      </w:r>
      <w:r>
        <w:rPr>
          <w:rFonts w:ascii="??" w:hAnsi="??" w:eastAsia="宋体" w:cs="宋体"/>
          <w:sz w:val="32"/>
          <w:szCs w:val="32"/>
        </w:rPr>
        <w:t>“</w:t>
      </w:r>
      <w:r>
        <w:rPr>
          <w:rFonts w:hint="eastAsia" w:ascii="??" w:hAnsi="??" w:eastAsia="宋体" w:cs="宋体"/>
          <w:sz w:val="32"/>
          <w:szCs w:val="32"/>
        </w:rPr>
        <w:t>财政拨款收入</w:t>
      </w:r>
      <w:r>
        <w:rPr>
          <w:rFonts w:ascii="??" w:hAnsi="??" w:eastAsia="宋体" w:cs="宋体"/>
          <w:sz w:val="32"/>
          <w:szCs w:val="32"/>
        </w:rPr>
        <w:t>”</w:t>
      </w:r>
      <w:r>
        <w:rPr>
          <w:rFonts w:hint="eastAsia" w:ascii="??" w:hAnsi="??" w:eastAsia="宋体" w:cs="宋体"/>
          <w:sz w:val="32"/>
          <w:szCs w:val="32"/>
        </w:rPr>
        <w:t>、</w:t>
      </w:r>
      <w:r>
        <w:rPr>
          <w:rFonts w:ascii="??" w:hAnsi="??" w:eastAsia="宋体" w:cs="宋体"/>
          <w:sz w:val="32"/>
          <w:szCs w:val="32"/>
        </w:rPr>
        <w:t>“</w:t>
      </w:r>
      <w:r>
        <w:rPr>
          <w:rFonts w:hint="eastAsia" w:ascii="??" w:hAnsi="??" w:eastAsia="宋体" w:cs="宋体"/>
          <w:sz w:val="32"/>
          <w:szCs w:val="32"/>
        </w:rPr>
        <w:t>事业收入</w:t>
      </w:r>
      <w:r>
        <w:rPr>
          <w:rFonts w:ascii="??" w:hAnsi="??" w:eastAsia="宋体" w:cs="宋体"/>
          <w:sz w:val="32"/>
          <w:szCs w:val="32"/>
        </w:rPr>
        <w:t>”</w:t>
      </w:r>
      <w:r>
        <w:rPr>
          <w:rFonts w:hint="eastAsia" w:ascii="??" w:hAnsi="??" w:eastAsia="宋体" w:cs="宋体"/>
          <w:sz w:val="32"/>
          <w:szCs w:val="32"/>
        </w:rPr>
        <w:t>、</w:t>
      </w:r>
      <w:r>
        <w:rPr>
          <w:rFonts w:ascii="??" w:hAnsi="??" w:eastAsia="宋体" w:cs="宋体"/>
          <w:sz w:val="32"/>
          <w:szCs w:val="32"/>
        </w:rPr>
        <w:t>“</w:t>
      </w:r>
      <w:r>
        <w:rPr>
          <w:rFonts w:hint="eastAsia" w:ascii="??" w:hAnsi="??" w:eastAsia="宋体" w:cs="宋体"/>
          <w:sz w:val="32"/>
          <w:szCs w:val="32"/>
        </w:rPr>
        <w:t>事业单位经营收入</w:t>
      </w:r>
      <w:r>
        <w:rPr>
          <w:rFonts w:ascii="??" w:hAnsi="??" w:eastAsia="宋体" w:cs="宋体"/>
          <w:sz w:val="32"/>
          <w:szCs w:val="32"/>
        </w:rPr>
        <w:t>”</w:t>
      </w:r>
      <w:r>
        <w:rPr>
          <w:rFonts w:hint="eastAsia" w:ascii="??" w:hAnsi="??" w:eastAsia="宋体" w:cs="宋体"/>
          <w:sz w:val="32"/>
          <w:szCs w:val="32"/>
        </w:rPr>
        <w:t>、</w:t>
      </w:r>
      <w:r>
        <w:rPr>
          <w:rFonts w:ascii="??" w:hAnsi="??" w:eastAsia="宋体" w:cs="宋体"/>
          <w:sz w:val="32"/>
          <w:szCs w:val="32"/>
        </w:rPr>
        <w:t>“</w:t>
      </w:r>
      <w:r>
        <w:rPr>
          <w:rFonts w:hint="eastAsia" w:ascii="??" w:hAnsi="??" w:eastAsia="宋体" w:cs="宋体"/>
          <w:sz w:val="32"/>
          <w:szCs w:val="32"/>
        </w:rPr>
        <w:t>其他收入</w:t>
      </w:r>
      <w:r>
        <w:rPr>
          <w:rFonts w:ascii="??" w:hAnsi="??" w:eastAsia="宋体" w:cs="宋体"/>
          <w:sz w:val="32"/>
          <w:szCs w:val="32"/>
        </w:rPr>
        <w:t>”</w:t>
      </w:r>
      <w:r>
        <w:rPr>
          <w:rFonts w:hint="eastAsia" w:ascii="??" w:hAnsi="??" w:eastAsia="宋体" w:cs="宋体"/>
          <w:sz w:val="32"/>
          <w:szCs w:val="32"/>
        </w:rPr>
        <w:t>不足以安排当年支出的情况下，使用以前年度积累的事业基金弥补本年度收支缺口的资金。</w:t>
      </w:r>
    </w:p>
    <w:p w14:paraId="709DC188">
      <w:pPr>
        <w:pStyle w:val="18"/>
        <w:spacing w:before="0" w:line="360" w:lineRule="auto"/>
        <w:ind w:firstLine="320" w:firstLineChars="100"/>
        <w:rPr>
          <w:rFonts w:ascii="仿宋" w:hAnsi="仿宋" w:eastAsia="仿宋"/>
          <w:sz w:val="32"/>
          <w:szCs w:val="32"/>
        </w:rPr>
      </w:pPr>
      <w:r>
        <w:rPr>
          <w:rFonts w:hint="eastAsia" w:ascii="??" w:hAnsi="??" w:eastAsia="宋体" w:cs="宋体"/>
          <w:sz w:val="32"/>
          <w:szCs w:val="32"/>
        </w:rPr>
        <w:t>　　（六）上年结转：指所属行政事业单位以前年度尚未完成、结转至本年按原规定用途继续使用的资金和以前年度已完成项目剩余资金经批准用于新用途使用的资金。</w:t>
      </w:r>
    </w:p>
    <w:p w14:paraId="539C4E2A">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DD2C"/>
    <w:multiLevelType w:val="singleLevel"/>
    <w:tmpl w:val="9BA6DD2C"/>
    <w:lvl w:ilvl="0" w:tentative="0">
      <w:start w:val="1"/>
      <w:numFmt w:val="chineseCounting"/>
      <w:suff w:val="nothing"/>
      <w:lvlText w:val="（%1）"/>
      <w:lvlJc w:val="left"/>
      <w:pPr>
        <w:ind w:left="720"/>
      </w:pPr>
      <w:rPr>
        <w:rFonts w:hint="eastAsia"/>
      </w:rPr>
    </w:lvl>
  </w:abstractNum>
  <w:abstractNum w:abstractNumId="1">
    <w:nsid w:val="1B5960CE"/>
    <w:multiLevelType w:val="singleLevel"/>
    <w:tmpl w:val="1B5960CE"/>
    <w:lvl w:ilvl="0" w:tentative="0">
      <w:start w:val="1"/>
      <w:numFmt w:val="chineseCounting"/>
      <w:suff w:val="nothing"/>
      <w:lvlText w:val="%1、"/>
      <w:lvlJc w:val="left"/>
      <w:pPr>
        <w:ind w:left="481" w:firstLine="0"/>
      </w:pPr>
      <w:rPr>
        <w:rFonts w:hint="eastAsia"/>
      </w:rPr>
    </w:lvl>
  </w:abstractNum>
  <w:abstractNum w:abstractNumId="2">
    <w:nsid w:val="1BC42B38"/>
    <w:multiLevelType w:val="singleLevel"/>
    <w:tmpl w:val="1BC42B38"/>
    <w:lvl w:ilvl="0" w:tentative="0">
      <w:start w:val="2"/>
      <w:numFmt w:val="chineseCounting"/>
      <w:suff w:val="nothing"/>
      <w:lvlText w:val="（%1）"/>
      <w:lvlJc w:val="left"/>
      <w:rPr>
        <w:rFonts w:hint="eastAsia"/>
      </w:rPr>
    </w:lvl>
  </w:abstractNum>
  <w:abstractNum w:abstractNumId="3">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3B5AC583"/>
    <w:multiLevelType w:val="singleLevel"/>
    <w:tmpl w:val="3B5AC583"/>
    <w:lvl w:ilvl="0" w:tentative="0">
      <w:start w:val="1"/>
      <w:numFmt w:val="chineseCounting"/>
      <w:suff w:val="space"/>
      <w:lvlText w:val="第%1条"/>
      <w:lvlJc w:val="left"/>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ZTNhY2EwY2RjODBmODk3YzBmOTA2NTI0Zjc5NWIifQ=="/>
  </w:docVars>
  <w:rsids>
    <w:rsidRoot w:val="00352854"/>
    <w:rsid w:val="00085137"/>
    <w:rsid w:val="000A4612"/>
    <w:rsid w:val="0015482B"/>
    <w:rsid w:val="001846CC"/>
    <w:rsid w:val="00187AD5"/>
    <w:rsid w:val="001A737A"/>
    <w:rsid w:val="001B3C8E"/>
    <w:rsid w:val="002202D7"/>
    <w:rsid w:val="00260082"/>
    <w:rsid w:val="00291353"/>
    <w:rsid w:val="002E6F3C"/>
    <w:rsid w:val="00352854"/>
    <w:rsid w:val="003762A5"/>
    <w:rsid w:val="003C2018"/>
    <w:rsid w:val="003E0272"/>
    <w:rsid w:val="003E256B"/>
    <w:rsid w:val="004133D4"/>
    <w:rsid w:val="004149E2"/>
    <w:rsid w:val="00471584"/>
    <w:rsid w:val="00511FC7"/>
    <w:rsid w:val="005B3805"/>
    <w:rsid w:val="00685E72"/>
    <w:rsid w:val="006E4C9C"/>
    <w:rsid w:val="007B3677"/>
    <w:rsid w:val="007C2064"/>
    <w:rsid w:val="00853F67"/>
    <w:rsid w:val="008C573C"/>
    <w:rsid w:val="008F03C7"/>
    <w:rsid w:val="008F63EB"/>
    <w:rsid w:val="00987B5A"/>
    <w:rsid w:val="00A91F75"/>
    <w:rsid w:val="00C0348B"/>
    <w:rsid w:val="00C451EA"/>
    <w:rsid w:val="00C8183B"/>
    <w:rsid w:val="00CA196D"/>
    <w:rsid w:val="00D22494"/>
    <w:rsid w:val="00D83A1E"/>
    <w:rsid w:val="00DA61BD"/>
    <w:rsid w:val="00DE057B"/>
    <w:rsid w:val="00E20F1F"/>
    <w:rsid w:val="00E629F5"/>
    <w:rsid w:val="00EE6D6E"/>
    <w:rsid w:val="00F40C09"/>
    <w:rsid w:val="00F743F0"/>
    <w:rsid w:val="00F80C32"/>
    <w:rsid w:val="00FF11B9"/>
    <w:rsid w:val="0249195D"/>
    <w:rsid w:val="062260D2"/>
    <w:rsid w:val="0E2F351B"/>
    <w:rsid w:val="10237B96"/>
    <w:rsid w:val="104208E1"/>
    <w:rsid w:val="12555FF7"/>
    <w:rsid w:val="12680DAE"/>
    <w:rsid w:val="15205ED3"/>
    <w:rsid w:val="16C31694"/>
    <w:rsid w:val="18A14F71"/>
    <w:rsid w:val="18FF6912"/>
    <w:rsid w:val="19B42A23"/>
    <w:rsid w:val="1A536630"/>
    <w:rsid w:val="1AA70189"/>
    <w:rsid w:val="1B87403D"/>
    <w:rsid w:val="1BA86C22"/>
    <w:rsid w:val="1F26272E"/>
    <w:rsid w:val="21657E95"/>
    <w:rsid w:val="21794021"/>
    <w:rsid w:val="23A11368"/>
    <w:rsid w:val="246F168E"/>
    <w:rsid w:val="24F9229C"/>
    <w:rsid w:val="258936E1"/>
    <w:rsid w:val="258F1518"/>
    <w:rsid w:val="266A1143"/>
    <w:rsid w:val="28394520"/>
    <w:rsid w:val="2B214D67"/>
    <w:rsid w:val="2F8E3AA8"/>
    <w:rsid w:val="32B27E26"/>
    <w:rsid w:val="32F63B9D"/>
    <w:rsid w:val="362D1075"/>
    <w:rsid w:val="3670384D"/>
    <w:rsid w:val="37B65213"/>
    <w:rsid w:val="392648A2"/>
    <w:rsid w:val="395C1D12"/>
    <w:rsid w:val="396E1053"/>
    <w:rsid w:val="39774D17"/>
    <w:rsid w:val="39885610"/>
    <w:rsid w:val="3B315C0A"/>
    <w:rsid w:val="3C914F22"/>
    <w:rsid w:val="3F244242"/>
    <w:rsid w:val="4BB71592"/>
    <w:rsid w:val="4C7523C9"/>
    <w:rsid w:val="4C9A0E5A"/>
    <w:rsid w:val="4F893019"/>
    <w:rsid w:val="54971006"/>
    <w:rsid w:val="553B58BF"/>
    <w:rsid w:val="5602122C"/>
    <w:rsid w:val="585F1295"/>
    <w:rsid w:val="595E3916"/>
    <w:rsid w:val="5A6F5D2E"/>
    <w:rsid w:val="5BFA6CAF"/>
    <w:rsid w:val="5CB16EA0"/>
    <w:rsid w:val="5D2D5121"/>
    <w:rsid w:val="5DE92886"/>
    <w:rsid w:val="5EC41018"/>
    <w:rsid w:val="5FDC35D6"/>
    <w:rsid w:val="684A5108"/>
    <w:rsid w:val="68CF0917"/>
    <w:rsid w:val="6A7412A6"/>
    <w:rsid w:val="6C3E2AFD"/>
    <w:rsid w:val="6D0D5E33"/>
    <w:rsid w:val="6E25488E"/>
    <w:rsid w:val="6FE75245"/>
    <w:rsid w:val="73974727"/>
    <w:rsid w:val="75DB0AF2"/>
    <w:rsid w:val="7A9E3424"/>
    <w:rsid w:val="7ACD2033"/>
    <w:rsid w:val="7E5B2C5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eastAsia="仿宋_GB2312" w:cs="仿宋_GB2312"/>
      <w:sz w:val="32"/>
      <w:szCs w:val="32"/>
    </w:rPr>
  </w:style>
  <w:style w:type="paragraph" w:styleId="3">
    <w:name w:val="Normal Indent"/>
    <w:basedOn w:val="1"/>
    <w:next w:val="1"/>
    <w:qFormat/>
    <w:uiPriority w:val="0"/>
    <w:pPr>
      <w:autoSpaceDE w:val="0"/>
      <w:autoSpaceDN w:val="0"/>
      <w:spacing w:line="360" w:lineRule="auto"/>
      <w:ind w:firstLine="200" w:firstLineChars="200"/>
    </w:pPr>
    <w:rPr>
      <w:rFonts w:ascii="Times New Roman" w:hAnsi="Times New Roman"/>
      <w:sz w:val="28"/>
      <w:szCs w:val="24"/>
      <w:lang w:val="zh-CN" w:bidi="zh-CN"/>
    </w:rPr>
  </w:style>
  <w:style w:type="paragraph" w:styleId="4">
    <w:name w:val="Body Text Indent"/>
    <w:basedOn w:val="1"/>
    <w:link w:val="21"/>
    <w:semiHidden/>
    <w:unhideWhenUsed/>
    <w:qFormat/>
    <w:uiPriority w:val="99"/>
    <w:pPr>
      <w:spacing w:after="120"/>
      <w:ind w:left="420" w:leftChars="200"/>
    </w:pPr>
  </w:style>
  <w:style w:type="paragraph" w:styleId="5">
    <w:name w:val="Plain Text"/>
    <w:basedOn w:val="1"/>
    <w:qFormat/>
    <w:uiPriority w:val="0"/>
    <w:pPr>
      <w:spacing w:line="240" w:lineRule="auto"/>
    </w:pPr>
    <w:rPr>
      <w:rFonts w:ascii="宋体" w:hAnsi="Courier New" w:eastAsia="宋体" w:cs="Courier New"/>
      <w:sz w:val="21"/>
      <w:szCs w:val="21"/>
    </w:rPr>
  </w:style>
  <w:style w:type="paragraph" w:styleId="6">
    <w:name w:val="footer"/>
    <w:basedOn w:val="1"/>
    <w:next w:val="1"/>
    <w:link w:val="17"/>
    <w:qFormat/>
    <w:uiPriority w:val="0"/>
    <w:pPr>
      <w:tabs>
        <w:tab w:val="center" w:pos="4153"/>
        <w:tab w:val="right" w:pos="8306"/>
      </w:tabs>
      <w:snapToGrid w:val="0"/>
      <w:jc w:val="left"/>
    </w:pPr>
    <w:rPr>
      <w:sz w:val="18"/>
      <w:szCs w:val="18"/>
    </w:rPr>
  </w:style>
  <w:style w:type="paragraph" w:styleId="7">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qFormat/>
    <w:uiPriority w:val="0"/>
    <w:pPr>
      <w:ind w:left="200" w:leftChars="200" w:hanging="200" w:hangingChars="200"/>
    </w:pPr>
  </w:style>
  <w:style w:type="paragraph" w:styleId="9">
    <w:name w:val="Body Text 2"/>
    <w:basedOn w:val="1"/>
    <w:link w:val="23"/>
    <w:semiHidden/>
    <w:unhideWhenUsed/>
    <w:qFormat/>
    <w:uiPriority w:val="99"/>
    <w:pPr>
      <w:spacing w:after="120" w:line="480" w:lineRule="auto"/>
    </w:p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4"/>
    <w:link w:val="22"/>
    <w:semiHidden/>
    <w:unhideWhenUsed/>
    <w:qFormat/>
    <w:uiPriority w:val="99"/>
    <w:pPr>
      <w:ind w:firstLine="420" w:firstLineChars="200"/>
    </w:pPr>
  </w:style>
  <w:style w:type="character" w:styleId="14">
    <w:name w:val="page number"/>
    <w:basedOn w:val="13"/>
    <w:qFormat/>
    <w:uiPriority w:val="0"/>
  </w:style>
  <w:style w:type="character" w:styleId="15">
    <w:name w:val="Emphasis"/>
    <w:basedOn w:val="13"/>
    <w:qFormat/>
    <w:uiPriority w:val="99"/>
    <w:rPr>
      <w:rFonts w:cs="Times New Roman"/>
    </w:rPr>
  </w:style>
  <w:style w:type="character" w:customStyle="1" w:styleId="16">
    <w:name w:val="页眉 Char"/>
    <w:basedOn w:val="13"/>
    <w:link w:val="7"/>
    <w:semiHidden/>
    <w:qFormat/>
    <w:locked/>
    <w:uiPriority w:val="99"/>
    <w:rPr>
      <w:rFonts w:cs="Times New Roman"/>
      <w:sz w:val="18"/>
      <w:szCs w:val="18"/>
    </w:rPr>
  </w:style>
  <w:style w:type="character" w:customStyle="1" w:styleId="17">
    <w:name w:val="页脚 Char"/>
    <w:basedOn w:val="13"/>
    <w:link w:val="6"/>
    <w:semiHidden/>
    <w:qFormat/>
    <w:locked/>
    <w:uiPriority w:val="99"/>
    <w:rPr>
      <w:rFonts w:cs="Times New Roman"/>
      <w:sz w:val="18"/>
      <w:szCs w:val="18"/>
    </w:rPr>
  </w:style>
  <w:style w:type="paragraph" w:customStyle="1" w:styleId="18">
    <w:name w:val="正文文本1"/>
    <w:basedOn w:val="1"/>
    <w:qFormat/>
    <w:uiPriority w:val="99"/>
    <w:pPr>
      <w:spacing w:before="93"/>
    </w:pPr>
    <w:rPr>
      <w:rFonts w:ascii="仿宋_GB2312" w:hAnsi="仿宋_GB2312" w:eastAsia="仿宋_GB2312"/>
      <w:kern w:val="0"/>
      <w:sz w:val="30"/>
      <w:szCs w:val="20"/>
    </w:rPr>
  </w:style>
  <w:style w:type="character" w:customStyle="1" w:styleId="19">
    <w:name w:val="默认段落字体1"/>
    <w:qFormat/>
    <w:uiPriority w:val="99"/>
    <w:rPr>
      <w:sz w:val="22"/>
    </w:rPr>
  </w:style>
  <w:style w:type="paragraph" w:styleId="20">
    <w:name w:val="List Paragraph"/>
    <w:basedOn w:val="1"/>
    <w:qFormat/>
    <w:uiPriority w:val="99"/>
    <w:pPr>
      <w:ind w:firstLine="420" w:firstLineChars="200"/>
    </w:pPr>
  </w:style>
  <w:style w:type="character" w:customStyle="1" w:styleId="21">
    <w:name w:val="正文文本缩进 Char"/>
    <w:basedOn w:val="13"/>
    <w:link w:val="4"/>
    <w:semiHidden/>
    <w:qFormat/>
    <w:uiPriority w:val="99"/>
    <w:rPr>
      <w:rFonts w:ascii="Calibri" w:hAnsi="Calibri"/>
      <w:kern w:val="2"/>
      <w:sz w:val="21"/>
      <w:szCs w:val="22"/>
    </w:rPr>
  </w:style>
  <w:style w:type="character" w:customStyle="1" w:styleId="22">
    <w:name w:val="正文首行缩进 2 Char"/>
    <w:basedOn w:val="21"/>
    <w:link w:val="11"/>
    <w:semiHidden/>
    <w:qFormat/>
    <w:uiPriority w:val="99"/>
  </w:style>
  <w:style w:type="character" w:customStyle="1" w:styleId="23">
    <w:name w:val="正文文本 2 Char"/>
    <w:basedOn w:val="13"/>
    <w:link w:val="9"/>
    <w:semiHidden/>
    <w:qFormat/>
    <w:uiPriority w:val="99"/>
    <w:rPr>
      <w:rFonts w:ascii="Calibri" w:hAnsi="Calibri"/>
      <w:kern w:val="2"/>
      <w:sz w:val="21"/>
      <w:szCs w:val="22"/>
    </w:rPr>
  </w:style>
  <w:style w:type="character" w:customStyle="1" w:styleId="24">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28</Pages>
  <Words>13267</Words>
  <Characters>14281</Characters>
  <Lines>83</Lines>
  <Paragraphs>23</Paragraphs>
  <TotalTime>49</TotalTime>
  <ScaleCrop>false</ScaleCrop>
  <LinksUpToDate>false</LinksUpToDate>
  <CharactersWithSpaces>14524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2024-02-26T07:15:00Z</dcterms:created>
  <dc:creator>薛永萍</dc:creator>
  <cp:lastModifiedBy>WPS_1593568130</cp:lastModifiedBy>
  <cp:lastPrinted>2020-03-25T06:31:00Z</cp:lastPrinted>
  <dcterms:modified xsi:type="dcterms:W3CDTF">2025-04-22T07:42:57Z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2063BD22C7554D708AC6FE54D56F348A_13</vt:lpwstr>
  </property>
  <property fmtid="{D5CDD505-2E9C-101B-9397-08002B2CF9AE}" pid="4" name="KSOTemplateDocerSaveRecord">
    <vt:lpwstr>eyJoZGlkIjoiNTk0ODMzMzE5ZjFhNjQzY2Q3ZGEzYjkyNmI3ODUzYjAiLCJ1c2VySWQiOiIxMDI2MjkzODEzIn0=</vt:lpwstr>
  </property>
</Properties>
</file>