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2F19">
      <w:pPr>
        <w:spacing w:line="600" w:lineRule="exact"/>
        <w:jc w:val="left"/>
        <w:outlineLvl w:val="0"/>
        <w:rPr>
          <w:rFonts w:ascii="方正小标宋简体" w:hAnsi="宋体" w:eastAsia="方正小标宋简体"/>
          <w:color w:val="auto"/>
          <w:sz w:val="21"/>
          <w:szCs w:val="21"/>
          <w:highlight w:val="none"/>
        </w:rPr>
      </w:pPr>
      <w:bookmarkStart w:id="0" w:name="_Toc15306267"/>
    </w:p>
    <w:p w14:paraId="53F23AEF">
      <w:pPr>
        <w:spacing w:line="600" w:lineRule="exact"/>
        <w:jc w:val="center"/>
        <w:outlineLvl w:val="0"/>
        <w:rPr>
          <w:rFonts w:ascii="方正小标宋简体" w:hAnsi="宋体" w:eastAsia="方正小标宋简体"/>
          <w:color w:val="auto"/>
          <w:sz w:val="72"/>
          <w:szCs w:val="72"/>
          <w:highlight w:val="none"/>
        </w:rPr>
      </w:pPr>
    </w:p>
    <w:p w14:paraId="64472718">
      <w:pPr>
        <w:spacing w:line="600" w:lineRule="exact"/>
        <w:jc w:val="center"/>
        <w:outlineLvl w:val="0"/>
        <w:rPr>
          <w:rFonts w:ascii="方正小标宋简体" w:hAnsi="宋体" w:eastAsia="方正小标宋简体"/>
          <w:color w:val="auto"/>
          <w:sz w:val="72"/>
          <w:szCs w:val="72"/>
          <w:highlight w:val="none"/>
        </w:rPr>
      </w:pPr>
    </w:p>
    <w:p w14:paraId="20755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rPr>
      </w:pPr>
      <w:bookmarkStart w:id="1" w:name="_Toc15377425"/>
      <w:bookmarkStart w:id="2" w:name="_Toc15396597"/>
      <w:bookmarkStart w:id="3" w:name="_Toc15378441"/>
      <w:bookmarkStart w:id="4" w:name="_Toc15396475"/>
      <w:bookmarkStart w:id="5" w:name="_Toc15377193"/>
      <w:r>
        <w:rPr>
          <w:rFonts w:hint="eastAsia" w:ascii="黑体" w:hAnsi="黑体" w:eastAsia="黑体" w:cs="Times New Roman"/>
          <w:sz w:val="72"/>
          <w:szCs w:val="72"/>
        </w:rPr>
        <w:t>20</w:t>
      </w:r>
      <w:r>
        <w:rPr>
          <w:rFonts w:hint="eastAsia" w:ascii="黑体" w:hAnsi="黑体" w:eastAsia="黑体" w:cs="Times New Roman"/>
          <w:sz w:val="72"/>
          <w:szCs w:val="72"/>
          <w:lang w:val="en-US" w:eastAsia="zh-CN"/>
        </w:rPr>
        <w:t>24</w:t>
      </w:r>
      <w:r>
        <w:rPr>
          <w:rFonts w:hint="eastAsia" w:ascii="黑体" w:hAnsi="黑体" w:eastAsia="黑体" w:cs="Times New Roman"/>
          <w:sz w:val="72"/>
          <w:szCs w:val="72"/>
        </w:rPr>
        <w:t>年度</w:t>
      </w:r>
      <w:bookmarkEnd w:id="1"/>
      <w:bookmarkEnd w:id="2"/>
      <w:bookmarkEnd w:id="3"/>
      <w:bookmarkEnd w:id="4"/>
      <w:bookmarkEnd w:id="5"/>
    </w:p>
    <w:p w14:paraId="18698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lang w:val="en-US" w:eastAsia="zh-CN"/>
        </w:rPr>
      </w:pPr>
      <w:bookmarkStart w:id="6" w:name="_Toc15377194"/>
      <w:bookmarkStart w:id="7" w:name="_Toc15396476"/>
      <w:bookmarkStart w:id="8" w:name="_Toc15377426"/>
      <w:bookmarkStart w:id="9" w:name="_Toc15378442"/>
      <w:bookmarkStart w:id="10" w:name="_Toc15396598"/>
      <w:r>
        <w:rPr>
          <w:rFonts w:hint="eastAsia" w:ascii="黑体" w:hAnsi="黑体" w:eastAsia="黑体" w:cs="Times New Roman"/>
          <w:sz w:val="72"/>
          <w:szCs w:val="72"/>
          <w:lang w:val="en-US" w:eastAsia="zh-CN"/>
        </w:rPr>
        <w:t>马尔康市</w:t>
      </w:r>
      <w:bookmarkEnd w:id="0"/>
      <w:bookmarkStart w:id="11" w:name="_Toc15306268"/>
      <w:r>
        <w:rPr>
          <w:rFonts w:hint="eastAsia" w:ascii="黑体" w:hAnsi="黑体" w:eastAsia="黑体" w:cs="Times New Roman"/>
          <w:sz w:val="72"/>
          <w:szCs w:val="72"/>
          <w:lang w:val="en-US" w:eastAsia="zh-CN"/>
        </w:rPr>
        <w:t>公用事业和市政建设服务中心单位</w:t>
      </w:r>
      <w:r>
        <w:rPr>
          <w:rFonts w:hint="eastAsia" w:ascii="黑体" w:hAnsi="黑体" w:eastAsia="黑体" w:cs="Times New Roman"/>
          <w:sz w:val="72"/>
          <w:szCs w:val="72"/>
        </w:rPr>
        <w:t>决算</w:t>
      </w:r>
      <w:bookmarkEnd w:id="6"/>
      <w:bookmarkEnd w:id="7"/>
      <w:bookmarkEnd w:id="8"/>
      <w:bookmarkEnd w:id="9"/>
      <w:bookmarkEnd w:id="10"/>
      <w:bookmarkEnd w:id="11"/>
      <w:r>
        <w:rPr>
          <w:rFonts w:hint="eastAsia" w:ascii="黑体" w:hAnsi="黑体" w:eastAsia="黑体" w:cs="Times New Roman"/>
          <w:sz w:val="72"/>
          <w:szCs w:val="72"/>
          <w:lang w:val="en-US" w:eastAsia="zh-CN"/>
        </w:rPr>
        <w:t>公开</w:t>
      </w:r>
    </w:p>
    <w:p w14:paraId="561AC9D6">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17972D">
      <w:pPr>
        <w:widowControl/>
        <w:jc w:val="center"/>
        <w:rPr>
          <w:rFonts w:ascii="黑体" w:hAnsi="黑体" w:eastAsia="黑体" w:cstheme="minorBidi"/>
          <w:color w:val="auto"/>
          <w:sz w:val="28"/>
          <w:szCs w:val="28"/>
          <w:highlight w:val="none"/>
        </w:rPr>
      </w:pPr>
    </w:p>
    <w:p w14:paraId="16146AAB">
      <w:pPr>
        <w:pStyle w:val="13"/>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23</w:t>
      </w:r>
      <w:bookmarkStart w:id="71" w:name="_GoBack"/>
      <w:bookmarkEnd w:id="71"/>
      <w:r>
        <w:rPr>
          <w:rFonts w:hint="eastAsia"/>
          <w:color w:val="auto"/>
          <w:highlight w:val="none"/>
        </w:rPr>
        <w:t>日</w:t>
      </w:r>
    </w:p>
    <w:p w14:paraId="2335E08A">
      <w:pPr>
        <w:rPr>
          <w:color w:val="auto"/>
          <w:highlight w:val="none"/>
        </w:rPr>
      </w:pPr>
    </w:p>
    <w:p w14:paraId="51B6D7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第一部分 </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概况</w:t>
      </w:r>
    </w:p>
    <w:p w14:paraId="79E5AEB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一、</w:t>
      </w:r>
      <w:r>
        <w:rPr>
          <w:rFonts w:hint="eastAsia" w:ascii="Times New Roman" w:hAnsi="Times New Roman" w:cs="Times New Roman"/>
          <w:color w:val="auto"/>
          <w:sz w:val="24"/>
          <w:highlight w:val="none"/>
          <w:lang w:eastAsia="zh-CN"/>
        </w:rPr>
        <w:t>主要职责</w:t>
      </w:r>
    </w:p>
    <w:p w14:paraId="29DB55BC">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二</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机构设置</w:t>
      </w:r>
    </w:p>
    <w:p w14:paraId="46C3E91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第二部分</w:t>
      </w:r>
      <w:r>
        <w:rPr>
          <w:rFonts w:hint="eastAsia" w:ascii="Times New Roman" w:hAnsi="Times New Roman" w:cs="Times New Roman"/>
          <w:color w:val="auto"/>
          <w:sz w:val="24"/>
          <w:highlight w:val="none"/>
          <w:lang w:val="en-US" w:eastAsia="zh-CN"/>
        </w:rPr>
        <w:t xml:space="preserve"> 202</w:t>
      </w: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年度</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决算情况说明</w:t>
      </w:r>
    </w:p>
    <w:p w14:paraId="1A122D90">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一、收入支出决算总体情况说明</w:t>
      </w:r>
    </w:p>
    <w:p w14:paraId="29F9380A">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二、收入决算情况说明</w:t>
      </w:r>
    </w:p>
    <w:p w14:paraId="630E757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三、支出决算情况说明</w:t>
      </w:r>
    </w:p>
    <w:p w14:paraId="3196369E">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四、财政拨款收入支出决算总体情况说明</w:t>
      </w:r>
    </w:p>
    <w:p w14:paraId="2776A56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五、一般公共预算财政拨款支出决算情况说明</w:t>
      </w:r>
    </w:p>
    <w:p w14:paraId="1AC144A6">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六、一般公共预算财政拨款基本支出决算情况说明</w:t>
      </w:r>
    </w:p>
    <w:p w14:paraId="12FBA6E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七、财政拨款</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三公”经费支出决算情况说明</w:t>
      </w:r>
    </w:p>
    <w:p w14:paraId="056968A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八、政府性基金预算支出决算情况说明</w:t>
      </w:r>
    </w:p>
    <w:p w14:paraId="1BCFBEA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九、国有资本经营预算支出决算情况说明</w:t>
      </w:r>
    </w:p>
    <w:p w14:paraId="0B69099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十、其他重要事项的情况说明</w:t>
      </w:r>
    </w:p>
    <w:p w14:paraId="53094F7C">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第三部分 名词解释</w:t>
      </w:r>
    </w:p>
    <w:p w14:paraId="35EB03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第四部分 附件</w:t>
      </w:r>
    </w:p>
    <w:p w14:paraId="3737A0C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附件1 </w:t>
      </w:r>
    </w:p>
    <w:p w14:paraId="3D507B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马尔康住建局202</w:t>
      </w:r>
      <w:r>
        <w:rPr>
          <w:rFonts w:hint="eastAsia" w:ascii="宋体" w:hAnsi="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年部门整体支出绩效评价报告 </w:t>
      </w:r>
    </w:p>
    <w:p w14:paraId="0468F5A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附件2：</w:t>
      </w:r>
    </w:p>
    <w:p w14:paraId="4694AF2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2024年马尔康市住房和城乡建设局预算项目自评表</w:t>
      </w:r>
    </w:p>
    <w:p w14:paraId="36AD5C4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w:t>
      </w: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 </w:t>
      </w:r>
    </w:p>
    <w:p w14:paraId="4394CCC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四川省马尔康市住房和城乡建设局马尔康市城镇供暖配套设施建设项目</w:t>
      </w:r>
    </w:p>
    <w:p w14:paraId="683069F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绩效评估报告</w:t>
      </w:r>
    </w:p>
    <w:p w14:paraId="09BFFBE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第五部分 附表</w:t>
      </w:r>
    </w:p>
    <w:p w14:paraId="77F40977">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B9F363">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8D61BFA">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339AF9F">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BFF8188">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B12047B">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321BFAC">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75867A53">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F41FB6D">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90526D1">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7C31136">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A20F5AB">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2EDD520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770C9F2E">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4AEEAB34">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32EABBF5">
      <w:pPr>
        <w:pStyle w:val="2"/>
        <w:jc w:val="center"/>
        <w:rPr>
          <w:rStyle w:val="32"/>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2"/>
          <w:rFonts w:hint="eastAsia" w:ascii="黑体" w:hAnsi="黑体" w:eastAsia="黑体"/>
          <w:b w:val="0"/>
          <w:bCs w:val="0"/>
          <w:color w:val="auto"/>
          <w:highlight w:val="none"/>
        </w:rPr>
        <w:t>概况</w:t>
      </w:r>
      <w:bookmarkEnd w:id="12"/>
      <w:bookmarkEnd w:id="13"/>
    </w:p>
    <w:p w14:paraId="381DC2C4">
      <w:pPr>
        <w:widowControl/>
        <w:jc w:val="left"/>
        <w:rPr>
          <w:rFonts w:ascii="黑体" w:eastAsia="黑体"/>
          <w:color w:val="auto"/>
          <w:sz w:val="32"/>
          <w:szCs w:val="32"/>
          <w:highlight w:val="none"/>
        </w:rPr>
      </w:pPr>
    </w:p>
    <w:p w14:paraId="071052B2">
      <w:pPr>
        <w:pStyle w:val="3"/>
        <w:numPr>
          <w:ilvl w:val="0"/>
          <w:numId w:val="1"/>
        </w:numPr>
        <w:rPr>
          <w:rStyle w:val="33"/>
          <w:rFonts w:hint="eastAsia" w:ascii="黑体" w:hAnsi="黑体" w:eastAsia="黑体"/>
          <w:b w:val="0"/>
          <w:bCs w:val="0"/>
          <w:color w:val="auto"/>
          <w:highlight w:val="none"/>
          <w:lang w:eastAsia="zh-CN"/>
        </w:rPr>
      </w:pPr>
      <w:bookmarkStart w:id="14" w:name="_Toc15377197"/>
      <w:bookmarkStart w:id="15" w:name="_Toc15396600"/>
      <w:r>
        <w:rPr>
          <w:rStyle w:val="33"/>
          <w:rFonts w:hint="eastAsia" w:ascii="黑体" w:hAnsi="黑体" w:eastAsia="黑体"/>
          <w:b w:val="0"/>
          <w:bCs w:val="0"/>
          <w:color w:val="auto"/>
          <w:highlight w:val="none"/>
          <w:lang w:eastAsia="zh-CN"/>
        </w:rPr>
        <w:t>主要职责</w:t>
      </w:r>
    </w:p>
    <w:p w14:paraId="6FA369D5">
      <w:pPr>
        <w:pStyle w:val="38"/>
        <w:keepNext w:val="0"/>
        <w:keepLines w:val="0"/>
        <w:widowControl/>
        <w:suppressLineNumbers w:val="0"/>
        <w:spacing w:before="0" w:beforeAutospacing="0"/>
        <w:ind w:left="0"/>
        <w:jc w:val="left"/>
        <w:rPr>
          <w:rFonts w:hint="eastAsia" w:ascii="黑体" w:hAnsi="黑体" w:eastAsia="黑体" w:cs="黑体"/>
          <w:b/>
          <w:bCs/>
          <w:color w:val="000000"/>
          <w:kern w:val="0"/>
          <w:sz w:val="32"/>
          <w:szCs w:val="32"/>
          <w:shd w:val="clear" w:color="auto" w:fill="auto"/>
        </w:rPr>
      </w:pPr>
      <w:r>
        <w:rPr>
          <w:rFonts w:hint="eastAsia" w:ascii="黑体" w:hAnsi="黑体" w:eastAsia="黑体" w:cs="黑体"/>
          <w:b/>
          <w:bCs/>
          <w:color w:val="000000"/>
          <w:kern w:val="0"/>
          <w:sz w:val="32"/>
          <w:szCs w:val="32"/>
          <w:shd w:val="clear" w:color="auto" w:fill="auto"/>
        </w:rPr>
        <w:t>1．主要职能。</w:t>
      </w:r>
    </w:p>
    <w:p w14:paraId="113D657D">
      <w:pPr>
        <w:keepNext w:val="0"/>
        <w:keepLines w:val="0"/>
        <w:widowControl/>
        <w:suppressLineNumbers w:val="0"/>
        <w:snapToGrid w:val="0"/>
        <w:spacing w:line="520" w:lineRule="exact"/>
        <w:ind w:left="0" w:firstLine="600" w:firstLineChars="200"/>
        <w:rPr>
          <w:rFonts w:hint="eastAsia"/>
          <w:lang w:eastAsia="zh-CN"/>
        </w:rPr>
      </w:pPr>
      <w:r>
        <w:rPr>
          <w:rFonts w:hint="default" w:ascii="仿宋" w:hAnsi="仿宋" w:eastAsia="仿宋" w:cs="仿宋"/>
          <w:snapToGrid w:val="0"/>
          <w:color w:val="000000"/>
          <w:kern w:val="0"/>
          <w:sz w:val="30"/>
          <w:szCs w:val="30"/>
          <w:shd w:val="clear" w:color="auto" w:fill="auto"/>
          <w:lang w:val="en-US" w:eastAsia="zh-CN" w:bidi="ar"/>
        </w:rPr>
        <w:t>负责工程建设实施中的协调、监督管理工作，参与工程项目前期准备阶段的有关工作；定期报告重点建设计划执行情况，分析趋势，提出建议，会同有关部门共同组织建设工程项目验收和慨算调整；研究制定我县建筑业的发展规划，对建筑业实施行业管理，培育和管理建筑市场；负责建筑工程报建、招投标、竣工验收、施工许可、建设监理、合同、安全生产、工程质量和建筑业新技术推广和应用，有形建筑市场的监督管理工作；参与工程师管理，监督检查重大质量事故的调查处理。</w:t>
      </w:r>
    </w:p>
    <w:p w14:paraId="5D9E9B92">
      <w:pPr>
        <w:pStyle w:val="3"/>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14:paraId="7653E55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阿坝州马尔康市</w:t>
      </w:r>
      <w:r>
        <w:rPr>
          <w:rFonts w:hint="eastAsia" w:ascii="仿宋_GB2312" w:hAnsi="仿宋_GB2312" w:eastAsia="仿宋_GB2312" w:cs="仿宋_GB2312"/>
          <w:color w:val="333333"/>
          <w:sz w:val="32"/>
          <w:szCs w:val="32"/>
          <w:shd w:val="clear" w:color="auto" w:fill="FFFFFF"/>
          <w:lang w:val="en-US" w:eastAsia="zh-CN"/>
        </w:rPr>
        <w:t>城乡和住房建设局</w:t>
      </w:r>
      <w:r>
        <w:rPr>
          <w:rFonts w:hint="eastAsia" w:ascii="仿宋_GB2312" w:hAnsi="仿宋_GB2312" w:eastAsia="仿宋_GB2312" w:cs="仿宋_GB2312"/>
          <w:color w:val="333333"/>
          <w:sz w:val="32"/>
          <w:szCs w:val="32"/>
          <w:shd w:val="clear" w:color="auto" w:fill="FFFFFF"/>
        </w:rPr>
        <w:t>下属二级单位</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个，其中行政单位1个，参照公务员法管理的事业单位0个，其他事业单位</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个。</w:t>
      </w:r>
    </w:p>
    <w:p w14:paraId="1D8891D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纳入阿坝州马尔康市</w:t>
      </w:r>
      <w:r>
        <w:rPr>
          <w:rFonts w:hint="eastAsia" w:ascii="仿宋_GB2312" w:hAnsi="仿宋_GB2312" w:eastAsia="仿宋_GB2312" w:cs="仿宋_GB2312"/>
          <w:color w:val="333333"/>
          <w:sz w:val="32"/>
          <w:szCs w:val="32"/>
          <w:shd w:val="clear" w:color="auto" w:fill="FFFFFF"/>
          <w:lang w:val="en-US" w:eastAsia="zh-CN"/>
        </w:rPr>
        <w:t>住房和城乡建设局</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年度部门决算编制范围的二级预算单位包括：</w:t>
      </w:r>
    </w:p>
    <w:p w14:paraId="38AB8B09">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局（本级）</w:t>
      </w:r>
    </w:p>
    <w:p w14:paraId="0BEBA125">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w:t>
      </w:r>
      <w:r>
        <w:rPr>
          <w:rFonts w:hint="eastAsia" w:ascii="仿宋_GB2312" w:hAnsi="仿宋_GB2312" w:eastAsia="仿宋_GB2312" w:cs="仿宋_GB2312"/>
          <w:color w:val="333333"/>
          <w:sz w:val="32"/>
          <w:szCs w:val="32"/>
          <w:shd w:val="clear" w:color="auto" w:fill="FFFFFF"/>
          <w:lang w:val="en-US" w:eastAsia="zh-CN"/>
        </w:rPr>
        <w:t>事业</w:t>
      </w:r>
      <w:r>
        <w:rPr>
          <w:rFonts w:hint="eastAsia" w:ascii="仿宋_GB2312" w:hAnsi="仿宋_GB2312" w:eastAsia="仿宋_GB2312" w:cs="仿宋_GB2312"/>
          <w:color w:val="333333"/>
          <w:sz w:val="32"/>
          <w:szCs w:val="32"/>
          <w:shd w:val="clear" w:color="auto" w:fill="FFFFFF"/>
        </w:rPr>
        <w:t>）</w:t>
      </w:r>
    </w:p>
    <w:p w14:paraId="3C447E3C">
      <w:pPr>
        <w:pStyle w:val="17"/>
        <w:widowControl/>
        <w:shd w:val="clear" w:color="auto" w:fill="FFFFFF"/>
        <w:spacing w:beforeAutospacing="0" w:afterAutospacing="0" w:line="420" w:lineRule="atLeast"/>
        <w:ind w:firstLine="42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3.马尔康市公用事业服务中心</w:t>
      </w:r>
    </w:p>
    <w:p w14:paraId="1344D607">
      <w:pPr>
        <w:rPr>
          <w:rFonts w:hint="eastAsia"/>
          <w:lang w:val="en-US" w:eastAsia="zh-CN"/>
        </w:rPr>
      </w:pPr>
    </w:p>
    <w:p w14:paraId="4F5D3F58">
      <w:pPr>
        <w:pStyle w:val="17"/>
        <w:widowControl/>
        <w:shd w:val="clear" w:color="auto" w:fill="FFFFFF"/>
        <w:spacing w:beforeAutospacing="0" w:afterAutospacing="0" w:line="420" w:lineRule="atLeast"/>
        <w:ind w:firstLine="420"/>
        <w:rPr>
          <w:rFonts w:ascii="仿宋_GB2312" w:hAnsi="仿宋_GB2312" w:eastAsia="仿宋_GB2312"/>
          <w:color w:val="333333"/>
          <w:sz w:val="32"/>
          <w:szCs w:val="32"/>
        </w:rPr>
      </w:pPr>
      <w:r>
        <w:rPr>
          <w:rFonts w:hint="eastAsia" w:ascii="仿宋_GB2312" w:hAnsi="仿宋_GB2312" w:eastAsia="仿宋_GB2312" w:cs="仿宋_GB2312"/>
          <w:color w:val="333333"/>
          <w:sz w:val="32"/>
          <w:szCs w:val="32"/>
          <w:shd w:val="clear" w:color="auto" w:fill="FFFFFF"/>
        </w:rPr>
        <w:t>根据上述职责，马尔康</w:t>
      </w:r>
      <w:r>
        <w:rPr>
          <w:rFonts w:hint="eastAsia" w:ascii="仿宋_GB2312" w:hAnsi="仿宋_GB2312" w:eastAsia="仿宋_GB2312" w:cs="仿宋_GB2312"/>
          <w:color w:val="333333"/>
          <w:sz w:val="32"/>
          <w:szCs w:val="32"/>
          <w:shd w:val="clear" w:color="auto" w:fill="FFFFFF"/>
          <w:lang w:val="en-US" w:eastAsia="zh-CN"/>
        </w:rPr>
        <w:t>市住房和城乡建设</w:t>
      </w:r>
      <w:r>
        <w:rPr>
          <w:rFonts w:hint="eastAsia" w:ascii="仿宋_GB2312" w:hAnsi="仿宋_GB2312" w:eastAsia="仿宋_GB2312" w:cs="仿宋_GB2312"/>
          <w:color w:val="333333"/>
          <w:sz w:val="32"/>
          <w:szCs w:val="32"/>
          <w:shd w:val="clear" w:color="auto" w:fill="FFFFFF"/>
        </w:rPr>
        <w:t>局设</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个内设股（室）：</w:t>
      </w:r>
    </w:p>
    <w:p w14:paraId="7AD319D0">
      <w:pPr>
        <w:numPr>
          <w:ilvl w:val="0"/>
          <w:numId w:val="0"/>
        </w:numPr>
        <w:ind w:leftChars="0"/>
        <w:rPr>
          <w:rFonts w:hint="eastAsia"/>
          <w:lang w:val="en-US" w:eastAsia="zh-CN"/>
        </w:rPr>
      </w:pPr>
      <w:r>
        <w:rPr>
          <w:rFonts w:hint="eastAsia" w:ascii="仿宋_GB2312" w:hAnsi="仿宋_GB2312" w:eastAsia="仿宋_GB2312" w:cs="仿宋_GB2312"/>
          <w:b w:val="0"/>
          <w:bCs/>
          <w:sz w:val="32"/>
          <w:szCs w:val="32"/>
          <w:lang w:val="en-US" w:eastAsia="zh-CN"/>
        </w:rPr>
        <w:t>（1）综合股（2）城乡建设管理股（3）住房保障股（4）城乡环境综合治理服务中心（5）村镇股。</w:t>
      </w:r>
    </w:p>
    <w:bookmarkEnd w:id="14"/>
    <w:bookmarkEnd w:id="15"/>
    <w:p w14:paraId="21BD57B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D0A18FE">
      <w:pPr>
        <w:pStyle w:val="2"/>
        <w:ind w:right="440"/>
        <w:jc w:val="center"/>
        <w:rPr>
          <w:rStyle w:val="32"/>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32"/>
          <w:rFonts w:hint="eastAsia" w:ascii="黑体" w:hAnsi="黑体" w:eastAsia="黑体"/>
          <w:b w:val="0"/>
          <w:bCs/>
          <w:color w:val="auto"/>
          <w:highlight w:val="none"/>
          <w:lang w:eastAsia="zh-CN"/>
        </w:rPr>
        <w:t>单位</w:t>
      </w:r>
      <w:r>
        <w:rPr>
          <w:rStyle w:val="32"/>
          <w:rFonts w:hint="eastAsia" w:ascii="黑体" w:hAnsi="黑体" w:eastAsia="黑体"/>
          <w:b w:val="0"/>
          <w:bCs/>
          <w:color w:val="auto"/>
          <w:highlight w:val="none"/>
        </w:rPr>
        <w:t>决算情况说明</w:t>
      </w:r>
      <w:bookmarkEnd w:id="16"/>
      <w:bookmarkEnd w:id="17"/>
    </w:p>
    <w:p w14:paraId="24237EBB">
      <w:pPr>
        <w:rPr>
          <w:color w:val="auto"/>
          <w:highlight w:val="none"/>
        </w:rPr>
      </w:pPr>
    </w:p>
    <w:p w14:paraId="1DD94305">
      <w:pPr>
        <w:pStyle w:val="31"/>
        <w:numPr>
          <w:ilvl w:val="0"/>
          <w:numId w:val="2"/>
        </w:numPr>
        <w:spacing w:line="600" w:lineRule="exact"/>
        <w:ind w:firstLineChars="0"/>
        <w:outlineLvl w:val="1"/>
        <w:rPr>
          <w:rStyle w:val="33"/>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18"/>
      <w:bookmarkEnd w:id="19"/>
    </w:p>
    <w:p w14:paraId="0DEC5DE9">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年收、支总计</w:t>
      </w:r>
      <w:r>
        <w:rPr>
          <w:rFonts w:hint="eastAsia" w:ascii="仿宋" w:hAnsi="仿宋" w:eastAsia="仿宋"/>
          <w:color w:val="auto"/>
          <w:sz w:val="32"/>
          <w:szCs w:val="32"/>
          <w:highlight w:val="none"/>
          <w:lang w:val="en-US" w:eastAsia="zh-CN"/>
        </w:rPr>
        <w:t>5693.74</w:t>
      </w:r>
      <w:r>
        <w:rPr>
          <w:rFonts w:hint="eastAsia" w:ascii="仿宋" w:hAnsi="仿宋" w:eastAsia="仿宋"/>
          <w:color w:val="auto"/>
          <w:sz w:val="32"/>
          <w:szCs w:val="32"/>
          <w:highlight w:val="none"/>
        </w:rPr>
        <w:t>万元相比，收、支总计</w:t>
      </w:r>
      <w:r>
        <w:rPr>
          <w:rFonts w:hint="eastAsia" w:ascii="仿宋" w:hAnsi="仿宋" w:eastAsia="仿宋"/>
          <w:color w:val="auto"/>
          <w:sz w:val="32"/>
          <w:szCs w:val="32"/>
          <w:highlight w:val="none"/>
          <w:lang w:val="en-US" w:eastAsia="zh-CN"/>
        </w:rPr>
        <w:t>各减少2737.63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减少48.08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机构改革</w:t>
      </w:r>
      <w:r>
        <w:rPr>
          <w:rFonts w:hint="eastAsia" w:ascii="仿宋" w:hAnsi="仿宋" w:eastAsia="仿宋"/>
          <w:color w:val="auto"/>
          <w:sz w:val="32"/>
          <w:szCs w:val="32"/>
          <w:highlight w:val="none"/>
          <w:lang w:eastAsia="zh-CN"/>
        </w:rPr>
        <w:t>。</w:t>
      </w:r>
    </w:p>
    <w:p w14:paraId="00609F96">
      <w:pPr>
        <w:spacing w:line="24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839970" cy="2926080"/>
            <wp:effectExtent l="0" t="0" r="17780" b="7620"/>
            <wp:docPr id="12" name="图片 12" descr="图片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20"/>
                    <pic:cNvPicPr>
                      <a:picLocks noChangeAspect="1"/>
                    </pic:cNvPicPr>
                  </pic:nvPicPr>
                  <pic:blipFill>
                    <a:blip r:embed="rId6"/>
                    <a:stretch>
                      <a:fillRect/>
                    </a:stretch>
                  </pic:blipFill>
                  <pic:spPr>
                    <a:xfrm>
                      <a:off x="0" y="0"/>
                      <a:ext cx="4839970" cy="2926080"/>
                    </a:xfrm>
                    <a:prstGeom prst="rect">
                      <a:avLst/>
                    </a:prstGeom>
                  </pic:spPr>
                </pic:pic>
              </a:graphicData>
            </a:graphic>
          </wp:inline>
        </w:drawing>
      </w:r>
    </w:p>
    <w:p w14:paraId="05E8825F">
      <w:pPr>
        <w:pStyle w:val="31"/>
        <w:numPr>
          <w:ilvl w:val="0"/>
          <w:numId w:val="2"/>
        </w:numPr>
        <w:spacing w:line="600" w:lineRule="exact"/>
        <w:ind w:firstLineChars="0"/>
        <w:outlineLvl w:val="1"/>
        <w:rPr>
          <w:rStyle w:val="33"/>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20"/>
      <w:bookmarkEnd w:id="21"/>
    </w:p>
    <w:p w14:paraId="17E1CE2E">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4B19A615">
      <w:pPr>
        <w:pStyle w:val="14"/>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EA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1" w:type="dxa"/>
          </w:tcPr>
          <w:p w14:paraId="0CAD6480">
            <w:pPr>
              <w:pStyle w:val="11"/>
              <w:rPr>
                <w:rFonts w:hint="default" w:eastAsia="宋体"/>
                <w:sz w:val="28"/>
                <w:szCs w:val="28"/>
                <w:vertAlign w:val="baseline"/>
                <w:lang w:val="en-US" w:eastAsia="zh-CN"/>
              </w:rPr>
            </w:pPr>
            <w:bookmarkStart w:id="22" w:name="OLE_LINK1" w:colFirst="0" w:colLast="1"/>
            <w:r>
              <w:rPr>
                <w:rFonts w:hint="eastAsia"/>
                <w:sz w:val="28"/>
                <w:szCs w:val="28"/>
                <w:vertAlign w:val="baseline"/>
                <w:lang w:val="en-US" w:eastAsia="zh-CN"/>
              </w:rPr>
              <w:t>一般公共预算财政拨款收入</w:t>
            </w:r>
          </w:p>
        </w:tc>
        <w:tc>
          <w:tcPr>
            <w:tcW w:w="4261" w:type="dxa"/>
          </w:tcPr>
          <w:p w14:paraId="008ED8E4">
            <w:pPr>
              <w:pStyle w:val="11"/>
              <w:rPr>
                <w:sz w:val="28"/>
                <w:szCs w:val="28"/>
                <w:vertAlign w:val="baseline"/>
              </w:rPr>
            </w:pPr>
            <w:r>
              <w:rPr>
                <w:rFonts w:hint="eastAsia"/>
                <w:sz w:val="28"/>
                <w:szCs w:val="28"/>
                <w:vertAlign w:val="baseline"/>
                <w:lang w:val="en-US" w:eastAsia="zh-CN"/>
              </w:rPr>
              <w:t>2956.11万元</w:t>
            </w:r>
          </w:p>
        </w:tc>
      </w:tr>
      <w:tr w14:paraId="599F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D9468F">
            <w:pPr>
              <w:pStyle w:val="11"/>
              <w:rPr>
                <w:vertAlign w:val="baseline"/>
              </w:rPr>
            </w:pPr>
            <w:r>
              <w:rPr>
                <w:rFonts w:hint="eastAsia" w:ascii="仿宋" w:hAnsi="仿宋" w:eastAsia="仿宋"/>
                <w:color w:val="auto"/>
                <w:sz w:val="28"/>
                <w:szCs w:val="28"/>
                <w:highlight w:val="none"/>
              </w:rPr>
              <w:t>政府性基金预算财政拨款收</w:t>
            </w:r>
            <w:r>
              <w:rPr>
                <w:rFonts w:hint="eastAsia" w:ascii="仿宋" w:hAnsi="仿宋" w:eastAsia="仿宋"/>
                <w:color w:val="auto"/>
                <w:sz w:val="32"/>
                <w:szCs w:val="32"/>
                <w:highlight w:val="none"/>
              </w:rPr>
              <w:t>入</w:t>
            </w:r>
          </w:p>
        </w:tc>
        <w:tc>
          <w:tcPr>
            <w:tcW w:w="4261" w:type="dxa"/>
          </w:tcPr>
          <w:p w14:paraId="011690AE">
            <w:pPr>
              <w:pStyle w:val="11"/>
              <w:rPr>
                <w:rFonts w:hint="default" w:eastAsia="宋体"/>
                <w:vertAlign w:val="baseline"/>
                <w:lang w:val="en-US" w:eastAsia="zh-CN"/>
              </w:rPr>
            </w:pPr>
            <w:r>
              <w:rPr>
                <w:rFonts w:hint="eastAsia"/>
                <w:sz w:val="28"/>
                <w:szCs w:val="28"/>
                <w:vertAlign w:val="baseline"/>
                <w:lang w:val="en-US" w:eastAsia="zh-CN"/>
              </w:rPr>
              <w:t>0万元</w:t>
            </w:r>
          </w:p>
        </w:tc>
      </w:tr>
      <w:tr w14:paraId="58EF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7062F5">
            <w:pPr>
              <w:pStyle w:val="1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年初结转结余</w:t>
            </w:r>
          </w:p>
        </w:tc>
        <w:tc>
          <w:tcPr>
            <w:tcW w:w="4261" w:type="dxa"/>
          </w:tcPr>
          <w:p w14:paraId="6031ED14">
            <w:pPr>
              <w:pStyle w:val="11"/>
              <w:rPr>
                <w:rFonts w:hint="default"/>
                <w:sz w:val="28"/>
                <w:szCs w:val="28"/>
                <w:vertAlign w:val="baseline"/>
                <w:lang w:val="en-US" w:eastAsia="zh-CN"/>
              </w:rPr>
            </w:pPr>
            <w:r>
              <w:rPr>
                <w:rFonts w:hint="eastAsia"/>
                <w:sz w:val="28"/>
                <w:szCs w:val="28"/>
                <w:vertAlign w:val="baseline"/>
                <w:lang w:val="en-US" w:eastAsia="zh-CN"/>
              </w:rPr>
              <w:t>0万元</w:t>
            </w:r>
          </w:p>
        </w:tc>
      </w:tr>
      <w:bookmarkEnd w:id="22"/>
    </w:tbl>
    <w:p w14:paraId="68336DF2">
      <w:pPr>
        <w:pStyle w:val="11"/>
        <w:rPr>
          <w:rFonts w:hint="eastAsia" w:eastAsia="宋体"/>
          <w:lang w:eastAsia="zh-CN"/>
        </w:rPr>
      </w:pPr>
    </w:p>
    <w:p w14:paraId="47FC3A58">
      <w:pPr>
        <w:rPr>
          <w:rFonts w:hint="eastAsia" w:eastAsia="宋体"/>
          <w:lang w:eastAsia="zh-CN"/>
        </w:rPr>
      </w:pPr>
    </w:p>
    <w:p w14:paraId="36DD3D12">
      <w:pPr>
        <w:pStyle w:val="14"/>
        <w:rPr>
          <w:rFonts w:hint="eastAsia" w:eastAsia="宋体"/>
          <w:lang w:eastAsia="zh-CN"/>
        </w:rPr>
      </w:pPr>
    </w:p>
    <w:p w14:paraId="36BCFD12">
      <w:pPr>
        <w:rPr>
          <w:rFonts w:hint="eastAsia"/>
          <w:lang w:eastAsia="zh-CN"/>
        </w:rPr>
      </w:pPr>
      <w:r>
        <w:rPr>
          <w:rFonts w:hint="eastAsia"/>
          <w:lang w:eastAsia="zh-CN"/>
        </w:rPr>
        <w:drawing>
          <wp:inline distT="0" distB="0" distL="114300" distR="114300">
            <wp:extent cx="4839970" cy="2755265"/>
            <wp:effectExtent l="0" t="0" r="17780" b="698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tretch>
                      <a:fillRect/>
                    </a:stretch>
                  </pic:blipFill>
                  <pic:spPr>
                    <a:xfrm>
                      <a:off x="0" y="0"/>
                      <a:ext cx="4839970" cy="2755265"/>
                    </a:xfrm>
                    <a:prstGeom prst="rect">
                      <a:avLst/>
                    </a:prstGeom>
                  </pic:spPr>
                </pic:pic>
              </a:graphicData>
            </a:graphic>
          </wp:inline>
        </w:drawing>
      </w:r>
    </w:p>
    <w:p w14:paraId="63E33822">
      <w:pPr>
        <w:spacing w:line="600" w:lineRule="exact"/>
        <w:ind w:firstLine="640" w:firstLineChars="200"/>
        <w:outlineLvl w:val="1"/>
        <w:rPr>
          <w:rFonts w:ascii="仿宋" w:hAnsi="仿宋" w:eastAsia="仿宋"/>
          <w:color w:val="auto"/>
          <w:sz w:val="32"/>
          <w:szCs w:val="32"/>
          <w:highlight w:val="none"/>
        </w:rPr>
      </w:pPr>
    </w:p>
    <w:p w14:paraId="4D5F4B6F">
      <w:pPr>
        <w:spacing w:line="240" w:lineRule="auto"/>
        <w:ind w:firstLine="640" w:firstLineChars="200"/>
        <w:rPr>
          <w:rFonts w:hint="eastAsia" w:ascii="仿宋_GB2312" w:eastAsia="仿宋_GB2312"/>
          <w:color w:val="auto"/>
          <w:sz w:val="32"/>
          <w:szCs w:val="32"/>
          <w:highlight w:val="none"/>
          <w:lang w:eastAsia="zh-CN"/>
        </w:rPr>
      </w:pPr>
    </w:p>
    <w:p w14:paraId="26CA2623">
      <w:pPr>
        <w:pStyle w:val="31"/>
        <w:numPr>
          <w:ilvl w:val="0"/>
          <w:numId w:val="2"/>
        </w:numPr>
        <w:spacing w:line="600" w:lineRule="exact"/>
        <w:ind w:firstLineChars="0"/>
        <w:outlineLvl w:val="1"/>
        <w:rPr>
          <w:rStyle w:val="33"/>
          <w:rFonts w:ascii="黑体" w:hAnsi="黑体" w:eastAsia="黑体"/>
          <w:b w:val="0"/>
          <w:color w:val="auto"/>
          <w:highlight w:val="none"/>
        </w:rPr>
      </w:pPr>
      <w:bookmarkStart w:id="23" w:name="_Toc15396605"/>
      <w:bookmarkStart w:id="24" w:name="_Toc15377207"/>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23"/>
      <w:bookmarkEnd w:id="24"/>
    </w:p>
    <w:p w14:paraId="466F7732">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263.25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2692.87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94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E8BE96">
            <w:pPr>
              <w:pStyle w:val="11"/>
              <w:rPr>
                <w:rFonts w:hint="default" w:eastAsia="宋体"/>
                <w:sz w:val="28"/>
                <w:szCs w:val="28"/>
                <w:vertAlign w:val="baseline"/>
                <w:lang w:val="en-US" w:eastAsia="zh-CN"/>
              </w:rPr>
            </w:pPr>
            <w:r>
              <w:rPr>
                <w:rFonts w:hint="eastAsia"/>
                <w:sz w:val="28"/>
                <w:szCs w:val="28"/>
                <w:vertAlign w:val="baseline"/>
                <w:lang w:val="en-US" w:eastAsia="zh-CN"/>
              </w:rPr>
              <w:t>基本支出</w:t>
            </w:r>
          </w:p>
        </w:tc>
        <w:tc>
          <w:tcPr>
            <w:tcW w:w="4261" w:type="dxa"/>
          </w:tcPr>
          <w:p w14:paraId="597251CC">
            <w:pPr>
              <w:pStyle w:val="11"/>
              <w:rPr>
                <w:rFonts w:hint="default" w:eastAsia="宋体"/>
                <w:sz w:val="28"/>
                <w:szCs w:val="28"/>
                <w:vertAlign w:val="baseline"/>
                <w:lang w:val="en-US" w:eastAsia="zh-CN"/>
              </w:rPr>
            </w:pPr>
            <w:r>
              <w:rPr>
                <w:rFonts w:hint="eastAsia"/>
                <w:sz w:val="28"/>
                <w:szCs w:val="28"/>
                <w:vertAlign w:val="baseline"/>
                <w:lang w:val="en-US" w:eastAsia="zh-CN"/>
              </w:rPr>
              <w:t>263.25万元</w:t>
            </w:r>
          </w:p>
        </w:tc>
      </w:tr>
      <w:tr w14:paraId="01E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611D10">
            <w:pPr>
              <w:pStyle w:val="11"/>
              <w:rPr>
                <w:rFonts w:hint="eastAsia" w:eastAsia="宋体"/>
                <w:sz w:val="28"/>
                <w:szCs w:val="28"/>
                <w:vertAlign w:val="baseline"/>
                <w:lang w:val="en-US" w:eastAsia="zh-CN"/>
              </w:rPr>
            </w:pPr>
            <w:r>
              <w:rPr>
                <w:rFonts w:hint="eastAsia"/>
                <w:sz w:val="28"/>
                <w:szCs w:val="28"/>
                <w:vertAlign w:val="baseline"/>
                <w:lang w:val="en-US" w:eastAsia="zh-CN"/>
              </w:rPr>
              <w:t>项目支出</w:t>
            </w:r>
          </w:p>
        </w:tc>
        <w:tc>
          <w:tcPr>
            <w:tcW w:w="4261" w:type="dxa"/>
          </w:tcPr>
          <w:p w14:paraId="56AC49DE">
            <w:pPr>
              <w:pStyle w:val="11"/>
              <w:rPr>
                <w:rFonts w:hint="default" w:eastAsia="宋体"/>
                <w:sz w:val="28"/>
                <w:szCs w:val="28"/>
                <w:vertAlign w:val="baseline"/>
                <w:lang w:val="en-US" w:eastAsia="zh-CN"/>
              </w:rPr>
            </w:pPr>
            <w:r>
              <w:rPr>
                <w:rFonts w:hint="eastAsia"/>
                <w:sz w:val="28"/>
                <w:szCs w:val="28"/>
                <w:vertAlign w:val="baseline"/>
                <w:lang w:val="en-US" w:eastAsia="zh-CN"/>
              </w:rPr>
              <w:t>2692.87万元</w:t>
            </w:r>
          </w:p>
        </w:tc>
      </w:tr>
    </w:tbl>
    <w:p w14:paraId="003FBD00">
      <w:pPr>
        <w:pStyle w:val="11"/>
      </w:pPr>
    </w:p>
    <w:p w14:paraId="224F8061"/>
    <w:p w14:paraId="69C3632A">
      <w:pPr>
        <w:pStyle w:val="14"/>
        <w:rPr>
          <w:rFonts w:hint="eastAsia" w:eastAsia="宋体"/>
          <w:lang w:eastAsia="zh-CN"/>
        </w:rPr>
      </w:pPr>
      <w:r>
        <w:rPr>
          <w:rFonts w:hint="eastAsia" w:eastAsia="宋体"/>
          <w:lang w:eastAsia="zh-CN"/>
        </w:rPr>
        <w:drawing>
          <wp:inline distT="0" distB="0" distL="114300" distR="114300">
            <wp:extent cx="4839970" cy="2834640"/>
            <wp:effectExtent l="0" t="0" r="17780" b="0"/>
            <wp:docPr id="13" name="图片 13" descr="图片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21"/>
                    <pic:cNvPicPr>
                      <a:picLocks noChangeAspect="1"/>
                    </pic:cNvPicPr>
                  </pic:nvPicPr>
                  <pic:blipFill>
                    <a:blip r:embed="rId8"/>
                    <a:stretch>
                      <a:fillRect/>
                    </a:stretch>
                  </pic:blipFill>
                  <pic:spPr>
                    <a:xfrm>
                      <a:off x="0" y="0"/>
                      <a:ext cx="4839970" cy="2834640"/>
                    </a:xfrm>
                    <a:prstGeom prst="rect">
                      <a:avLst/>
                    </a:prstGeom>
                  </pic:spPr>
                </pic:pic>
              </a:graphicData>
            </a:graphic>
          </wp:inline>
        </w:drawing>
      </w:r>
    </w:p>
    <w:p w14:paraId="413FEE2B">
      <w:pPr>
        <w:spacing w:line="240" w:lineRule="auto"/>
        <w:ind w:firstLine="640" w:firstLineChars="200"/>
        <w:outlineLvl w:val="1"/>
        <w:rPr>
          <w:rStyle w:val="33"/>
          <w:rFonts w:ascii="黑体" w:hAnsi="黑体" w:eastAsia="黑体"/>
          <w:b w:val="0"/>
          <w:color w:val="auto"/>
          <w:highlight w:val="none"/>
        </w:rPr>
      </w:pPr>
      <w:bookmarkStart w:id="25" w:name="_Toc15377208"/>
      <w:bookmarkStart w:id="26" w:name="_Toc15396606"/>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25"/>
      <w:bookmarkEnd w:id="26"/>
    </w:p>
    <w:p w14:paraId="074F2509">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5693.74</w:t>
      </w:r>
      <w:r>
        <w:rPr>
          <w:rFonts w:hint="eastAsia" w:ascii="仿宋" w:hAnsi="仿宋" w:eastAsia="仿宋"/>
          <w:color w:val="auto"/>
          <w:sz w:val="32"/>
          <w:szCs w:val="32"/>
          <w:highlight w:val="none"/>
        </w:rPr>
        <w:t>万元相比，财政拨款收、支总计各</w:t>
      </w:r>
      <w:r>
        <w:rPr>
          <w:rFonts w:hint="eastAsia" w:ascii="仿宋" w:hAnsi="仿宋" w:eastAsia="仿宋"/>
          <w:color w:val="auto"/>
          <w:sz w:val="32"/>
          <w:szCs w:val="32"/>
          <w:highlight w:val="none"/>
          <w:lang w:val="en-US" w:eastAsia="zh-CN"/>
        </w:rPr>
        <w:t>减少2737.63</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48.08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机构改革</w:t>
      </w:r>
      <w:r>
        <w:rPr>
          <w:rFonts w:hint="eastAsia" w:ascii="仿宋" w:hAnsi="仿宋" w:eastAsia="仿宋"/>
          <w:color w:val="auto"/>
          <w:sz w:val="32"/>
          <w:szCs w:val="32"/>
          <w:highlight w:val="none"/>
          <w:lang w:eastAsia="zh-CN"/>
        </w:rPr>
        <w:t>。</w:t>
      </w:r>
    </w:p>
    <w:p w14:paraId="19778C3A">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67960" cy="2344420"/>
            <wp:effectExtent l="0" t="0" r="8890" b="17780"/>
            <wp:docPr id="14" name="图片 14"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22"/>
                    <pic:cNvPicPr>
                      <a:picLocks noChangeAspect="1"/>
                    </pic:cNvPicPr>
                  </pic:nvPicPr>
                  <pic:blipFill>
                    <a:blip r:embed="rId9"/>
                    <a:stretch>
                      <a:fillRect/>
                    </a:stretch>
                  </pic:blipFill>
                  <pic:spPr>
                    <a:xfrm>
                      <a:off x="0" y="0"/>
                      <a:ext cx="5267960" cy="2344420"/>
                    </a:xfrm>
                    <a:prstGeom prst="rect">
                      <a:avLst/>
                    </a:prstGeom>
                  </pic:spPr>
                </pic:pic>
              </a:graphicData>
            </a:graphic>
          </wp:inline>
        </w:drawing>
      </w:r>
    </w:p>
    <w:p w14:paraId="74B2B94F">
      <w:pPr>
        <w:spacing w:line="600" w:lineRule="exact"/>
        <w:ind w:firstLine="640"/>
        <w:rPr>
          <w:rFonts w:ascii="仿宋" w:hAnsi="仿宋" w:eastAsia="仿宋"/>
          <w:b/>
          <w:color w:val="auto"/>
          <w:sz w:val="32"/>
          <w:szCs w:val="32"/>
          <w:highlight w:val="none"/>
        </w:rPr>
      </w:pPr>
    </w:p>
    <w:p w14:paraId="02278A90">
      <w:pPr>
        <w:spacing w:line="600" w:lineRule="exact"/>
        <w:ind w:firstLine="640" w:firstLineChars="200"/>
        <w:outlineLvl w:val="1"/>
        <w:rPr>
          <w:rStyle w:val="33"/>
          <w:rFonts w:ascii="黑体" w:hAnsi="黑体" w:eastAsia="黑体"/>
          <w:b w:val="0"/>
          <w:color w:val="auto"/>
          <w:highlight w:val="none"/>
        </w:rPr>
      </w:pPr>
      <w:bookmarkStart w:id="27" w:name="_Toc15377209"/>
      <w:bookmarkStart w:id="28"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27"/>
      <w:bookmarkEnd w:id="28"/>
    </w:p>
    <w:p w14:paraId="61EB7F59">
      <w:pPr>
        <w:spacing w:line="600" w:lineRule="exact"/>
        <w:ind w:firstLine="643"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14:paraId="317F657C">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2956.311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5461.74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减少2505.63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减少45.88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机构改革</w:t>
      </w:r>
      <w:r>
        <w:rPr>
          <w:rFonts w:hint="eastAsia" w:ascii="仿宋" w:hAnsi="仿宋" w:eastAsia="仿宋"/>
          <w:color w:val="auto"/>
          <w:sz w:val="32"/>
          <w:szCs w:val="32"/>
          <w:highlight w:val="none"/>
          <w:lang w:eastAsia="zh-CN"/>
        </w:rPr>
        <w:t>。</w:t>
      </w:r>
    </w:p>
    <w:p w14:paraId="066D3D33">
      <w:pPr>
        <w:spacing w:line="600" w:lineRule="exact"/>
        <w:ind w:firstLine="640" w:firstLineChars="200"/>
        <w:rPr>
          <w:rFonts w:ascii="仿宋" w:hAnsi="仿宋" w:eastAsia="仿宋"/>
          <w:color w:val="auto"/>
          <w:sz w:val="32"/>
          <w:szCs w:val="32"/>
          <w:highlight w:val="none"/>
        </w:rPr>
      </w:pPr>
    </w:p>
    <w:p w14:paraId="47F9F80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840990"/>
            <wp:effectExtent l="0" t="0" r="17780" b="16510"/>
            <wp:docPr id="15" name="图片 15" descr="图片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23"/>
                    <pic:cNvPicPr>
                      <a:picLocks noChangeAspect="1"/>
                    </pic:cNvPicPr>
                  </pic:nvPicPr>
                  <pic:blipFill>
                    <a:blip r:embed="rId10"/>
                    <a:stretch>
                      <a:fillRect/>
                    </a:stretch>
                  </pic:blipFill>
                  <pic:spPr>
                    <a:xfrm>
                      <a:off x="0" y="0"/>
                      <a:ext cx="4839970" cy="2840990"/>
                    </a:xfrm>
                    <a:prstGeom prst="rect">
                      <a:avLst/>
                    </a:prstGeom>
                  </pic:spPr>
                </pic:pic>
              </a:graphicData>
            </a:graphic>
          </wp:inline>
        </w:drawing>
      </w:r>
    </w:p>
    <w:p w14:paraId="16E6484A">
      <w:pPr>
        <w:spacing w:line="600" w:lineRule="exact"/>
        <w:ind w:firstLine="643" w:firstLineChars="200"/>
        <w:outlineLvl w:val="2"/>
        <w:rPr>
          <w:rFonts w:ascii="仿宋" w:hAnsi="仿宋" w:eastAsia="仿宋"/>
          <w:b/>
          <w:color w:val="auto"/>
          <w:sz w:val="32"/>
          <w:szCs w:val="32"/>
          <w:highlight w:val="none"/>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14:paraId="12ED5B4B">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0.5</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28.29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16.61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节能环保支出</w:t>
      </w:r>
      <w:r>
        <w:rPr>
          <w:rFonts w:hint="eastAsia" w:ascii="仿宋" w:hAnsi="仿宋" w:eastAsia="仿宋"/>
          <w:color w:val="auto"/>
          <w:sz w:val="32"/>
          <w:szCs w:val="32"/>
          <w:highlight w:val="none"/>
          <w:lang w:val="en-US" w:eastAsia="zh-CN"/>
        </w:rPr>
        <w:t>994.48万元，占0 %；</w:t>
      </w:r>
      <w:r>
        <w:rPr>
          <w:rFonts w:hint="eastAsia" w:ascii="仿宋" w:hAnsi="仿宋" w:eastAsia="仿宋" w:cs="Times New Roman"/>
          <w:b/>
          <w:bCs/>
          <w:color w:val="auto"/>
          <w:sz w:val="32"/>
          <w:szCs w:val="32"/>
          <w:highlight w:val="none"/>
          <w:lang w:val="en-US" w:eastAsia="zh-CN"/>
        </w:rPr>
        <w:t>城乡社区支出</w:t>
      </w:r>
      <w:r>
        <w:rPr>
          <w:rFonts w:hint="eastAsia" w:ascii="仿宋" w:hAnsi="仿宋" w:eastAsia="仿宋"/>
          <w:color w:val="auto"/>
          <w:sz w:val="32"/>
          <w:szCs w:val="32"/>
          <w:highlight w:val="none"/>
          <w:lang w:val="en-US" w:eastAsia="zh-CN"/>
        </w:rPr>
        <w:t>1873.73万元，占73.06%；</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14.37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17.64万元，占0%；</w:t>
      </w:r>
      <w:r>
        <w:rPr>
          <w:rFonts w:hint="eastAsia" w:ascii="仿宋" w:hAnsi="仿宋" w:eastAsia="仿宋"/>
          <w:b/>
          <w:bCs/>
          <w:color w:val="auto"/>
          <w:sz w:val="32"/>
          <w:szCs w:val="32"/>
          <w:highlight w:val="none"/>
          <w:lang w:val="en-US" w:eastAsia="zh-CN"/>
        </w:rPr>
        <w:t>灾</w:t>
      </w:r>
      <w:r>
        <w:rPr>
          <w:rFonts w:hint="eastAsia" w:ascii="仿宋" w:hAnsi="仿宋" w:eastAsia="仿宋" w:cs="Times New Roman"/>
          <w:b/>
          <w:bCs/>
          <w:color w:val="auto"/>
          <w:sz w:val="32"/>
          <w:szCs w:val="32"/>
          <w:highlight w:val="none"/>
          <w:lang w:val="en-US" w:eastAsia="zh-CN"/>
        </w:rPr>
        <w:t>害防治及应急管理支出0万元</w:t>
      </w:r>
      <w:r>
        <w:rPr>
          <w:rFonts w:hint="eastAsia" w:ascii="仿宋" w:hAnsi="仿宋" w:eastAsia="仿宋"/>
          <w:color w:val="auto"/>
          <w:sz w:val="32"/>
          <w:szCs w:val="32"/>
          <w:highlight w:val="none"/>
          <w:lang w:val="en-US" w:eastAsia="zh-CN"/>
        </w:rPr>
        <w:t>，占0%；</w:t>
      </w:r>
      <w:r>
        <w:rPr>
          <w:rFonts w:hint="eastAsia" w:ascii="仿宋" w:hAnsi="仿宋" w:eastAsia="仿宋"/>
          <w:b/>
          <w:bCs/>
          <w:color w:val="auto"/>
          <w:sz w:val="32"/>
          <w:szCs w:val="32"/>
          <w:highlight w:val="none"/>
          <w:lang w:val="en-US" w:eastAsia="zh-CN"/>
        </w:rPr>
        <w:t>其他支出</w:t>
      </w:r>
      <w:r>
        <w:rPr>
          <w:rFonts w:hint="eastAsia" w:ascii="仿宋" w:hAnsi="仿宋" w:eastAsia="仿宋"/>
          <w:color w:val="auto"/>
          <w:sz w:val="32"/>
          <w:szCs w:val="32"/>
          <w:highlight w:val="none"/>
          <w:lang w:val="en-US" w:eastAsia="zh-CN"/>
        </w:rPr>
        <w:t>0万元，占0%</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54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3E8B2C">
            <w:pPr>
              <w:spacing w:line="600" w:lineRule="exact"/>
              <w:rPr>
                <w:rFonts w:hint="default" w:ascii="仿宋" w:hAnsi="仿宋" w:eastAsia="仿宋"/>
                <w:b/>
                <w:color w:val="auto"/>
                <w:sz w:val="32"/>
                <w:szCs w:val="32"/>
                <w:highlight w:val="none"/>
                <w:vertAlign w:val="baseline"/>
                <w:lang w:val="en-US" w:eastAsia="zh-CN"/>
              </w:rPr>
            </w:pPr>
            <w:bookmarkStart w:id="31" w:name="OLE_LINK2" w:colFirst="0" w:colLast="1"/>
            <w:bookmarkStart w:id="32" w:name="OLE_LINK4" w:colFirst="0" w:colLast="1"/>
            <w:r>
              <w:rPr>
                <w:rFonts w:hint="eastAsia" w:ascii="仿宋" w:hAnsi="仿宋" w:eastAsia="仿宋"/>
                <w:b/>
                <w:color w:val="auto"/>
                <w:sz w:val="32"/>
                <w:szCs w:val="32"/>
                <w:highlight w:val="none"/>
                <w:lang w:val="en-US" w:eastAsia="zh-CN"/>
              </w:rPr>
              <w:t>一般公共服务支出</w:t>
            </w:r>
          </w:p>
        </w:tc>
        <w:tc>
          <w:tcPr>
            <w:tcW w:w="4261" w:type="dxa"/>
          </w:tcPr>
          <w:p w14:paraId="6A9B18C3">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10.5</w:t>
            </w:r>
            <w:r>
              <w:rPr>
                <w:rFonts w:hint="eastAsia" w:ascii="仿宋" w:hAnsi="仿宋" w:eastAsia="仿宋"/>
                <w:color w:val="auto"/>
                <w:sz w:val="32"/>
                <w:szCs w:val="32"/>
                <w:highlight w:val="none"/>
              </w:rPr>
              <w:t>万元</w:t>
            </w:r>
          </w:p>
        </w:tc>
      </w:tr>
      <w:tr w14:paraId="0F5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41EC44">
            <w:pPr>
              <w:spacing w:line="600" w:lineRule="exact"/>
              <w:rPr>
                <w:rFonts w:hint="default" w:ascii="仿宋" w:hAnsi="仿宋" w:eastAsia="仿宋"/>
                <w:b/>
                <w:color w:val="auto"/>
                <w:sz w:val="32"/>
                <w:szCs w:val="32"/>
                <w:highlight w:val="none"/>
                <w:vertAlign w:val="baseline"/>
                <w:lang w:val="en-US" w:eastAsia="zh-CN"/>
              </w:rPr>
            </w:pPr>
            <w:r>
              <w:rPr>
                <w:rFonts w:hint="eastAsia" w:ascii="仿宋" w:hAnsi="仿宋" w:eastAsia="仿宋"/>
                <w:b/>
                <w:bCs/>
                <w:color w:val="auto"/>
                <w:sz w:val="32"/>
                <w:szCs w:val="32"/>
                <w:highlight w:val="none"/>
              </w:rPr>
              <w:t>文化旅游体育与传媒支出</w:t>
            </w:r>
          </w:p>
        </w:tc>
        <w:tc>
          <w:tcPr>
            <w:tcW w:w="4261" w:type="dxa"/>
          </w:tcPr>
          <w:p w14:paraId="13B312F2">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w:t>
            </w:r>
          </w:p>
        </w:tc>
      </w:tr>
      <w:tr w14:paraId="53B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607AC88">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p>
        </w:tc>
        <w:tc>
          <w:tcPr>
            <w:tcW w:w="4261" w:type="dxa"/>
            <w:shd w:val="clear" w:color="auto" w:fill="auto"/>
            <w:vAlign w:val="top"/>
          </w:tcPr>
          <w:p w14:paraId="1A5D7FBD">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28.29</w:t>
            </w:r>
            <w:r>
              <w:rPr>
                <w:rFonts w:hint="eastAsia" w:ascii="仿宋" w:hAnsi="仿宋" w:eastAsia="仿宋"/>
                <w:color w:val="auto"/>
                <w:sz w:val="32"/>
                <w:szCs w:val="32"/>
                <w:highlight w:val="none"/>
              </w:rPr>
              <w:t>万元</w:t>
            </w:r>
          </w:p>
        </w:tc>
      </w:tr>
      <w:tr w14:paraId="6347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73E96BDE">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bCs/>
                <w:color w:val="auto"/>
                <w:sz w:val="32"/>
                <w:szCs w:val="32"/>
                <w:highlight w:val="none"/>
              </w:rPr>
              <w:t>卫生健康支出</w:t>
            </w:r>
          </w:p>
        </w:tc>
        <w:tc>
          <w:tcPr>
            <w:tcW w:w="4261" w:type="dxa"/>
            <w:shd w:val="clear" w:color="auto" w:fill="auto"/>
            <w:vAlign w:val="top"/>
          </w:tcPr>
          <w:p w14:paraId="72283907">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16.61</w:t>
            </w:r>
            <w:r>
              <w:rPr>
                <w:rFonts w:hint="eastAsia" w:ascii="仿宋" w:hAnsi="仿宋" w:eastAsia="仿宋"/>
                <w:color w:val="auto"/>
                <w:sz w:val="32"/>
                <w:szCs w:val="32"/>
                <w:highlight w:val="none"/>
              </w:rPr>
              <w:t>万元</w:t>
            </w:r>
          </w:p>
        </w:tc>
      </w:tr>
      <w:tr w14:paraId="140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170B8E69">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s="Times New Roman"/>
                <w:b/>
                <w:bCs/>
                <w:color w:val="auto"/>
                <w:sz w:val="32"/>
                <w:szCs w:val="32"/>
                <w:highlight w:val="none"/>
                <w:lang w:val="en-US" w:eastAsia="zh-CN"/>
              </w:rPr>
              <w:t>节能环保支出</w:t>
            </w:r>
          </w:p>
        </w:tc>
        <w:tc>
          <w:tcPr>
            <w:tcW w:w="4261" w:type="dxa"/>
            <w:shd w:val="clear" w:color="auto" w:fill="auto"/>
            <w:vAlign w:val="top"/>
          </w:tcPr>
          <w:p w14:paraId="6027F61B">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994.48万元</w:t>
            </w:r>
          </w:p>
        </w:tc>
      </w:tr>
      <w:bookmarkEnd w:id="31"/>
      <w:tr w14:paraId="48DB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0A2D8C3">
            <w:pPr>
              <w:spacing w:line="600" w:lineRule="exact"/>
              <w:rPr>
                <w:rFonts w:hint="eastAsia" w:ascii="仿宋" w:hAnsi="仿宋" w:eastAsia="仿宋" w:cs="Times New Roman"/>
                <w:b/>
                <w:color w:val="auto"/>
                <w:kern w:val="2"/>
                <w:sz w:val="32"/>
                <w:szCs w:val="32"/>
                <w:highlight w:val="none"/>
                <w:vertAlign w:val="baseline"/>
                <w:lang w:val="en-US" w:eastAsia="zh-CN" w:bidi="ar-SA"/>
              </w:rPr>
            </w:pPr>
            <w:bookmarkStart w:id="33" w:name="OLE_LINK3" w:colFirst="0" w:colLast="1"/>
            <w:r>
              <w:rPr>
                <w:rFonts w:hint="eastAsia" w:ascii="仿宋" w:hAnsi="仿宋" w:eastAsia="仿宋" w:cs="Times New Roman"/>
                <w:b/>
                <w:bCs/>
                <w:color w:val="auto"/>
                <w:sz w:val="32"/>
                <w:szCs w:val="32"/>
                <w:highlight w:val="none"/>
                <w:lang w:val="en-US" w:eastAsia="zh-CN"/>
              </w:rPr>
              <w:t>城乡社区支出</w:t>
            </w:r>
          </w:p>
        </w:tc>
        <w:tc>
          <w:tcPr>
            <w:tcW w:w="4261" w:type="dxa"/>
            <w:shd w:val="clear" w:color="auto" w:fill="auto"/>
            <w:vAlign w:val="top"/>
          </w:tcPr>
          <w:p w14:paraId="766B1DBE">
            <w:pPr>
              <w:spacing w:line="600" w:lineRule="exact"/>
              <w:rPr>
                <w:rFonts w:hint="default"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1873.73万元</w:t>
            </w:r>
          </w:p>
        </w:tc>
      </w:tr>
      <w:tr w14:paraId="71F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23A8F818">
            <w:pPr>
              <w:spacing w:line="600" w:lineRule="exact"/>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b/>
                <w:bCs/>
                <w:color w:val="auto"/>
                <w:sz w:val="32"/>
                <w:szCs w:val="32"/>
                <w:highlight w:val="none"/>
              </w:rPr>
              <w:t>住房保障支出</w:t>
            </w:r>
          </w:p>
        </w:tc>
        <w:tc>
          <w:tcPr>
            <w:tcW w:w="4261" w:type="dxa"/>
            <w:shd w:val="clear" w:color="auto" w:fill="auto"/>
            <w:vAlign w:val="top"/>
          </w:tcPr>
          <w:p w14:paraId="1B1E285B">
            <w:pPr>
              <w:spacing w:line="600" w:lineRule="exact"/>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14.37</w:t>
            </w:r>
            <w:r>
              <w:rPr>
                <w:rFonts w:hint="eastAsia" w:ascii="仿宋" w:hAnsi="仿宋" w:eastAsia="仿宋"/>
                <w:color w:val="auto"/>
                <w:sz w:val="32"/>
                <w:szCs w:val="32"/>
                <w:highlight w:val="none"/>
              </w:rPr>
              <w:t>万元</w:t>
            </w:r>
          </w:p>
        </w:tc>
      </w:tr>
      <w:tr w14:paraId="230D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588C21">
            <w:pPr>
              <w:spacing w:line="6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其他支出</w:t>
            </w:r>
          </w:p>
        </w:tc>
        <w:tc>
          <w:tcPr>
            <w:tcW w:w="4261" w:type="dxa"/>
          </w:tcPr>
          <w:p w14:paraId="3FBC45B5">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0万元</w:t>
            </w:r>
          </w:p>
        </w:tc>
      </w:tr>
      <w:tr w14:paraId="584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938D61">
            <w:pPr>
              <w:spacing w:line="600" w:lineRule="exac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农林水支出</w:t>
            </w:r>
          </w:p>
        </w:tc>
        <w:tc>
          <w:tcPr>
            <w:tcW w:w="4261" w:type="dxa"/>
          </w:tcPr>
          <w:p w14:paraId="52F35CE8">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17.64万元</w:t>
            </w:r>
          </w:p>
        </w:tc>
      </w:tr>
      <w:bookmarkEnd w:id="32"/>
      <w:bookmarkEnd w:id="33"/>
    </w:tbl>
    <w:p w14:paraId="3F1F4CEE">
      <w:pPr>
        <w:spacing w:line="600" w:lineRule="exact"/>
        <w:ind w:firstLine="640"/>
        <w:rPr>
          <w:rFonts w:hint="eastAsia" w:ascii="仿宋" w:hAnsi="仿宋" w:eastAsia="仿宋"/>
          <w:b/>
          <w:color w:val="auto"/>
          <w:sz w:val="32"/>
          <w:szCs w:val="32"/>
          <w:highlight w:val="none"/>
        </w:rPr>
      </w:pPr>
    </w:p>
    <w:p w14:paraId="217A20DF">
      <w:pPr>
        <w:spacing w:line="600" w:lineRule="exact"/>
        <w:ind w:firstLine="640"/>
        <w:rPr>
          <w:rFonts w:ascii="仿宋" w:hAnsi="仿宋" w:eastAsia="仿宋"/>
          <w:color w:val="auto"/>
          <w:sz w:val="32"/>
          <w:szCs w:val="32"/>
          <w:highlight w:val="none"/>
        </w:rPr>
      </w:pPr>
    </w:p>
    <w:p w14:paraId="72AD47E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926080"/>
            <wp:effectExtent l="0" t="0" r="17780" b="7620"/>
            <wp:docPr id="16" name="图片 16" descr="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24"/>
                    <pic:cNvPicPr>
                      <a:picLocks noChangeAspect="1"/>
                    </pic:cNvPicPr>
                  </pic:nvPicPr>
                  <pic:blipFill>
                    <a:blip r:embed="rId11"/>
                    <a:stretch>
                      <a:fillRect/>
                    </a:stretch>
                  </pic:blipFill>
                  <pic:spPr>
                    <a:xfrm>
                      <a:off x="0" y="0"/>
                      <a:ext cx="4839970" cy="2926080"/>
                    </a:xfrm>
                    <a:prstGeom prst="rect">
                      <a:avLst/>
                    </a:prstGeom>
                  </pic:spPr>
                </pic:pic>
              </a:graphicData>
            </a:graphic>
          </wp:inline>
        </w:drawing>
      </w:r>
    </w:p>
    <w:p w14:paraId="4E5F0114">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14:paraId="756287D6">
      <w:pPr>
        <w:spacing w:line="600" w:lineRule="exact"/>
        <w:ind w:firstLine="643" w:firstLineChars="200"/>
        <w:outlineLvl w:val="2"/>
        <w:rPr>
          <w:rFonts w:ascii="仿宋" w:hAnsi="仿宋" w:eastAsia="仿宋"/>
          <w:color w:val="auto"/>
          <w:sz w:val="32"/>
          <w:szCs w:val="32"/>
          <w:highlight w:val="none"/>
        </w:rPr>
      </w:pPr>
      <w:bookmarkStart w:id="35" w:name="_Toc15377444"/>
      <w:bookmarkStart w:id="36" w:name="_Toc15378460"/>
      <w:bookmarkStart w:id="3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2956.11万元</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100</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35"/>
      <w:bookmarkEnd w:id="36"/>
      <w:bookmarkEnd w:id="37"/>
    </w:p>
    <w:p w14:paraId="2A2CBB8B">
      <w:pPr>
        <w:numPr>
          <w:ilvl w:val="0"/>
          <w:numId w:val="0"/>
        </w:numPr>
        <w:spacing w:line="600" w:lineRule="exact"/>
        <w:ind w:left="-13" w:leftChars="0" w:firstLine="643" w:firstLineChars="0"/>
        <w:rPr>
          <w:rStyle w:val="22"/>
          <w:rFonts w:hint="eastAsia" w:ascii="仿宋" w:hAnsi="仿宋" w:eastAsia="仿宋"/>
          <w:b w:val="0"/>
          <w:bCs/>
          <w:color w:val="auto"/>
          <w:sz w:val="32"/>
          <w:szCs w:val="32"/>
          <w:highlight w:val="none"/>
        </w:rPr>
      </w:pPr>
      <w:r>
        <w:rPr>
          <w:rStyle w:val="22"/>
          <w:rFonts w:hint="eastAsia" w:ascii="仿宋" w:hAnsi="仿宋" w:eastAsia="仿宋" w:cstheme="minorBidi"/>
          <w:bCs/>
          <w:color w:val="auto"/>
          <w:sz w:val="32"/>
          <w:szCs w:val="32"/>
          <w:highlight w:val="none"/>
          <w:lang w:val="en-US" w:eastAsia="zh-CN"/>
        </w:rPr>
        <w:t>1.</w:t>
      </w:r>
      <w:r>
        <w:rPr>
          <w:rStyle w:val="22"/>
          <w:rFonts w:hint="eastAsia" w:ascii="仿宋" w:hAnsi="仿宋" w:eastAsia="仿宋"/>
          <w:bCs/>
          <w:color w:val="auto"/>
          <w:sz w:val="32"/>
          <w:szCs w:val="32"/>
          <w:highlight w:val="none"/>
          <w:lang w:val="en-US" w:eastAsia="zh-CN"/>
        </w:rPr>
        <w:t>一般公共服务</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201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03</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/99</w:t>
      </w:r>
      <w:r>
        <w:rPr>
          <w:rStyle w:val="22"/>
          <w:rFonts w:hint="eastAsia" w:ascii="仿宋" w:hAnsi="仿宋" w:eastAsia="仿宋"/>
          <w:bCs/>
          <w:color w:val="auto"/>
          <w:sz w:val="32"/>
          <w:szCs w:val="32"/>
          <w:highlight w:val="none"/>
        </w:rPr>
        <w:t>（款）</w:t>
      </w:r>
      <w:r>
        <w:rPr>
          <w:rStyle w:val="22"/>
          <w:rFonts w:ascii="仿宋" w:hAnsi="仿宋" w:eastAsia="仿宋"/>
          <w:bCs/>
          <w:color w:val="auto"/>
          <w:sz w:val="32"/>
          <w:szCs w:val="32"/>
          <w:highlight w:val="none"/>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10.5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323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9A712C">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2010399-其他政府办公厅（室）相关机构事务支出</w:t>
            </w:r>
          </w:p>
        </w:tc>
        <w:tc>
          <w:tcPr>
            <w:tcW w:w="4261" w:type="dxa"/>
          </w:tcPr>
          <w:p w14:paraId="2DBAC02B">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7.04万元</w:t>
            </w:r>
          </w:p>
        </w:tc>
      </w:tr>
      <w:tr w14:paraId="4244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6CD353F">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2019901-国家赔偿费用支出</w:t>
            </w:r>
          </w:p>
        </w:tc>
        <w:tc>
          <w:tcPr>
            <w:tcW w:w="4261" w:type="dxa"/>
          </w:tcPr>
          <w:p w14:paraId="27D19127">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3.46万元</w:t>
            </w:r>
          </w:p>
        </w:tc>
      </w:tr>
    </w:tbl>
    <w:p w14:paraId="476415DD">
      <w:pPr>
        <w:numPr>
          <w:ilvl w:val="0"/>
          <w:numId w:val="0"/>
        </w:numPr>
        <w:spacing w:line="600" w:lineRule="exact"/>
        <w:ind w:left="-13" w:leftChars="0" w:firstLine="643" w:firstLineChars="0"/>
        <w:rPr>
          <w:rStyle w:val="22"/>
          <w:rFonts w:hint="eastAsia" w:ascii="仿宋" w:hAnsi="仿宋" w:eastAsia="仿宋"/>
          <w:b w:val="0"/>
          <w:bCs/>
          <w:color w:val="auto"/>
          <w:sz w:val="32"/>
          <w:szCs w:val="32"/>
          <w:highlight w:val="none"/>
        </w:rPr>
      </w:pPr>
      <w:r>
        <w:rPr>
          <w:rStyle w:val="22"/>
          <w:rFonts w:hint="eastAsia" w:ascii="仿宋" w:hAnsi="仿宋" w:eastAsia="仿宋" w:cstheme="minorBidi"/>
          <w:bCs/>
          <w:color w:val="auto"/>
          <w:sz w:val="32"/>
          <w:szCs w:val="32"/>
          <w:highlight w:val="none"/>
          <w:lang w:val="en-US" w:eastAsia="zh-CN"/>
        </w:rPr>
        <w:t>2.</w:t>
      </w:r>
      <w:r>
        <w:rPr>
          <w:rStyle w:val="22"/>
          <w:rFonts w:hint="eastAsia" w:ascii="仿宋" w:hAnsi="仿宋" w:eastAsia="仿宋"/>
          <w:bCs/>
          <w:color w:val="auto"/>
          <w:sz w:val="32"/>
          <w:szCs w:val="32"/>
          <w:highlight w:val="none"/>
          <w:lang w:val="en-US" w:eastAsia="zh-CN"/>
        </w:rPr>
        <w:t>文化旅游体育与传媒支出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207</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0.5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53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B716DA4">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2070114-文化和旅游管理事务</w:t>
            </w:r>
          </w:p>
        </w:tc>
        <w:tc>
          <w:tcPr>
            <w:tcW w:w="4261" w:type="dxa"/>
          </w:tcPr>
          <w:p w14:paraId="7359288C">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0.5万元</w:t>
            </w:r>
          </w:p>
        </w:tc>
      </w:tr>
    </w:tbl>
    <w:p w14:paraId="55F86587">
      <w:pPr>
        <w:numPr>
          <w:ilvl w:val="0"/>
          <w:numId w:val="0"/>
        </w:numPr>
        <w:spacing w:line="600" w:lineRule="exact"/>
        <w:ind w:left="-13" w:leftChars="0" w:firstLine="643" w:firstLineChars="0"/>
        <w:rPr>
          <w:rStyle w:val="22"/>
          <w:rFonts w:hint="eastAsia" w:ascii="仿宋" w:hAnsi="仿宋" w:eastAsia="仿宋"/>
          <w:b w:val="0"/>
          <w:bCs/>
          <w:color w:val="auto"/>
          <w:sz w:val="32"/>
          <w:szCs w:val="32"/>
          <w:highlight w:val="none"/>
        </w:rPr>
      </w:pPr>
      <w:r>
        <w:rPr>
          <w:rStyle w:val="22"/>
          <w:rFonts w:hint="eastAsia" w:ascii="仿宋" w:hAnsi="仿宋" w:eastAsia="仿宋" w:cstheme="minorBidi"/>
          <w:bCs/>
          <w:color w:val="auto"/>
          <w:sz w:val="32"/>
          <w:szCs w:val="32"/>
          <w:highlight w:val="none"/>
          <w:lang w:val="en-US" w:eastAsia="zh-CN"/>
        </w:rPr>
        <w:t>3.</w:t>
      </w:r>
      <w:r>
        <w:rPr>
          <w:rStyle w:val="22"/>
          <w:rFonts w:hint="eastAsia" w:ascii="仿宋" w:hAnsi="仿宋" w:eastAsia="仿宋"/>
          <w:bCs/>
          <w:color w:val="auto"/>
          <w:sz w:val="32"/>
          <w:szCs w:val="32"/>
          <w:highlight w:val="none"/>
        </w:rPr>
        <w:t>社会保障和就业（类）</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05</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06</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28.29</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23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538DD6">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2080505-机关事业单位基本养老保险缴费支出</w:t>
            </w:r>
          </w:p>
        </w:tc>
        <w:tc>
          <w:tcPr>
            <w:tcW w:w="4261" w:type="dxa"/>
          </w:tcPr>
          <w:p w14:paraId="21880B9A">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19.73万元</w:t>
            </w:r>
          </w:p>
        </w:tc>
      </w:tr>
      <w:tr w14:paraId="3E8C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C662D">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2080506-机关事业单位职业年金缴费支出</w:t>
            </w:r>
          </w:p>
        </w:tc>
        <w:tc>
          <w:tcPr>
            <w:tcW w:w="4261" w:type="dxa"/>
          </w:tcPr>
          <w:p w14:paraId="4B86D5E3">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8.556万元</w:t>
            </w:r>
          </w:p>
        </w:tc>
      </w:tr>
    </w:tbl>
    <w:p w14:paraId="79C8E29D">
      <w:pPr>
        <w:pStyle w:val="11"/>
        <w:numPr>
          <w:ilvl w:val="0"/>
          <w:numId w:val="0"/>
        </w:numPr>
      </w:pPr>
    </w:p>
    <w:p w14:paraId="796A59C0">
      <w:pPr>
        <w:numPr>
          <w:ilvl w:val="0"/>
          <w:numId w:val="0"/>
        </w:numPr>
        <w:spacing w:line="600" w:lineRule="exact"/>
        <w:ind w:firstLine="643" w:firstLineChars="200"/>
        <w:rPr>
          <w:rStyle w:val="22"/>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210</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16.61</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0.31</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5F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8647855">
            <w:pPr>
              <w:pStyle w:val="11"/>
              <w:rPr>
                <w:rFonts w:hint="default"/>
                <w:sz w:val="28"/>
                <w:szCs w:val="28"/>
                <w:vertAlign w:val="baseline"/>
                <w:lang w:val="en-US" w:eastAsia="zh-CN"/>
              </w:rPr>
            </w:pPr>
            <w:r>
              <w:rPr>
                <w:rFonts w:hint="eastAsia"/>
                <w:sz w:val="28"/>
                <w:szCs w:val="28"/>
                <w:vertAlign w:val="baseline"/>
                <w:lang w:val="en-US" w:eastAsia="zh-CN"/>
              </w:rPr>
              <w:t>2101102-事业单位医疗</w:t>
            </w:r>
          </w:p>
        </w:tc>
        <w:tc>
          <w:tcPr>
            <w:tcW w:w="4261" w:type="dxa"/>
          </w:tcPr>
          <w:p w14:paraId="6DD61D92">
            <w:pPr>
              <w:pStyle w:val="11"/>
              <w:rPr>
                <w:rFonts w:hint="default"/>
                <w:sz w:val="28"/>
                <w:szCs w:val="28"/>
                <w:lang w:val="en-US" w:eastAsia="zh-CN"/>
              </w:rPr>
            </w:pPr>
            <w:r>
              <w:rPr>
                <w:rFonts w:hint="eastAsia"/>
                <w:sz w:val="28"/>
                <w:szCs w:val="28"/>
                <w:lang w:val="en-US" w:eastAsia="zh-CN"/>
              </w:rPr>
              <w:t>9.9万元</w:t>
            </w:r>
          </w:p>
        </w:tc>
      </w:tr>
      <w:tr w14:paraId="284B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C7413F">
            <w:pPr>
              <w:pStyle w:val="11"/>
              <w:rPr>
                <w:rFonts w:hint="default"/>
                <w:sz w:val="28"/>
                <w:szCs w:val="28"/>
                <w:vertAlign w:val="baseline"/>
                <w:lang w:val="en-US" w:eastAsia="zh-CN"/>
              </w:rPr>
            </w:pPr>
            <w:r>
              <w:rPr>
                <w:rFonts w:hint="eastAsia"/>
                <w:sz w:val="28"/>
                <w:szCs w:val="28"/>
                <w:vertAlign w:val="baseline"/>
                <w:lang w:val="en-US" w:eastAsia="zh-CN"/>
              </w:rPr>
              <w:t>2101199-其他行政事业单位医疗支出</w:t>
            </w:r>
          </w:p>
        </w:tc>
        <w:tc>
          <w:tcPr>
            <w:tcW w:w="4261" w:type="dxa"/>
          </w:tcPr>
          <w:p w14:paraId="5F035E63">
            <w:pPr>
              <w:pStyle w:val="11"/>
              <w:rPr>
                <w:rFonts w:hint="default"/>
                <w:sz w:val="28"/>
                <w:szCs w:val="28"/>
                <w:vertAlign w:val="baseline"/>
                <w:lang w:val="en-US" w:eastAsia="zh-CN"/>
              </w:rPr>
            </w:pPr>
            <w:r>
              <w:rPr>
                <w:rFonts w:hint="eastAsia"/>
                <w:sz w:val="28"/>
                <w:szCs w:val="28"/>
                <w:vertAlign w:val="baseline"/>
                <w:lang w:val="en-US" w:eastAsia="zh-CN"/>
              </w:rPr>
              <w:t>6.71万元</w:t>
            </w:r>
          </w:p>
        </w:tc>
      </w:tr>
    </w:tbl>
    <w:p w14:paraId="72A4EB76">
      <w:pPr>
        <w:pStyle w:val="11"/>
        <w:numPr>
          <w:ilvl w:val="0"/>
          <w:numId w:val="0"/>
        </w:numPr>
        <w:rPr>
          <w:rFonts w:hint="eastAsia"/>
          <w:lang w:eastAsia="zh-CN"/>
        </w:rPr>
      </w:pPr>
    </w:p>
    <w:p w14:paraId="6B011522">
      <w:pPr>
        <w:pStyle w:val="11"/>
        <w:numPr>
          <w:ilvl w:val="0"/>
          <w:numId w:val="0"/>
        </w:numPr>
        <w:ind w:left="0" w:leftChars="0" w:firstLine="643" w:firstLineChars="200"/>
        <w:jc w:val="left"/>
        <w:rPr>
          <w:rFonts w:hint="default"/>
          <w:vertAlign w:val="baseline"/>
          <w:lang w:val="en-US" w:eastAsia="zh-CN"/>
        </w:rPr>
      </w:pPr>
      <w:r>
        <w:rPr>
          <w:rStyle w:val="22"/>
          <w:rFonts w:hint="eastAsia" w:ascii="仿宋" w:hAnsi="仿宋" w:eastAsia="仿宋" w:cstheme="minorBidi"/>
          <w:bCs/>
          <w:color w:val="auto"/>
          <w:kern w:val="2"/>
          <w:sz w:val="32"/>
          <w:szCs w:val="32"/>
          <w:highlight w:val="none"/>
          <w:lang w:val="en-US" w:eastAsia="zh-CN" w:bidi="ar-SA"/>
        </w:rPr>
        <w:t>5.节能环保（类）211（款）014（项）支出决算为994.48万元，完成预算52.77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3C3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0112B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2110402-农村环境保护</w:t>
            </w:r>
          </w:p>
        </w:tc>
        <w:tc>
          <w:tcPr>
            <w:tcW w:w="4261" w:type="dxa"/>
          </w:tcPr>
          <w:p w14:paraId="73CD8933">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994.48万元</w:t>
            </w:r>
          </w:p>
        </w:tc>
      </w:tr>
    </w:tbl>
    <w:p w14:paraId="7005BB7E">
      <w:pPr>
        <w:pStyle w:val="11"/>
        <w:numPr>
          <w:ilvl w:val="0"/>
          <w:numId w:val="0"/>
        </w:numPr>
        <w:ind w:left="0" w:leftChars="0" w:firstLine="643" w:firstLineChars="200"/>
        <w:jc w:val="left"/>
        <w:rPr>
          <w:rFonts w:hint="default"/>
          <w:vertAlign w:val="baseline"/>
          <w:lang w:val="en-US" w:eastAsia="zh-CN"/>
        </w:rPr>
      </w:pPr>
      <w:r>
        <w:rPr>
          <w:rStyle w:val="22"/>
          <w:rFonts w:hint="eastAsia" w:ascii="仿宋" w:hAnsi="仿宋" w:eastAsia="仿宋" w:cstheme="minorBidi"/>
          <w:bCs/>
          <w:color w:val="auto"/>
          <w:kern w:val="2"/>
          <w:sz w:val="32"/>
          <w:szCs w:val="32"/>
          <w:highlight w:val="none"/>
          <w:lang w:val="en-US" w:eastAsia="zh-CN" w:bidi="ar-SA"/>
        </w:rPr>
        <w:t>6.城乡社区（类）212（款）01（项）/212（款）02（项212（款）03（项））/212（款）05（项））支出决算为1873.73万元，完成预算52.77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00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0A0AE56">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2120103-机关服务</w:t>
            </w:r>
          </w:p>
        </w:tc>
        <w:tc>
          <w:tcPr>
            <w:tcW w:w="4261" w:type="dxa"/>
          </w:tcPr>
          <w:p w14:paraId="24E909C4">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200.53万元</w:t>
            </w:r>
          </w:p>
        </w:tc>
      </w:tr>
      <w:tr w14:paraId="5A0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CA37014">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2120199-其他城乡社区管理事务支出</w:t>
            </w:r>
          </w:p>
        </w:tc>
        <w:tc>
          <w:tcPr>
            <w:tcW w:w="4261" w:type="dxa"/>
          </w:tcPr>
          <w:p w14:paraId="05A0F492">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88.34万元</w:t>
            </w:r>
          </w:p>
        </w:tc>
      </w:tr>
      <w:tr w14:paraId="7F0D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B13F6E">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2120201-城乡社区规划与管理</w:t>
            </w:r>
          </w:p>
        </w:tc>
        <w:tc>
          <w:tcPr>
            <w:tcW w:w="4261" w:type="dxa"/>
          </w:tcPr>
          <w:p w14:paraId="08B710E9">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16.5万元</w:t>
            </w:r>
          </w:p>
        </w:tc>
      </w:tr>
      <w:tr w14:paraId="187A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C5C9D3">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2120399-其他城乡社区公共设施支出</w:t>
            </w:r>
          </w:p>
        </w:tc>
        <w:tc>
          <w:tcPr>
            <w:tcW w:w="4261" w:type="dxa"/>
          </w:tcPr>
          <w:p w14:paraId="7AB404F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1154.29万元</w:t>
            </w:r>
          </w:p>
        </w:tc>
      </w:tr>
      <w:tr w14:paraId="74FF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AD9C6D3">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2120501-城区环境卫生</w:t>
            </w:r>
          </w:p>
        </w:tc>
        <w:tc>
          <w:tcPr>
            <w:tcW w:w="4261" w:type="dxa"/>
          </w:tcPr>
          <w:p w14:paraId="1E67DE50">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414.08万元</w:t>
            </w:r>
          </w:p>
        </w:tc>
      </w:tr>
    </w:tbl>
    <w:p w14:paraId="6E508F25">
      <w:pPr>
        <w:pStyle w:val="11"/>
        <w:numPr>
          <w:ilvl w:val="0"/>
          <w:numId w:val="0"/>
        </w:numPr>
        <w:ind w:left="0" w:leftChars="0" w:firstLine="643" w:firstLineChars="200"/>
        <w:rPr>
          <w:rFonts w:hint="default"/>
          <w:lang w:val="en-US" w:eastAsia="zh-CN"/>
        </w:rPr>
      </w:pPr>
      <w:r>
        <w:rPr>
          <w:rFonts w:hint="eastAsia" w:ascii="仿宋" w:hAnsi="仿宋" w:eastAsia="仿宋"/>
          <w:b/>
          <w:bCs/>
          <w:color w:val="auto"/>
          <w:sz w:val="32"/>
          <w:szCs w:val="32"/>
          <w:highlight w:val="none"/>
          <w:lang w:val="en-US" w:eastAsia="zh-CN"/>
        </w:rPr>
        <w:t>7.农林水支出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213</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17.64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BA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88A40A5">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2130199-其他农业农村支出</w:t>
            </w:r>
          </w:p>
        </w:tc>
        <w:tc>
          <w:tcPr>
            <w:tcW w:w="4261" w:type="dxa"/>
          </w:tcPr>
          <w:p w14:paraId="6730DAB2">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17.64万元</w:t>
            </w:r>
          </w:p>
        </w:tc>
      </w:tr>
    </w:tbl>
    <w:p w14:paraId="57345833">
      <w:pPr>
        <w:pStyle w:val="11"/>
        <w:numPr>
          <w:ilvl w:val="0"/>
          <w:numId w:val="0"/>
        </w:numPr>
        <w:ind w:left="630" w:leftChars="0"/>
        <w:rPr>
          <w:rFonts w:hint="default"/>
          <w:lang w:val="en-US" w:eastAsia="zh-CN"/>
        </w:rPr>
      </w:pPr>
    </w:p>
    <w:p w14:paraId="7ACB664D">
      <w:pPr>
        <w:pStyle w:val="11"/>
        <w:numPr>
          <w:ilvl w:val="0"/>
          <w:numId w:val="0"/>
        </w:numPr>
        <w:ind w:left="0" w:leftChars="0" w:firstLine="643" w:firstLineChars="200"/>
        <w:rPr>
          <w:rFonts w:hint="default"/>
          <w:lang w:val="en-US" w:eastAsia="zh-CN"/>
        </w:rPr>
      </w:pPr>
      <w:r>
        <w:rPr>
          <w:rFonts w:hint="eastAsia" w:ascii="仿宋" w:hAnsi="仿宋" w:eastAsia="仿宋"/>
          <w:b/>
          <w:bCs/>
          <w:color w:val="auto"/>
          <w:sz w:val="32"/>
          <w:szCs w:val="32"/>
          <w:highlight w:val="none"/>
          <w:lang w:val="en-US" w:eastAsia="zh-CN"/>
        </w:rPr>
        <w:t>4.住房保障支出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14.37</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1A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C5F445">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2210201-住房公积金</w:t>
            </w:r>
          </w:p>
        </w:tc>
        <w:tc>
          <w:tcPr>
            <w:tcW w:w="4261" w:type="dxa"/>
          </w:tcPr>
          <w:p w14:paraId="15AD4C67">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14.37万元</w:t>
            </w:r>
          </w:p>
        </w:tc>
      </w:tr>
    </w:tbl>
    <w:p w14:paraId="60DDFE48">
      <w:pPr>
        <w:tabs>
          <w:tab w:val="right" w:pos="8306"/>
        </w:tabs>
        <w:spacing w:line="600" w:lineRule="exact"/>
        <w:ind w:firstLine="640"/>
        <w:outlineLvl w:val="1"/>
        <w:rPr>
          <w:rStyle w:val="33"/>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38"/>
      <w:bookmarkEnd w:id="39"/>
      <w:r>
        <w:rPr>
          <w:rStyle w:val="33"/>
          <w:rFonts w:ascii="黑体" w:hAnsi="黑体" w:eastAsia="黑体"/>
          <w:b w:val="0"/>
          <w:color w:val="auto"/>
          <w:highlight w:val="none"/>
        </w:rPr>
        <w:tab/>
      </w:r>
    </w:p>
    <w:p w14:paraId="4A6DBE0D">
      <w:pPr>
        <w:spacing w:line="600" w:lineRule="exact"/>
        <w:ind w:firstLine="645"/>
        <w:rPr>
          <w:rFonts w:ascii="仿宋" w:hAnsi="仿宋" w:eastAsia="仿宋"/>
          <w:color w:val="auto"/>
          <w:sz w:val="32"/>
          <w:szCs w:val="32"/>
          <w:highlight w:val="none"/>
          <w:vertAlign w:val="baseli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2956.11</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248.56</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F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58876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基本工资</w:t>
            </w:r>
          </w:p>
        </w:tc>
        <w:tc>
          <w:tcPr>
            <w:tcW w:w="4261" w:type="dxa"/>
          </w:tcPr>
          <w:p w14:paraId="5B14010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37.5万元</w:t>
            </w:r>
          </w:p>
        </w:tc>
      </w:tr>
      <w:tr w14:paraId="123E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30183">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津贴补贴</w:t>
            </w:r>
          </w:p>
        </w:tc>
        <w:tc>
          <w:tcPr>
            <w:tcW w:w="4261" w:type="dxa"/>
          </w:tcPr>
          <w:p w14:paraId="0E6317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24.25万元</w:t>
            </w:r>
          </w:p>
        </w:tc>
      </w:tr>
      <w:tr w14:paraId="743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FF3BC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奖金</w:t>
            </w:r>
          </w:p>
        </w:tc>
        <w:tc>
          <w:tcPr>
            <w:tcW w:w="4261" w:type="dxa"/>
          </w:tcPr>
          <w:p w14:paraId="32885FE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61.06万元</w:t>
            </w:r>
          </w:p>
        </w:tc>
      </w:tr>
      <w:tr w14:paraId="2478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84DF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绩效工资</w:t>
            </w:r>
          </w:p>
        </w:tc>
        <w:tc>
          <w:tcPr>
            <w:tcW w:w="4261" w:type="dxa"/>
          </w:tcPr>
          <w:p w14:paraId="03CC08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21.58万元</w:t>
            </w:r>
          </w:p>
        </w:tc>
      </w:tr>
      <w:tr w14:paraId="3754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681B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机关事业单位基本养老保险缴费</w:t>
            </w:r>
          </w:p>
        </w:tc>
        <w:tc>
          <w:tcPr>
            <w:tcW w:w="4261" w:type="dxa"/>
          </w:tcPr>
          <w:p w14:paraId="3970CA3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19.73万元</w:t>
            </w:r>
          </w:p>
        </w:tc>
      </w:tr>
      <w:tr w14:paraId="4B3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2376FF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职业年金缴费</w:t>
            </w:r>
          </w:p>
        </w:tc>
        <w:tc>
          <w:tcPr>
            <w:tcW w:w="4261" w:type="dxa"/>
          </w:tcPr>
          <w:p w14:paraId="1162D13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8.55万元</w:t>
            </w:r>
          </w:p>
        </w:tc>
      </w:tr>
      <w:tr w14:paraId="3C4D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F5E6C4">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职工基本医疗保险</w:t>
            </w:r>
          </w:p>
        </w:tc>
        <w:tc>
          <w:tcPr>
            <w:tcW w:w="4261" w:type="dxa"/>
          </w:tcPr>
          <w:p w14:paraId="0B7258E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9.9万元</w:t>
            </w:r>
          </w:p>
        </w:tc>
      </w:tr>
      <w:tr w14:paraId="724A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2DA170">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公务员医疗补助</w:t>
            </w:r>
          </w:p>
        </w:tc>
        <w:tc>
          <w:tcPr>
            <w:tcW w:w="4261" w:type="dxa"/>
          </w:tcPr>
          <w:p w14:paraId="68EA118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77B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879EE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其他社会保障缴费</w:t>
            </w:r>
          </w:p>
        </w:tc>
        <w:tc>
          <w:tcPr>
            <w:tcW w:w="4261" w:type="dxa"/>
          </w:tcPr>
          <w:p w14:paraId="6C8DA7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5.22万元</w:t>
            </w:r>
          </w:p>
        </w:tc>
      </w:tr>
      <w:tr w14:paraId="4DF8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69985A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住房公积金</w:t>
            </w:r>
          </w:p>
        </w:tc>
        <w:tc>
          <w:tcPr>
            <w:tcW w:w="4261" w:type="dxa"/>
          </w:tcPr>
          <w:p w14:paraId="3D87FB8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16.41万元</w:t>
            </w:r>
          </w:p>
        </w:tc>
      </w:tr>
      <w:tr w14:paraId="2E9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24F31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医疗费</w:t>
            </w:r>
          </w:p>
        </w:tc>
        <w:tc>
          <w:tcPr>
            <w:tcW w:w="4261" w:type="dxa"/>
          </w:tcPr>
          <w:p w14:paraId="0996EED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6.71万元</w:t>
            </w:r>
          </w:p>
        </w:tc>
      </w:tr>
      <w:tr w14:paraId="656C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0C3D4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其他工资福利支出</w:t>
            </w:r>
          </w:p>
        </w:tc>
        <w:tc>
          <w:tcPr>
            <w:tcW w:w="4261" w:type="dxa"/>
          </w:tcPr>
          <w:p w14:paraId="166BAD7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19.54万元</w:t>
            </w:r>
          </w:p>
        </w:tc>
      </w:tr>
      <w:tr w14:paraId="7C0E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02E0A">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生活补助</w:t>
            </w:r>
          </w:p>
        </w:tc>
        <w:tc>
          <w:tcPr>
            <w:tcW w:w="4261" w:type="dxa"/>
          </w:tcPr>
          <w:p w14:paraId="56F889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18.11万元</w:t>
            </w:r>
          </w:p>
        </w:tc>
      </w:tr>
      <w:tr w14:paraId="0A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6ED7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抚恤金</w:t>
            </w:r>
          </w:p>
        </w:tc>
        <w:tc>
          <w:tcPr>
            <w:tcW w:w="4261" w:type="dxa"/>
          </w:tcPr>
          <w:p w14:paraId="23494DB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69BC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21CD8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奖励金</w:t>
            </w:r>
          </w:p>
        </w:tc>
        <w:tc>
          <w:tcPr>
            <w:tcW w:w="4261" w:type="dxa"/>
          </w:tcPr>
          <w:p w14:paraId="2B15DAB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4F93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A0696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其他对个人和家庭补助</w:t>
            </w:r>
          </w:p>
        </w:tc>
        <w:tc>
          <w:tcPr>
            <w:tcW w:w="4261" w:type="dxa"/>
          </w:tcPr>
          <w:p w14:paraId="7AC1D35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bl>
    <w:p w14:paraId="63CD07F9">
      <w:pPr>
        <w:spacing w:line="600" w:lineRule="exact"/>
        <w:ind w:firstLine="645"/>
        <w:rPr>
          <w:rFonts w:hint="eastAsia" w:ascii="仿宋" w:hAnsi="仿宋" w:eastAsia="仿宋"/>
          <w:color w:val="auto"/>
          <w:sz w:val="32"/>
          <w:szCs w:val="32"/>
          <w:highlight w:val="none"/>
          <w:lang w:eastAsia="zh-CN"/>
        </w:rPr>
      </w:pPr>
    </w:p>
    <w:p w14:paraId="6FB86457">
      <w:pPr>
        <w:spacing w:line="600" w:lineRule="exact"/>
        <w:ind w:firstLine="645"/>
        <w:rPr>
          <w:rFonts w:ascii="仿宋" w:hAnsi="仿宋" w:eastAsia="仿宋"/>
          <w:color w:val="auto"/>
          <w:sz w:val="32"/>
          <w:szCs w:val="32"/>
          <w:highlight w:val="none"/>
          <w:vertAlign w:val="baseli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11.22</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1E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BDE022">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办公费</w:t>
            </w:r>
          </w:p>
        </w:tc>
        <w:tc>
          <w:tcPr>
            <w:tcW w:w="4261" w:type="dxa"/>
          </w:tcPr>
          <w:p w14:paraId="29953FA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6.74万元</w:t>
            </w:r>
          </w:p>
        </w:tc>
      </w:tr>
      <w:tr w14:paraId="47F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54CFF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水费</w:t>
            </w:r>
          </w:p>
        </w:tc>
        <w:tc>
          <w:tcPr>
            <w:tcW w:w="4261" w:type="dxa"/>
          </w:tcPr>
          <w:p w14:paraId="5C9EA6E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1444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6AEC7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电费</w:t>
            </w:r>
          </w:p>
        </w:tc>
        <w:tc>
          <w:tcPr>
            <w:tcW w:w="4261" w:type="dxa"/>
          </w:tcPr>
          <w:p w14:paraId="2BB1729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147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1CC17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邮电费</w:t>
            </w:r>
          </w:p>
        </w:tc>
        <w:tc>
          <w:tcPr>
            <w:tcW w:w="4261" w:type="dxa"/>
          </w:tcPr>
          <w:p w14:paraId="01A888E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3F7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C81E1">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差旅费</w:t>
            </w:r>
          </w:p>
        </w:tc>
        <w:tc>
          <w:tcPr>
            <w:tcW w:w="4261" w:type="dxa"/>
          </w:tcPr>
          <w:p w14:paraId="4B405A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1.54万元</w:t>
            </w:r>
          </w:p>
        </w:tc>
      </w:tr>
      <w:tr w14:paraId="68D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38A8A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公务用车运行维护费</w:t>
            </w:r>
          </w:p>
        </w:tc>
        <w:tc>
          <w:tcPr>
            <w:tcW w:w="4261" w:type="dxa"/>
          </w:tcPr>
          <w:p w14:paraId="606781E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2.94万元</w:t>
            </w:r>
          </w:p>
        </w:tc>
      </w:tr>
    </w:tbl>
    <w:p w14:paraId="24D58A4E">
      <w:pPr>
        <w:spacing w:line="600" w:lineRule="exact"/>
        <w:rPr>
          <w:rFonts w:ascii="仿宋" w:hAnsi="仿宋" w:eastAsia="仿宋"/>
          <w:color w:val="auto"/>
          <w:sz w:val="32"/>
          <w:szCs w:val="32"/>
          <w:highlight w:val="none"/>
        </w:rPr>
      </w:pPr>
    </w:p>
    <w:p w14:paraId="1A85793A">
      <w:pPr>
        <w:spacing w:line="600" w:lineRule="exact"/>
        <w:ind w:firstLine="640"/>
        <w:outlineLvl w:val="1"/>
        <w:rPr>
          <w:rStyle w:val="33"/>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40"/>
      <w:bookmarkEnd w:id="41"/>
    </w:p>
    <w:p w14:paraId="26D20061">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14:paraId="2875B2FB">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2.94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减少0万元，下降0%。</w:t>
      </w:r>
    </w:p>
    <w:p w14:paraId="7A8BF65F">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14:paraId="38CF1855">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A543D10">
      <w:pPr>
        <w:pStyle w:val="11"/>
        <w:rPr>
          <w:rFonts w:hint="eastAsia" w:eastAsia="仿宋"/>
          <w:lang w:eastAsia="zh-CN"/>
        </w:rPr>
      </w:pPr>
    </w:p>
    <w:p w14:paraId="4371FDBA">
      <w:pPr>
        <w:rPr>
          <w:rFonts w:hint="eastAsia"/>
          <w:lang w:eastAsia="zh-CN"/>
        </w:rPr>
      </w:pPr>
      <w:r>
        <w:rPr>
          <w:rFonts w:hint="eastAsia"/>
          <w:lang w:eastAsia="zh-CN"/>
        </w:rPr>
        <w:drawing>
          <wp:inline distT="0" distB="0" distL="114300" distR="114300">
            <wp:extent cx="4839970" cy="2834640"/>
            <wp:effectExtent l="0" t="0" r="17780" b="0"/>
            <wp:docPr id="11" name="图片 1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7"/>
                    <pic:cNvPicPr>
                      <a:picLocks noChangeAspect="1"/>
                    </pic:cNvPicPr>
                  </pic:nvPicPr>
                  <pic:blipFill>
                    <a:blip r:embed="rId12"/>
                    <a:stretch>
                      <a:fillRect/>
                    </a:stretch>
                  </pic:blipFill>
                  <pic:spPr>
                    <a:xfrm>
                      <a:off x="0" y="0"/>
                      <a:ext cx="4839970" cy="2834640"/>
                    </a:xfrm>
                    <a:prstGeom prst="rect">
                      <a:avLst/>
                    </a:prstGeom>
                  </pic:spPr>
                </pic:pic>
              </a:graphicData>
            </a:graphic>
          </wp:inline>
        </w:drawing>
      </w:r>
    </w:p>
    <w:p w14:paraId="67AEAFFA">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7DA82D5">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2.94</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增加0.12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增加9.77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三公经费控制</w:t>
      </w:r>
      <w:r>
        <w:rPr>
          <w:rFonts w:hint="eastAsia" w:ascii="仿宋_GB2312" w:eastAsia="仿宋_GB2312"/>
          <w:color w:val="auto"/>
          <w:sz w:val="32"/>
          <w:szCs w:val="32"/>
          <w:highlight w:val="none"/>
        </w:rPr>
        <w:t>。</w:t>
      </w:r>
    </w:p>
    <w:p w14:paraId="1A135791">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其中公务用车购置费0万元，比上年下降0万元，主要原因2023年未购买车辆；公务用车运行维护费支出2.94万元，比上年下降0万元，主要原因，2024年三公经费控制。公务用车运行维护费主要用于下乡出差等所需的公务用车燃料费、维修费、过路过</w:t>
      </w:r>
      <w:r>
        <w:rPr>
          <w:rFonts w:hint="eastAsia" w:ascii="仿宋_GB2312" w:eastAsia="仿宋_GB2312"/>
          <w:color w:val="auto"/>
          <w:sz w:val="32"/>
          <w:szCs w:val="32"/>
          <w:highlight w:val="none"/>
        </w:rPr>
        <w:t>桥费、保险费等支出。</w:t>
      </w:r>
    </w:p>
    <w:p w14:paraId="5B421245">
      <w:pPr>
        <w:numPr>
          <w:ilvl w:val="0"/>
          <w:numId w:val="3"/>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232EAAA">
      <w:pPr>
        <w:numPr>
          <w:ilvl w:val="0"/>
          <w:numId w:val="0"/>
        </w:num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万元，具体内容包括：…（接待具体项目、金额）。</w:t>
      </w:r>
    </w:p>
    <w:p w14:paraId="2668320F">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68FC312">
      <w:pPr>
        <w:spacing w:line="600" w:lineRule="exact"/>
        <w:ind w:firstLine="640"/>
        <w:outlineLvl w:val="1"/>
        <w:rPr>
          <w:rFonts w:ascii="黑体" w:eastAsia="黑体"/>
          <w:color w:val="auto"/>
          <w:sz w:val="32"/>
          <w:szCs w:val="32"/>
          <w:highlight w:val="none"/>
        </w:rPr>
      </w:pPr>
      <w:bookmarkStart w:id="44" w:name="_Toc15377218"/>
      <w:bookmarkStart w:id="45" w:name="_Toc15396610"/>
    </w:p>
    <w:p w14:paraId="3B2B2896">
      <w:pPr>
        <w:spacing w:line="600" w:lineRule="exact"/>
        <w:ind w:firstLine="640"/>
        <w:outlineLvl w:val="1"/>
        <w:rPr>
          <w:rStyle w:val="33"/>
          <w:rFonts w:ascii="黑体" w:hAnsi="黑体" w:eastAsia="黑体"/>
          <w:color w:val="auto"/>
          <w:highlight w:val="none"/>
        </w:rPr>
      </w:pPr>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44"/>
      <w:bookmarkEnd w:id="45"/>
    </w:p>
    <w:p w14:paraId="2080538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3D86044">
      <w:pPr>
        <w:spacing w:line="600" w:lineRule="exact"/>
        <w:ind w:firstLine="640"/>
        <w:rPr>
          <w:rFonts w:ascii="仿宋_GB2312" w:eastAsia="仿宋_GB2312"/>
          <w:color w:val="auto"/>
          <w:sz w:val="32"/>
          <w:szCs w:val="32"/>
          <w:highlight w:val="none"/>
        </w:rPr>
      </w:pPr>
    </w:p>
    <w:p w14:paraId="6B0A337C">
      <w:pPr>
        <w:numPr>
          <w:ilvl w:val="0"/>
          <w:numId w:val="4"/>
        </w:numPr>
        <w:spacing w:line="600" w:lineRule="exact"/>
        <w:ind w:firstLine="640"/>
        <w:outlineLvl w:val="1"/>
        <w:rPr>
          <w:rStyle w:val="33"/>
          <w:rFonts w:ascii="黑体" w:hAnsi="黑体" w:eastAsia="黑体"/>
          <w:b w:val="0"/>
          <w:color w:val="auto"/>
          <w:highlight w:val="none"/>
        </w:rPr>
      </w:pPr>
      <w:bookmarkStart w:id="46" w:name="_Toc15396611"/>
      <w:bookmarkStart w:id="47" w:name="_Toc15377219"/>
      <w:r>
        <w:rPr>
          <w:rStyle w:val="33"/>
          <w:rFonts w:hint="eastAsia" w:ascii="黑体" w:hAnsi="黑体" w:eastAsia="黑体"/>
          <w:b w:val="0"/>
          <w:color w:val="auto"/>
          <w:highlight w:val="none"/>
        </w:rPr>
        <w:t>国有资本经营预算支出决算情况说明</w:t>
      </w:r>
      <w:bookmarkEnd w:id="46"/>
      <w:bookmarkEnd w:id="47"/>
    </w:p>
    <w:p w14:paraId="1A0501D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947A6D">
      <w:pPr>
        <w:spacing w:line="580" w:lineRule="exact"/>
        <w:jc w:val="center"/>
        <w:rPr>
          <w:rFonts w:ascii="方正小标宋简体" w:hAnsi="方正小标宋简体" w:eastAsia="方正小标宋简体" w:cs="方正小标宋简体"/>
          <w:color w:val="auto"/>
          <w:sz w:val="44"/>
          <w:szCs w:val="44"/>
          <w:highlight w:val="none"/>
        </w:rPr>
      </w:pPr>
    </w:p>
    <w:p w14:paraId="296128E9">
      <w:pPr>
        <w:numPr>
          <w:ilvl w:val="0"/>
          <w:numId w:val="4"/>
        </w:numPr>
        <w:spacing w:line="600" w:lineRule="exact"/>
        <w:ind w:firstLine="640"/>
        <w:outlineLvl w:val="1"/>
        <w:rPr>
          <w:rStyle w:val="33"/>
          <w:rFonts w:hint="eastAsia" w:ascii="黑体" w:hAnsi="黑体" w:eastAsia="黑体"/>
          <w:b w:val="0"/>
          <w:color w:val="auto"/>
          <w:highlight w:val="none"/>
        </w:rPr>
      </w:pPr>
      <w:bookmarkStart w:id="48" w:name="_Toc15396612"/>
      <w:bookmarkStart w:id="49" w:name="_Toc15377221"/>
      <w:r>
        <w:rPr>
          <w:rStyle w:val="33"/>
          <w:rFonts w:hint="eastAsia" w:ascii="黑体" w:hAnsi="黑体" w:eastAsia="黑体"/>
          <w:b w:val="0"/>
          <w:color w:val="auto"/>
          <w:highlight w:val="none"/>
        </w:rPr>
        <w:t>其他重要事项的情况说明</w:t>
      </w:r>
      <w:bookmarkEnd w:id="48"/>
      <w:bookmarkEnd w:id="49"/>
    </w:p>
    <w:p w14:paraId="6D0C5347">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14:paraId="3CB47A22">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增长0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人员增加。</w:t>
      </w:r>
    </w:p>
    <w:p w14:paraId="7443CA3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14:paraId="3E0F940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政府采购货物支出</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DF595F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14:paraId="19A0DA96">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themeColor="text1"/>
          <w:sz w:val="32"/>
          <w:szCs w:val="32"/>
          <w14:textFill>
            <w14:solidFill>
              <w14:schemeClr w14:val="tx1"/>
            </w14:solidFill>
          </w14:textFill>
        </w:rPr>
        <w:t>用于</w:t>
      </w:r>
      <w:r>
        <w:rPr>
          <w:rFonts w:hint="eastAsia" w:ascii="仿宋_GB2312" w:eastAsia="仿宋_GB2312"/>
          <w:color w:val="000000" w:themeColor="text1"/>
          <w:sz w:val="32"/>
          <w:szCs w:val="32"/>
          <w:lang w:val="en-US" w:eastAsia="zh-CN"/>
          <w14:textFill>
            <w14:solidFill>
              <w14:schemeClr w14:val="tx1"/>
            </w14:solidFill>
          </w14:textFill>
        </w:rPr>
        <w:t>日常工作开展，</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4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2BB4E2">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其他用车</w:t>
            </w:r>
          </w:p>
        </w:tc>
        <w:tc>
          <w:tcPr>
            <w:tcW w:w="4261" w:type="dxa"/>
          </w:tcPr>
          <w:p w14:paraId="4E995D35">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34辆</w:t>
            </w:r>
          </w:p>
        </w:tc>
      </w:tr>
      <w:tr w14:paraId="5D82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EFA91">
            <w:pPr>
              <w:autoSpaceDE w:val="0"/>
              <w:autoSpaceDN w:val="0"/>
              <w:adjustRightInd w:val="0"/>
              <w:spacing w:line="600" w:lineRule="exact"/>
              <w:jc w:val="left"/>
              <w:rPr>
                <w:rFonts w:hint="eastAsia" w:ascii="仿宋" w:hAnsi="仿宋" w:eastAsia="仿宋"/>
                <w:b/>
                <w:color w:val="auto"/>
                <w:sz w:val="32"/>
                <w:szCs w:val="32"/>
                <w:highlight w:val="none"/>
                <w:vertAlign w:val="baseline"/>
                <w:lang w:val="en-US" w:eastAsia="zh-CN"/>
              </w:rPr>
            </w:pPr>
            <w:r>
              <w:rPr>
                <w:rFonts w:hint="eastAsia" w:ascii="仿宋_GB2312" w:eastAsia="仿宋_GB2312"/>
                <w:color w:val="auto"/>
                <w:sz w:val="32"/>
                <w:szCs w:val="32"/>
                <w:highlight w:val="none"/>
              </w:rPr>
              <w:t>应急保障用车</w:t>
            </w:r>
          </w:p>
        </w:tc>
        <w:tc>
          <w:tcPr>
            <w:tcW w:w="4261" w:type="dxa"/>
          </w:tcPr>
          <w:p w14:paraId="338307BC">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1辆</w:t>
            </w:r>
          </w:p>
        </w:tc>
      </w:tr>
    </w:tbl>
    <w:p w14:paraId="62A83C8F">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14:paraId="0AED32E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9F1B62F">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环境质量提升</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项目开展绩效监控，组织对</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3A5A34CE">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0D7C41A1">
      <w:pPr>
        <w:numPr>
          <w:ilvl w:val="0"/>
          <w:numId w:val="5"/>
        </w:numPr>
        <w:spacing w:line="600" w:lineRule="exact"/>
        <w:ind w:firstLine="660" w:firstLineChars="150"/>
        <w:jc w:val="center"/>
        <w:outlineLvl w:val="0"/>
        <w:rPr>
          <w:rStyle w:val="32"/>
          <w:rFonts w:ascii="黑体" w:hAnsi="黑体" w:eastAsia="黑体"/>
          <w:b w:val="0"/>
          <w:color w:val="auto"/>
          <w:highlight w:val="none"/>
        </w:rPr>
      </w:pPr>
      <w:bookmarkStart w:id="53" w:name="_Toc15377225"/>
      <w:bookmarkStart w:id="54" w:name="_Toc15396613"/>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53"/>
      <w:bookmarkEnd w:id="54"/>
    </w:p>
    <w:p w14:paraId="2F30D7BD">
      <w:pPr>
        <w:spacing w:line="600" w:lineRule="exact"/>
        <w:jc w:val="left"/>
        <w:rPr>
          <w:rFonts w:ascii="宋体"/>
          <w:b/>
          <w:color w:val="auto"/>
          <w:sz w:val="44"/>
          <w:szCs w:val="44"/>
          <w:highlight w:val="none"/>
        </w:rPr>
      </w:pPr>
    </w:p>
    <w:p w14:paraId="3AD2F075">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16DD3D0">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F97DB09">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E9BEC9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4D962EF9">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0E131B8">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B94D29E">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EE7861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05F4342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.社会保障和就业（208）行政事业单位离退休（05）机关事业单位基本养老保险缴费支出（05）：指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机关事业单位实施养老保险制度由单位缴纳的基本养老保险费支出。</w:t>
      </w:r>
    </w:p>
    <w:p w14:paraId="63EE69B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.社会保障和就业（208）行政事业单位离退休（05）机关事业单位基本职业年金缴费支出（06）：指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机关事业单位实施养老保险制度由单位缴纳的职业年金支出。</w:t>
      </w:r>
    </w:p>
    <w:p w14:paraId="6FF452D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.医疗卫生与计划生育（210）行政事业单位医疗（11）行政单位医疗（01）：</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财政部门集中安排的行政单位基本医疗保险缴费经费，未参加医疗保险的行政单位的公费医疗经费按国家规定享受离休人员、红军老战士待遇的医疗经费。</w:t>
      </w:r>
    </w:p>
    <w:p w14:paraId="39E35F6A">
      <w:pPr>
        <w:ind w:firstLine="640" w:firstLineChars="200"/>
        <w:rPr>
          <w:rFonts w:hint="eastAsia" w:eastAsia="仿宋_GB2312"/>
          <w:lang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医疗卫生与计划生育（210）</w:t>
      </w:r>
      <w:r>
        <w:rPr>
          <w:rFonts w:hint="eastAsia" w:ascii="仿宋_GB2312" w:eastAsia="仿宋_GB2312"/>
          <w:color w:val="000000"/>
          <w:sz w:val="32"/>
          <w:szCs w:val="32"/>
          <w:lang w:val="en-US" w:eastAsia="zh-CN"/>
        </w:rPr>
        <w:t>公共卫生</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突发公共卫生事件应急处理</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w:t>
      </w:r>
      <w:r>
        <w:rPr>
          <w:rFonts w:ascii="仿宋_GB2312" w:hAnsi="宋体" w:eastAsia="仿宋_GB2312" w:cs="仿宋_GB2312"/>
          <w:i w:val="0"/>
          <w:iCs w:val="0"/>
          <w:caps w:val="0"/>
          <w:color w:val="000000"/>
          <w:spacing w:val="0"/>
          <w:sz w:val="31"/>
          <w:szCs w:val="31"/>
        </w:rPr>
        <w:t>主单位全额差额在职人员</w:t>
      </w:r>
      <w:r>
        <w:rPr>
          <w:rFonts w:hint="eastAsia" w:ascii="仿宋_GB2312" w:eastAsia="仿宋_GB2312"/>
          <w:color w:val="000000"/>
          <w:sz w:val="32"/>
          <w:szCs w:val="32"/>
          <w:lang w:val="en-US" w:eastAsia="zh-CN"/>
        </w:rPr>
        <w:t>突发公共卫生事件应急处理</w:t>
      </w:r>
      <w:r>
        <w:rPr>
          <w:rFonts w:ascii="仿宋_GB2312" w:hAnsi="宋体" w:eastAsia="仿宋_GB2312" w:cs="仿宋_GB2312"/>
          <w:i w:val="0"/>
          <w:iCs w:val="0"/>
          <w:caps w:val="0"/>
          <w:color w:val="000000"/>
          <w:spacing w:val="0"/>
          <w:sz w:val="31"/>
          <w:szCs w:val="31"/>
        </w:rPr>
        <w:t>支出</w:t>
      </w:r>
      <w:r>
        <w:rPr>
          <w:rFonts w:hint="eastAsia" w:ascii="仿宋_GB2312" w:hAnsi="宋体" w:eastAsia="仿宋_GB2312" w:cs="仿宋_GB2312"/>
          <w:i w:val="0"/>
          <w:iCs w:val="0"/>
          <w:caps w:val="0"/>
          <w:color w:val="000000"/>
          <w:spacing w:val="0"/>
          <w:sz w:val="31"/>
          <w:szCs w:val="31"/>
          <w:lang w:eastAsia="zh-CN"/>
        </w:rPr>
        <w:t>。</w:t>
      </w:r>
    </w:p>
    <w:p w14:paraId="6DC7067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医疗卫生与计划生育（210）行政事业单位医疗（11）公务员医疗补助（03）：</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财政部门集中安排的公务员医疗补助经费。</w:t>
      </w:r>
    </w:p>
    <w:p w14:paraId="1C28B6D1">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14.节能环保支出（211)污染防治（03）水体（02）：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用于污水项目项目支出。</w:t>
      </w:r>
    </w:p>
    <w:p w14:paraId="46BF5118">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15.节能环保支出（211)污染防治（03）其他污染防治支出（99）：</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用于其他污染防治支出。</w:t>
      </w:r>
    </w:p>
    <w:p w14:paraId="0BDF3D8F">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16.节能环保支出（211)自然生态保护（04）生态保护（01）：</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用于生态保护支出。</w:t>
      </w:r>
    </w:p>
    <w:p w14:paraId="56079C23">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17.节能环保支出（211)自然生态保护（04）农村环境保护（02）：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用于农村环境保护支出。</w:t>
      </w:r>
    </w:p>
    <w:p w14:paraId="26BDB4D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18.城乡社区支出（212)城乡社区管理事务（01）行政运行（01）：反映行政单位（包括实行公务员管理的事业单位）的基本支出。</w:t>
      </w:r>
    </w:p>
    <w:p w14:paraId="4811B0ED">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19.城乡社区支出（212)城乡社区管理事务（01）其他城乡社区管理事务支出（99）：反映其他城乡社区管理事务支出。</w:t>
      </w:r>
    </w:p>
    <w:p w14:paraId="10043A9A">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20.城乡社区支出（212)城乡社区公共设施（03）小城镇基础设施建设（03）：反映小城镇基础设施建设支出。</w:t>
      </w:r>
    </w:p>
    <w:p w14:paraId="66033202">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21.城乡社区支出（212)城乡社区公共设施（03）其他城乡社区公共设施支出（99）：反映其他城乡社区公共设施支出。</w:t>
      </w:r>
    </w:p>
    <w:p w14:paraId="4A0F6B47">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22.城乡社区支出（212)城乡社区环境卫生（05）城乡社区环境卫生（01）：反映城乡社区环境卫生支出。</w:t>
      </w:r>
    </w:p>
    <w:p w14:paraId="60D4F52A">
      <w:pPr>
        <w:ind w:firstLine="640"/>
        <w:rPr>
          <w:rFonts w:hint="default"/>
          <w:lang w:val="en-US" w:eastAsia="zh-CN"/>
        </w:rPr>
      </w:pPr>
      <w:r>
        <w:rPr>
          <w:rFonts w:hint="eastAsia" w:ascii="仿宋_GB2312" w:eastAsia="仿宋_GB2312"/>
          <w:color w:val="000000"/>
          <w:sz w:val="32"/>
          <w:szCs w:val="32"/>
          <w:lang w:val="en-US" w:eastAsia="zh-CN"/>
        </w:rPr>
        <w:t>23.城乡社区支出（212)其他城乡社区支出（99）其他城乡社区支出（99）：反其他映城乡社区支出。</w:t>
      </w:r>
    </w:p>
    <w:p w14:paraId="6EFF779A">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24.</w:t>
      </w:r>
      <w:r>
        <w:rPr>
          <w:rFonts w:hint="eastAsia" w:ascii="仿宋_GB2312" w:eastAsia="仿宋_GB2312"/>
          <w:color w:val="000000"/>
          <w:sz w:val="32"/>
          <w:szCs w:val="32"/>
        </w:rPr>
        <w:t>农林水（213）扶贫（05）</w:t>
      </w:r>
      <w:r>
        <w:rPr>
          <w:rFonts w:hint="eastAsia" w:ascii="仿宋_GB2312" w:eastAsia="仿宋_GB2312"/>
          <w:color w:val="000000"/>
          <w:sz w:val="32"/>
          <w:szCs w:val="32"/>
          <w:lang w:val="en-US" w:eastAsia="zh-CN"/>
        </w:rPr>
        <w:t>农村基础设施建设（04）：反映农村基础设施建设支出。</w:t>
      </w:r>
    </w:p>
    <w:p w14:paraId="7EC7EB9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住房保障（221）住房改革支出（02）住房公积金（01）：反应行政事业单位按人力资源和社会保障部、财政部规定的基本工资和津贴补贴以及规定比例为职工缴纳的的住房公积金。</w:t>
      </w:r>
    </w:p>
    <w:p w14:paraId="2807B853">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26.灾害防治及应急管理支出（224）地震事务（05）其他地震事务支出（11）：反映用于其他地震事务支出。</w:t>
      </w:r>
    </w:p>
    <w:p w14:paraId="17ED4BF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27.灾害防治及应急管理支出（224）自然灾害防治支出（06）其他自然灾害防治支出（99）：反映用于自然灾害防治支出。</w:t>
      </w:r>
    </w:p>
    <w:p w14:paraId="0FAFB361">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28.其他支出（229）其他支出（99）其他支出（99）：反映用于其他支出。</w:t>
      </w:r>
    </w:p>
    <w:p w14:paraId="02CF950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C6153E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467641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3EA893B">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73D3D7">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DCCECC">
      <w:pPr>
        <w:pStyle w:val="30"/>
        <w:spacing w:line="560" w:lineRule="exact"/>
        <w:ind w:firstLine="640" w:firstLineChars="200"/>
        <w:rPr>
          <w:rFonts w:ascii="仿宋_GB2312" w:eastAsia="仿宋_GB2312" w:cs="黑体"/>
          <w:color w:val="auto"/>
          <w:sz w:val="32"/>
          <w:szCs w:val="32"/>
          <w:highlight w:val="none"/>
        </w:rPr>
      </w:pPr>
    </w:p>
    <w:p w14:paraId="01B5FC63">
      <w:pPr>
        <w:spacing w:line="600" w:lineRule="exact"/>
        <w:jc w:val="center"/>
        <w:outlineLvl w:val="0"/>
        <w:rPr>
          <w:rFonts w:ascii="宋体"/>
          <w:b/>
          <w:color w:val="auto"/>
          <w:sz w:val="44"/>
          <w:szCs w:val="44"/>
          <w:highlight w:val="none"/>
        </w:rPr>
      </w:pPr>
      <w:bookmarkStart w:id="55" w:name="_Toc15377226"/>
    </w:p>
    <w:p w14:paraId="36F03962">
      <w:pPr>
        <w:spacing w:line="600" w:lineRule="exact"/>
        <w:jc w:val="center"/>
        <w:outlineLvl w:val="0"/>
        <w:rPr>
          <w:rFonts w:ascii="宋体"/>
          <w:b/>
          <w:color w:val="auto"/>
          <w:sz w:val="44"/>
          <w:szCs w:val="44"/>
          <w:highlight w:val="none"/>
        </w:rPr>
      </w:pPr>
    </w:p>
    <w:p w14:paraId="4F948106">
      <w:pPr>
        <w:spacing w:line="600" w:lineRule="exact"/>
        <w:jc w:val="center"/>
        <w:outlineLvl w:val="0"/>
        <w:rPr>
          <w:rFonts w:ascii="宋体"/>
          <w:b/>
          <w:color w:val="auto"/>
          <w:sz w:val="44"/>
          <w:szCs w:val="44"/>
          <w:highlight w:val="none"/>
        </w:rPr>
      </w:pPr>
    </w:p>
    <w:p w14:paraId="3CDB31AD">
      <w:pPr>
        <w:numPr>
          <w:ilvl w:val="0"/>
          <w:numId w:val="5"/>
        </w:numPr>
        <w:spacing w:line="600" w:lineRule="exact"/>
        <w:ind w:left="0" w:leftChars="0" w:firstLine="663" w:firstLineChars="150"/>
        <w:jc w:val="center"/>
        <w:outlineLvl w:val="0"/>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附件</w:t>
      </w:r>
    </w:p>
    <w:p w14:paraId="360097F1">
      <w:pPr>
        <w:numPr>
          <w:ilvl w:val="0"/>
          <w:numId w:val="0"/>
        </w:numPr>
        <w:spacing w:line="600" w:lineRule="exact"/>
        <w:ind w:leftChars="150"/>
        <w:jc w:val="left"/>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附件1：马尔康市住房和城乡建设局部门整体绩效报告</w:t>
      </w:r>
    </w:p>
    <w:p w14:paraId="73AE821B">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2024年马尔康市住房和城乡建设局</w:t>
      </w:r>
    </w:p>
    <w:p w14:paraId="74AF7578">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整体支出绩效评价报告</w:t>
      </w:r>
    </w:p>
    <w:p w14:paraId="0251193A">
      <w:pPr>
        <w:pStyle w:val="14"/>
        <w:jc w:val="center"/>
        <w:rPr>
          <w:rFonts w:hint="eastAsia"/>
          <w:lang w:val="en-US" w:eastAsia="zh-CN"/>
        </w:rPr>
      </w:pPr>
      <w:r>
        <w:rPr>
          <w:rFonts w:hint="eastAsia" w:ascii="仿宋_GB2312" w:hAnsi="仿宋_GB2312" w:eastAsia="仿宋_GB2312" w:cs="仿宋_GB2312"/>
          <w:b w:val="0"/>
          <w:bCs/>
          <w:color w:val="auto"/>
          <w:sz w:val="32"/>
          <w:szCs w:val="32"/>
          <w:highlight w:val="none"/>
          <w:lang w:val="en-US" w:eastAsia="zh-CN"/>
        </w:rPr>
        <w:t>（报告范围包括机关和下属单位）</w:t>
      </w:r>
    </w:p>
    <w:p w14:paraId="7D8ED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420" w:firstLineChars="200"/>
        <w:contextualSpacing/>
        <w:jc w:val="left"/>
        <w:textAlignment w:val="auto"/>
        <w:outlineLvl w:val="9"/>
        <w:rPr>
          <w:rFonts w:hint="default" w:ascii="Times New Roman" w:hAnsi="Times New Roman" w:cs="Times New Roman"/>
          <w:szCs w:val="32"/>
        </w:rPr>
      </w:pPr>
      <w:r>
        <w:rPr>
          <w:rFonts w:hint="eastAsia"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2366E880">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市住建局设下列内设机构：</w:t>
      </w:r>
    </w:p>
    <w:p w14:paraId="7755F18D">
      <w:pPr>
        <w:pageBreakBefore w:val="0"/>
        <w:kinsoku/>
        <w:wordWrap/>
        <w:overflowPunct/>
        <w:topLinePunct w:val="0"/>
        <w:autoSpaceDE/>
        <w:autoSpaceDN/>
        <w:bidi w:val="0"/>
        <w:adjustRightInd/>
        <w:snapToGrid/>
        <w:spacing w:line="560" w:lineRule="exact"/>
        <w:ind w:left="0" w:firstLine="1606" w:firstLineChars="5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1、综合股</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负责局机关政务协调、文电处理、会务安排、政务信息、机要、保密、安全和职业健康、文书档案管理；负责城建档案管理和指导工作；负责新闻宣传、目标管理、信访、社会治理、精神文明建设、机关理论学习等工作；协调组织相关股室办理人大代表建议、政协委员提案。负责局机关机构编制管理和人事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现有财务股撤销，合并入综合股，财务人员及相关工作不做更变，</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综合管理中央和省、州、市级财政用于城乡建设系统的各专项资金；协调、指导和监督住房和城乡建设领域财税、价格政策的落实；负责局行政机关和直属事业单位的财务及国有资产的监督管理；负责单位财务报表、资金计划、财务档案管理。</w:t>
      </w:r>
    </w:p>
    <w:p w14:paraId="587AC524">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2、</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城乡建设管理股。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部分职能转入建管股和村镇股后，负责</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组织指导行业职工培训、技能鉴定和专业技术人员的继续教育以及监督行业职业健康；负责农村建筑工匠培训和管理；拟订勘察设计咨询业发展规划、产业及技术政策；拟订规范勘察设计咨询市场各方主体行为的规章制度并监督实施；指导城市基础设施建设发展工作；拟订城市建设的政策法规、发展规划、管理措施、技术标准并监督实施；指导城市相关市政基础设施专项规划编制工作；负责统筹协调城市重大市政基础设施建设项目的推进；指导城镇供水（节水）、排水（污水）、道路、桥梁及相关配套设施的建设运营维护监督管理工作；指导海绵城市、综合管廊（管线）、黑臭水体、停车设施等建设管理（治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审批店招店牌户外广告牌；</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指导城市（县城）建成区防汛抗旱相关工作。</w:t>
      </w:r>
    </w:p>
    <w:p w14:paraId="13AD0A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指导城市生态保护和修复、生物多样性保护、城市风貌管控、城市设计等工作；指导城市燃气、餐厨垃圾收集处理的监督管理工作。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r>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t>下属机构一个为马尔康市公用事业和市政建设服务中心。</w:t>
      </w:r>
    </w:p>
    <w:p w14:paraId="620640E5">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cs="仿宋_GB2312"/>
          <w:b/>
          <w:bCs/>
          <w:color w:val="000000" w:themeColor="text1"/>
          <w:kern w:val="2"/>
          <w:sz w:val="32"/>
          <w:szCs w:val="32"/>
          <w:highlight w:val="none"/>
          <w:lang w:val="en-US" w:eastAsia="zh-CN"/>
          <w14:textFill>
            <w14:solidFill>
              <w14:schemeClr w14:val="tx1"/>
            </w14:solidFill>
          </w14:textFill>
        </w:rPr>
        <w:t>3、</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住房保障股。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部分职能转入村镇股后，</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拟订全市住房政策、规章制度并组织实施；指导全市住房建设和住房制度改革；执行进城定居农民的住房政策；参与制定物业服务企业资质标准实施办法并监督执行。负责全市廉租房等保障性住房</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和老旧小区</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的建设、发展规划、资金安排的监督实施。负责物业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服务企业行业监督管理</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p>
    <w:p w14:paraId="5390C7AE">
      <w:pPr>
        <w:pStyle w:val="18"/>
        <w:pageBreakBefore w:val="0"/>
        <w:numPr>
          <w:ilvl w:val="0"/>
          <w:numId w:val="0"/>
        </w:numPr>
        <w:kinsoku/>
        <w:wordWrap/>
        <w:overflowPunct/>
        <w:topLinePunct w:val="0"/>
        <w:autoSpaceDE/>
        <w:autoSpaceDN/>
        <w:bidi w:val="0"/>
        <w:adjustRightInd/>
        <w:snapToGrid/>
        <w:spacing w:after="0" w:line="560" w:lineRule="exact"/>
        <w:ind w:left="0" w:firstLine="964" w:firstLineChars="3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4、城乡环境综合治理服务中心。</w:t>
      </w:r>
      <w:r>
        <w:rPr>
          <w:rFonts w:hint="eastAsia" w:ascii="仿宋_GB2312" w:hAnsi="仿宋_GB2312" w:eastAsia="仿宋_GB2312" w:cs="仿宋_GB2312"/>
          <w:color w:val="auto"/>
          <w:kern w:val="2"/>
          <w:sz w:val="32"/>
          <w:szCs w:val="32"/>
          <w:highlight w:val="none"/>
          <w:lang w:val="en-US" w:eastAsia="zh-CN" w:bidi="ar-SA"/>
        </w:rPr>
        <w:t>根据《中共阿坝州委机构编制委员会关于＜阿坝州城乡规划建设和住房保障局关于设立城乡环境综合治理机构配备人员的请示＞的批复》（阿编发2012）106号）批准：“各县设立城乡环境综合治理管理办公室，为县城乡规划建设和住房保障局直属副科级财政全额拨款事业单位，核定事业编制4名，副科级领导职数1名”。建议恢复城乡环境综合治理服务中心，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成立后同时将城市治理委员会设在该中心。以及局党组安排的其他工作。</w:t>
      </w:r>
    </w:p>
    <w:p w14:paraId="472014D4">
      <w:pPr>
        <w:pStyle w:val="18"/>
        <w:pageBreakBefore w:val="0"/>
        <w:numPr>
          <w:ilvl w:val="0"/>
          <w:numId w:val="0"/>
        </w:numPr>
        <w:kinsoku/>
        <w:wordWrap/>
        <w:overflowPunct/>
        <w:topLinePunct w:val="0"/>
        <w:autoSpaceDE/>
        <w:autoSpaceDN/>
        <w:bidi w:val="0"/>
        <w:adjustRightInd/>
        <w:snapToGrid/>
        <w:spacing w:after="0" w:line="560" w:lineRule="exact"/>
        <w:ind w:firstLine="643" w:firstLineChars="200"/>
        <w:jc w:val="both"/>
        <w:rPr>
          <w:rFonts w:ascii="仿宋_GB2312" w:eastAsia="仿宋_GB2312"/>
          <w:color w:val="auto"/>
          <w:sz w:val="32"/>
          <w:szCs w:val="32"/>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5、村镇股。</w:t>
      </w:r>
      <w:r>
        <w:rPr>
          <w:rFonts w:hint="eastAsia" w:ascii="仿宋_GB2312" w:eastAsia="仿宋_GB2312"/>
          <w:color w:val="auto"/>
          <w:sz w:val="32"/>
          <w:szCs w:val="32"/>
          <w:lang w:val="en-US" w:eastAsia="zh-CN"/>
        </w:rPr>
        <w:t>新设立村镇股，负责</w:t>
      </w:r>
      <w:r>
        <w:rPr>
          <w:rFonts w:hint="eastAsia" w:ascii="仿宋_GB2312" w:eastAsia="仿宋_GB2312"/>
          <w:color w:val="auto"/>
          <w:sz w:val="32"/>
          <w:szCs w:val="32"/>
        </w:rPr>
        <w:t>指导乡镇和村庄建设工作；拟订村镇建设发展战略和政策并监督实施；组织村镇建设相关试点工作，指导全</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w:t>
      </w:r>
      <w:r>
        <w:rPr>
          <w:rFonts w:hint="eastAsia" w:ascii="仿宋_GB2312" w:eastAsia="仿宋_GB2312"/>
          <w:color w:val="auto"/>
          <w:sz w:val="32"/>
          <w:szCs w:val="32"/>
          <w:lang w:val="en-US" w:eastAsia="zh-CN"/>
        </w:rPr>
        <w:t>指导农村住房建设、危房改造管理。以及局党组安排的其他工作。</w:t>
      </w:r>
    </w:p>
    <w:p w14:paraId="38F4EE4C">
      <w:pPr>
        <w:pStyle w:val="11"/>
        <w:rPr>
          <w:rFonts w:hint="default"/>
          <w:lang w:val="en-US"/>
        </w:rPr>
      </w:pPr>
    </w:p>
    <w:p w14:paraId="7305BADF">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kern w:val="0"/>
          <w:szCs w:val="32"/>
          <w:highlight w:val="none"/>
          <w:shd w:val="clear" w:color="auto" w:fill="FFFFFF"/>
          <w:lang w:val="zh-CN"/>
        </w:rPr>
        <w:t>（二）机构职能</w:t>
      </w:r>
      <w:r>
        <w:rPr>
          <w:rFonts w:hint="eastAsia" w:eastAsia="楷体_GB2312" w:cs="Times New Roman"/>
          <w:b/>
          <w:bCs/>
          <w:color w:val="000000"/>
          <w:kern w:val="0"/>
          <w:szCs w:val="32"/>
          <w:highlight w:val="none"/>
          <w:shd w:val="clear" w:color="auto" w:fill="FFFFFF"/>
          <w:lang w:val="zh-CN"/>
        </w:rPr>
        <w:t>。</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住建局</w:t>
      </w:r>
      <w:r>
        <w:rPr>
          <w:rFonts w:hint="eastAsia" w:ascii="仿宋_GB2312" w:hAnsi="仿宋_GB2312" w:eastAsia="仿宋_GB2312" w:cs="仿宋_GB2312"/>
          <w:color w:val="000000" w:themeColor="text1"/>
          <w:sz w:val="32"/>
          <w:szCs w:val="32"/>
          <w14:textFill>
            <w14:solidFill>
              <w14:schemeClr w14:val="tx1"/>
            </w14:solidFill>
          </w14:textFill>
        </w:rPr>
        <w:t>贯彻落实党中央关于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工作的方针政策和省委、州委、市委的决策部署，在履行职责过程中坚持和加强党对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工作的集中统一领导。主要职责是：</w:t>
      </w:r>
    </w:p>
    <w:p w14:paraId="114ACA3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贯彻执行国家、省、州住房保障和城乡建设、管理的法律法规和方针、政策。研究拟定住房保障、工程建设、城乡建设、建筑业、住宅与房地产业有关地方性法规和规章草案，负责本系统、本部门行政监管工作，落实行政监管责任制。</w:t>
      </w:r>
    </w:p>
    <w:p w14:paraId="47BB724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承担推进住房制度改革、保障城镇低收入家庭住房的责任。拟订全市住房及住房保障相关政策并指导实施，指导住房建设和住房制度改革。拟订公共租赁住房规划及政策，会同有关部门做好国家、省、州、市有关公共租赁住房资金使用监管并组织实施公共租赁住房建设。</w:t>
      </w:r>
    </w:p>
    <w:p w14:paraId="7C815820">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承担建立全市工程建设标准体系的责任。组织实施工程建设实施阶段的国家标准、四川省统一定额和行业标准定额，拟订建设项目可行性研究评价方法、经济参数、建设标准和工程造价的管理制度，指导监督各类工程建设标准定额的实施和工程造价计价，组织发布工程造价信息。</w:t>
      </w:r>
    </w:p>
    <w:p w14:paraId="4164761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承担规范房地产市场秩序、监督管理房地产市场的责任。会同有关部门组织拟订房地产市场监督管理政策并监督执行，贯彻执行房地产业的行业发展规划和产业政策，负责房地产开发、房产交易、房屋租赁、房屋面积管理、危房评定、白蚁防治、房地产估价与经纪管理、物业管理、国有土地上房屋征收拆迁的工作。</w:t>
      </w:r>
    </w:p>
    <w:p w14:paraId="5F3F5D87">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承担监督管理建筑市场、规范市场各方主体行为的责任。指导全市建筑活动，拟订工程建设、建筑业发展战略、中长期规划、改革方案、产业政策、规章制度并监督执行。配合相关部门开展房屋建筑和市政基础设施工程项目招投标活动的监督。拟订建设工程施工、监理以及规范建筑市场各方主体行为的规章制度并监督执行。负责房屋建筑工程和市政基础设施工程防雷装置设计审核以及建设工程消防设计审查验收。负责建筑工程质量安全的监督管理工作，拟订建筑工程质量、建筑安全生产和竣工验收备案的政策、规章制度并监督执行，组织或参与工程重大质量、安全事故的调查处理。</w:t>
      </w:r>
    </w:p>
    <w:p w14:paraId="2D20C22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承担指导城市勘察和市政工程测量建设工程的责任。拟订勘察设计咨询业发展规划、产业及技术政策；拟订规范勘察设计咨询市场各方主体行为的规章制度并监督实施。指导建设工程抗震设防工作，组织开展城镇建筑物抗震性能普查、鉴定加固和改造工作，指导村镇和农村建设抗震工作。</w:t>
      </w:r>
    </w:p>
    <w:p w14:paraId="4520E85F">
      <w:pPr>
        <w:pStyle w:val="6"/>
        <w:pageBreakBefore w:val="0"/>
        <w:numPr>
          <w:ilvl w:val="0"/>
          <w:numId w:val="6"/>
        </w:numPr>
        <w:kinsoku/>
        <w:wordWrap/>
        <w:overflowPunct/>
        <w:topLinePunct w:val="0"/>
        <w:autoSpaceDE/>
        <w:autoSpaceDN/>
        <w:bidi w:val="0"/>
        <w:adjustRightInd/>
        <w:snapToGrid/>
        <w:spacing w:after="0" w:line="560" w:lineRule="exact"/>
        <w:ind w:left="0" w:firstLine="72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担指导城镇建设管理的责任。拟订城镇建设的政策并指导实施，指导城镇排涝工作，指导城镇建设档案管理工作。负责统筹协调城市重大市政基础设施建设项目的推进；指导城镇供水（节水）、排水（污水）、道路、桥梁及相关配套设施的建设运营维护监督管理工作；综合管廊（管线）、黑臭水体、停车设施等建设管理（治理）工作；指导城市（县城）建成区防汛抗旱相关工作。</w:t>
      </w:r>
    </w:p>
    <w:p w14:paraId="3C089F94">
      <w:pPr>
        <w:pStyle w:val="6"/>
        <w:pageBreakBefore w:val="0"/>
        <w:kinsoku/>
        <w:wordWrap/>
        <w:overflowPunct/>
        <w:topLinePunct w:val="0"/>
        <w:autoSpaceDE/>
        <w:autoSpaceDN/>
        <w:bidi w:val="0"/>
        <w:adjustRightInd/>
        <w:snapToGrid/>
        <w:spacing w:after="0" w:line="560" w:lineRule="exact"/>
        <w:ind w:left="0" w:firstLine="721"/>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承担规范和指导村镇建设的责任。拟订村庄和小城镇建设政策并指导实施，农村住房建设管理和危房改造，指导小城镇环境改善、传统村落建设工作，指导和组织各类村镇建设试点工作，指导乡村生活垃圾处理及收转运处置管理等工作，指导受灾村镇及国家大型重点建设项目地区村镇迁建、重建的管理工作。</w:t>
      </w:r>
    </w:p>
    <w:p w14:paraId="47494677">
      <w:pPr>
        <w:pageBreakBefore w:val="0"/>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（九）指导城市生态保护和修复、生物多样性保护、城市风貌管控、城市设计等工作；指导城市燃气、餐厨垃圾收集处理的监督管理工作。</w:t>
      </w:r>
    </w:p>
    <w:p w14:paraId="54BF1F0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承担推进建筑节能、城镇减排的责任。会同有关部门拟订建筑节能政策、规划并监督实施，组织实施重大建筑节能项目，推进城镇减排。组织实施重点科技项目成果转化工作。承担推进墙体材料革新的责任。</w:t>
      </w:r>
    </w:p>
    <w:p w14:paraId="113EADF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制定建设行业人才培养和教育发展规划并组织实施，指导建设行业科技人才队伍建设和执业资格管理工作。负责住房和城乡建设系统的信访工作，督查督办重大信访案件。开展住房和城乡建设方面的交流与合作。指导行业廉政建设、诚信体系建设、社会保险、劳动标准和专业技术职称工作。</w:t>
      </w:r>
    </w:p>
    <w:p w14:paraId="2EC6C70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二）在城乡建设管理中严格执行城乡规划、工程勘察、设计、施工、监理和竣工验收的国家标准、规范，严格执行安全生产的强制性规定，依法保障安全生产的措施作为核发施工许可的重要条件。负责制定完善建筑安全生产监督管理规定并监督执行，对房屋建筑和市政工程施工的安全生产进行监督管理。负责对房屋建筑和市政基础设施工程施工场地用施工起重机械、专用机动车辆的安装、使用进行监督管理。</w:t>
      </w:r>
    </w:p>
    <w:p w14:paraId="54DE091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（十三）负责职责范围内的职业健康、安全生产、生态环境保护、审批服务便民化工作。 </w:t>
      </w:r>
    </w:p>
    <w:p w14:paraId="5187A512">
      <w:pPr>
        <w:pStyle w:val="18"/>
        <w:pageBreakBefore w:val="0"/>
        <w:numPr>
          <w:ilvl w:val="0"/>
          <w:numId w:val="0"/>
        </w:numPr>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  </w:t>
      </w:r>
    </w:p>
    <w:p w14:paraId="644F661B">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）完成市委和市政府交办的其他任务。</w:t>
      </w:r>
    </w:p>
    <w:p w14:paraId="100FD743">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）职能转变。</w:t>
      </w:r>
    </w:p>
    <w:p w14:paraId="49CD2969">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常态化建立健全与相关职能部门的协作配合机制；坚持以新发展理念为指引，推动城乡建设和住房管理高质量发展。坚持“以项目促管理、以行业促产业”，提升重大项目建设管理统筹力度，强化建筑质量及安全管控，加快发展绿色、环保、节能、智慧建筑，稳步推进成品住宅，积极推进住宅产业化，不断优化人居环境，深入推进供给侧结构性改革，健全市场体系和保障体系，稳步推动房地产市场监管由单一的行政管控向综合施政转变，促进房地产市场稳步健康发展。继续推进“放管服”改革，强化事中事后监管，运用信用评价监管体系，提升服务效能，构建公正高效营商环境。</w:t>
      </w:r>
    </w:p>
    <w:p w14:paraId="45C57CCF">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有关职责分工</w:t>
      </w:r>
    </w:p>
    <w:p w14:paraId="356F07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1.与市行政审批局的有关职责分工：市行政审批局负责划转行政审批事项的审批；市住建局负责划转事项的事中事后监管，并对市行政审批局行政审批行为实施监督。</w:t>
      </w:r>
    </w:p>
    <w:p w14:paraId="2F8855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2.与市公用事业服务中心的有关职责分工：市公用事业服务中心负责建设完成后的城市道路、桥梁、井盖治理等的市政建设管理维护工作；市住建局负责新建、改建、扩建城市道路等的市政建设工作。</w:t>
      </w:r>
    </w:p>
    <w:p w14:paraId="54CFDA81">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3.与市城市管理行政执法局的有关职责分工：市城市管理行政执法局根据划转行政处罚权事项，负责日常监督检查和违规违法行为查处工作；市住建局负责行业领域行政监督工作。</w:t>
      </w:r>
    </w:p>
    <w:p w14:paraId="22B4EA6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4.与市气象局的有关职责分工：市气象局负责房屋建筑工程和市政基础设施工程防雷日常监督管理、巡查、执法；市住建局负责房屋建筑工程和市政基础设施工程防雷装置设计审核、竣工验收许可。</w:t>
      </w:r>
    </w:p>
    <w:p w14:paraId="1D71572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5.与市公安消防部门的有关职责分工：市公安消防部门负责建设工程消防日常监督管理、巡查、执法；市住建局负责建设工程消防设计审查验收。</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 </w:t>
      </w:r>
    </w:p>
    <w:p w14:paraId="7CF292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）人员概况</w:t>
      </w:r>
      <w:r>
        <w:rPr>
          <w:rFonts w:hint="eastAsia" w:ascii="楷体_GB2312" w:hAnsi="楷体_GB2312" w:eastAsia="楷体_GB2312" w:cs="楷体_GB2312"/>
          <w:b/>
          <w:bCs/>
          <w:sz w:val="32"/>
          <w:szCs w:val="32"/>
          <w:lang w:val="zh-CN"/>
        </w:rPr>
        <w:t>。</w:t>
      </w:r>
    </w:p>
    <w:p w14:paraId="5B71566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cs="仿宋"/>
          <w:sz w:val="30"/>
          <w:szCs w:val="30"/>
          <w:lang w:val="zh-CN"/>
        </w:rPr>
      </w:pPr>
      <w:r>
        <w:rPr>
          <w:rFonts w:hint="default" w:cs="仿宋"/>
          <w:sz w:val="30"/>
          <w:szCs w:val="30"/>
        </w:rPr>
        <w:t>截至202</w:t>
      </w:r>
      <w:r>
        <w:rPr>
          <w:rFonts w:hint="eastAsia" w:cs="仿宋"/>
          <w:sz w:val="30"/>
          <w:szCs w:val="30"/>
          <w:lang w:val="en-US" w:eastAsia="zh-CN"/>
        </w:rPr>
        <w:t>4</w:t>
      </w:r>
      <w:r>
        <w:rPr>
          <w:rFonts w:hint="default" w:cs="仿宋"/>
          <w:sz w:val="30"/>
          <w:szCs w:val="30"/>
        </w:rPr>
        <w:t>年末，</w:t>
      </w:r>
      <w:r>
        <w:rPr>
          <w:rFonts w:hint="eastAsia" w:cs="仿宋"/>
          <w:sz w:val="30"/>
          <w:szCs w:val="30"/>
          <w:lang w:val="en-US" w:eastAsia="zh-CN"/>
        </w:rPr>
        <w:t>马尔康市住房和城乡建设局</w:t>
      </w:r>
      <w:r>
        <w:rPr>
          <w:rFonts w:hint="default" w:cs="仿宋"/>
          <w:sz w:val="30"/>
          <w:szCs w:val="30"/>
        </w:rPr>
        <w:t>及下属单位编制</w:t>
      </w:r>
      <w:r>
        <w:rPr>
          <w:rFonts w:hint="eastAsia" w:cs="仿宋"/>
          <w:sz w:val="30"/>
          <w:szCs w:val="30"/>
          <w:lang w:eastAsia="zh-CN"/>
        </w:rPr>
        <w:t>情况及</w:t>
      </w:r>
      <w:r>
        <w:rPr>
          <w:rFonts w:hint="default" w:cs="仿宋"/>
          <w:sz w:val="30"/>
          <w:szCs w:val="30"/>
        </w:rPr>
        <w:t>年</w:t>
      </w:r>
      <w:r>
        <w:rPr>
          <w:rFonts w:hint="default" w:cs="仿宋"/>
          <w:sz w:val="30"/>
          <w:szCs w:val="30"/>
          <w:lang w:val="zh-CN"/>
        </w:rPr>
        <w:t>末实有人数</w:t>
      </w:r>
      <w:r>
        <w:rPr>
          <w:rFonts w:hint="eastAsia" w:cs="仿宋"/>
          <w:sz w:val="30"/>
          <w:szCs w:val="30"/>
          <w:lang w:val="en-US" w:eastAsia="zh-CN"/>
        </w:rPr>
        <w:t>52，其中临聘人员8人。</w:t>
      </w:r>
    </w:p>
    <w:p w14:paraId="6B6AAF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二、</w:t>
      </w:r>
      <w:r>
        <w:rPr>
          <w:rFonts w:hint="default" w:ascii="楷体_GB2312" w:hAnsi="楷体_GB2312" w:eastAsia="楷体_GB2312" w:cs="楷体_GB2312"/>
          <w:b/>
          <w:bCs/>
          <w:sz w:val="32"/>
          <w:szCs w:val="32"/>
          <w:lang w:val="zh-CN" w:eastAsia="zh-CN"/>
        </w:rPr>
        <w:t>部门</w:t>
      </w:r>
      <w:r>
        <w:rPr>
          <w:rFonts w:hint="default" w:ascii="楷体_GB2312" w:hAnsi="楷体_GB2312" w:eastAsia="楷体_GB2312" w:cs="楷体_GB2312"/>
          <w:b/>
          <w:bCs/>
          <w:sz w:val="32"/>
          <w:szCs w:val="32"/>
          <w:lang w:val="zh-CN"/>
        </w:rPr>
        <w:t>资金收支情况</w:t>
      </w:r>
    </w:p>
    <w:p w14:paraId="5B9D682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（一）</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收入情况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13E45CB7">
      <w:pPr>
        <w:keepNext w:val="0"/>
        <w:keepLines w:val="0"/>
        <w:pageBreakBefore w:val="0"/>
        <w:widowControl/>
        <w:kinsoku/>
        <w:wordWrap/>
        <w:overflowPunct/>
        <w:topLinePunct w:val="0"/>
        <w:autoSpaceDE/>
        <w:autoSpaceDN/>
        <w:bidi w:val="0"/>
        <w:adjustRightInd w:val="0"/>
        <w:snapToGrid w:val="0"/>
        <w:spacing w:line="578" w:lineRule="exact"/>
        <w:ind w:firstLine="600" w:firstLineChars="200"/>
        <w:contextualSpacing/>
        <w:jc w:val="left"/>
        <w:textAlignment w:val="auto"/>
        <w:outlineLvl w:val="9"/>
        <w:rPr>
          <w:rFonts w:cs="仿宋"/>
          <w:sz w:val="30"/>
          <w:szCs w:val="30"/>
        </w:rPr>
      </w:pPr>
      <w:r>
        <w:rPr>
          <w:rFonts w:cs="仿宋"/>
          <w:sz w:val="30"/>
          <w:szCs w:val="30"/>
        </w:rPr>
        <w:t>本单位</w:t>
      </w:r>
      <w:r>
        <w:rPr>
          <w:rFonts w:hint="eastAsia" w:cs="仿宋"/>
          <w:sz w:val="30"/>
          <w:szCs w:val="30"/>
          <w:lang w:val="en-US" w:eastAsia="zh-CN"/>
        </w:rPr>
        <w:t>2024年</w:t>
      </w:r>
      <w:r>
        <w:rPr>
          <w:rFonts w:cs="仿宋"/>
          <w:sz w:val="30"/>
          <w:szCs w:val="30"/>
        </w:rPr>
        <w:t>收入全年预算数为</w:t>
      </w:r>
      <w:r>
        <w:rPr>
          <w:rFonts w:hint="eastAsia" w:cs="仿宋"/>
          <w:sz w:val="30"/>
          <w:szCs w:val="30"/>
          <w:lang w:val="en-US" w:eastAsia="zh-CN"/>
        </w:rPr>
        <w:t>20600.56</w:t>
      </w:r>
      <w:r>
        <w:rPr>
          <w:rFonts w:cs="仿宋"/>
          <w:sz w:val="30"/>
          <w:szCs w:val="30"/>
        </w:rPr>
        <w:t>万元，收入决算数为</w:t>
      </w:r>
      <w:r>
        <w:rPr>
          <w:rFonts w:hint="eastAsia" w:cs="仿宋"/>
          <w:sz w:val="30"/>
          <w:szCs w:val="30"/>
          <w:lang w:val="en-US" w:eastAsia="zh-CN"/>
        </w:rPr>
        <w:t>20600.56</w:t>
      </w:r>
      <w:r>
        <w:rPr>
          <w:rFonts w:cs="仿宋"/>
          <w:sz w:val="30"/>
          <w:szCs w:val="30"/>
        </w:rPr>
        <w:t>万元，预算完成度为100.00%，上年度预算完成度为100.00%。</w:t>
      </w:r>
    </w:p>
    <w:p w14:paraId="5BB05037">
      <w:pPr>
        <w:pStyle w:val="38"/>
        <w:numPr>
          <w:ilvl w:val="0"/>
          <w:numId w:val="7"/>
        </w:numPr>
        <w:spacing w:before="0" w:beforeAutospacing="0"/>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支出情况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35380319">
      <w:pPr>
        <w:pStyle w:val="38"/>
        <w:numPr>
          <w:ilvl w:val="0"/>
          <w:numId w:val="0"/>
        </w:numPr>
        <w:spacing w:before="0" w:beforeAutospacing="0"/>
        <w:ind w:right="0" w:rightChars="0" w:firstLine="600" w:firstLineChars="200"/>
        <w:rPr>
          <w:rFonts w:hint="default" w:ascii="Times New Roman" w:hAnsi="Times New Roman" w:eastAsia="宋体" w:cs="仿宋"/>
          <w:color w:val="auto"/>
          <w:kern w:val="2"/>
          <w:sz w:val="30"/>
          <w:szCs w:val="30"/>
          <w:lang w:val="en-US" w:eastAsia="zh-CN" w:bidi="ar-SA"/>
        </w:rPr>
      </w:pPr>
      <w:r>
        <w:rPr>
          <w:rFonts w:hint="default" w:ascii="Times New Roman" w:hAnsi="Times New Roman" w:eastAsia="宋体" w:cs="仿宋"/>
          <w:color w:val="auto"/>
          <w:kern w:val="2"/>
          <w:sz w:val="30"/>
          <w:szCs w:val="30"/>
          <w:lang w:val="en-US" w:eastAsia="zh-CN" w:bidi="ar-SA"/>
        </w:rPr>
        <w:t>本单位</w:t>
      </w:r>
      <w:r>
        <w:rPr>
          <w:rFonts w:hint="eastAsia" w:ascii="Times New Roman" w:hAnsi="Times New Roman" w:eastAsia="宋体" w:cs="仿宋"/>
          <w:color w:val="auto"/>
          <w:kern w:val="2"/>
          <w:sz w:val="30"/>
          <w:szCs w:val="30"/>
          <w:lang w:val="en-US" w:eastAsia="zh-CN" w:bidi="ar-SA"/>
        </w:rPr>
        <w:t>2024年</w:t>
      </w:r>
      <w:r>
        <w:rPr>
          <w:rFonts w:hint="default" w:ascii="Times New Roman" w:hAnsi="Times New Roman" w:eastAsia="宋体" w:cs="仿宋"/>
          <w:color w:val="auto"/>
          <w:kern w:val="2"/>
          <w:sz w:val="30"/>
          <w:szCs w:val="30"/>
          <w:lang w:val="en-US" w:eastAsia="zh-CN" w:bidi="ar-SA"/>
        </w:rPr>
        <w:t>支出全年预算数为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万元，支出决算数为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万元，预算完成度为100.00%，上年度预算完成度为100.00%。</w:t>
      </w:r>
    </w:p>
    <w:p w14:paraId="1050740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w:t>
      </w:r>
      <w:r>
        <w:rPr>
          <w:rFonts w:hint="default" w:ascii="楷体_GB2312" w:hAnsi="楷体_GB2312" w:eastAsia="楷体_GB2312" w:cs="楷体_GB2312"/>
          <w:b/>
          <w:bCs/>
          <w:sz w:val="32"/>
          <w:szCs w:val="32"/>
        </w:rPr>
        <w:t>结余分配和结转结余情况</w:t>
      </w:r>
      <w:r>
        <w:rPr>
          <w:rFonts w:hint="eastAsia" w:ascii="楷体_GB2312" w:hAnsi="楷体_GB2312" w:eastAsia="楷体_GB2312" w:cs="楷体_GB2312"/>
          <w:b/>
          <w:bCs/>
          <w:sz w:val="32"/>
          <w:szCs w:val="32"/>
          <w:lang w:eastAsia="zh-CN"/>
        </w:rPr>
        <w:t>。</w:t>
      </w:r>
    </w:p>
    <w:p w14:paraId="0331A1C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本部门2024年决算报表无结转结余情况。</w:t>
      </w:r>
    </w:p>
    <w:p w14:paraId="7795F5EE">
      <w:pPr>
        <w:pStyle w:val="11"/>
        <w:rPr>
          <w:rFonts w:hint="default"/>
          <w:lang w:val="zh-CN" w:eastAsia="zh-CN"/>
        </w:rPr>
      </w:pPr>
    </w:p>
    <w:p w14:paraId="2C3914D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三、部门</w:t>
      </w:r>
      <w:r>
        <w:rPr>
          <w:rFonts w:hint="default" w:ascii="仿宋_GB2312" w:hAnsi="仿宋_GB2312" w:eastAsia="仿宋_GB2312" w:cs="仿宋_GB2312"/>
          <w:sz w:val="32"/>
          <w:szCs w:val="32"/>
          <w:lang w:eastAsia="zh-CN"/>
        </w:rPr>
        <w:t>预算</w:t>
      </w:r>
      <w:r>
        <w:rPr>
          <w:rFonts w:hint="default" w:ascii="仿宋_GB2312" w:hAnsi="仿宋_GB2312" w:eastAsia="仿宋_GB2312" w:cs="仿宋_GB2312"/>
          <w:sz w:val="32"/>
          <w:szCs w:val="32"/>
        </w:rPr>
        <w:t>绩效</w:t>
      </w:r>
      <w:r>
        <w:rPr>
          <w:rFonts w:hint="default" w:ascii="仿宋_GB2312" w:hAnsi="仿宋_GB2312" w:eastAsia="仿宋_GB2312" w:cs="仿宋_GB2312"/>
          <w:sz w:val="32"/>
          <w:szCs w:val="32"/>
          <w:lang w:eastAsia="zh-CN"/>
        </w:rPr>
        <w:t>分析</w:t>
      </w:r>
    </w:p>
    <w:p w14:paraId="08619C3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（一）</w:t>
      </w:r>
      <w:r>
        <w:rPr>
          <w:rFonts w:hint="eastAsia" w:ascii="楷体_GB2312" w:hAnsi="楷体_GB2312" w:eastAsia="楷体_GB2312" w:cs="楷体_GB2312"/>
          <w:b/>
          <w:bCs/>
          <w:sz w:val="32"/>
          <w:szCs w:val="32"/>
          <w:lang w:val="zh-CN"/>
        </w:rPr>
        <w:t>部门预算</w:t>
      </w:r>
      <w:r>
        <w:rPr>
          <w:rFonts w:hint="default" w:ascii="楷体_GB2312" w:hAnsi="楷体_GB2312" w:eastAsia="楷体_GB2312" w:cs="楷体_GB2312"/>
          <w:b/>
          <w:bCs/>
          <w:sz w:val="32"/>
          <w:szCs w:val="32"/>
          <w:lang w:val="zh-CN"/>
        </w:rPr>
        <w:t>总体绩效分析。</w:t>
      </w:r>
    </w:p>
    <w:p w14:paraId="3C39896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履职效能。</w:t>
      </w:r>
    </w:p>
    <w:p w14:paraId="74917D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（一）项目建设：四维成效览进展</w:t>
      </w:r>
    </w:p>
    <w:p w14:paraId="41552F69">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处于</w:t>
      </w:r>
      <w:r>
        <w:rPr>
          <w:rFonts w:hint="eastAsia" w:ascii="楷体_GB2312" w:hAnsi="楷体_GB2312" w:eastAsia="楷体_GB2312" w:cs="楷体_GB2312"/>
          <w:b/>
          <w:bCs/>
          <w:sz w:val="32"/>
          <w:szCs w:val="32"/>
        </w:rPr>
        <w:t>筹备阶段项目</w:t>
      </w:r>
    </w:p>
    <w:p w14:paraId="058793E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正在开展招标或方案设计等前期阶段的项目共5个：马尔康镇马江街环境质量综合提升项目、马尔康市马尔康镇嘉缘桥梁建设项目、大郎足沟应急避灾广场建设项目、马尔康环境治理提升整治项目、马尔康市城区病害治理项目</w:t>
      </w:r>
      <w:r>
        <w:rPr>
          <w:rFonts w:hint="eastAsia" w:ascii="仿宋_GB2312" w:hAnsi="仿宋_GB2312" w:eastAsia="仿宋_GB2312" w:cs="仿宋_GB2312"/>
          <w:sz w:val="32"/>
          <w:szCs w:val="32"/>
          <w:lang w:eastAsia="zh-CN"/>
        </w:rPr>
        <w:t>。</w:t>
      </w:r>
    </w:p>
    <w:p w14:paraId="413F5972">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2.已落实资金项目</w:t>
      </w:r>
    </w:p>
    <w:p w14:paraId="20E09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2024年我局已完成前期工作且资金到位的项目共3个：马尔康市城市燃气管道老化更新改造项目、马尔康主城区排水改造项目、马尔康市马尔康镇阿日大桥至日瓦坝大桥市政道路建设项目，总投资12275万元。</w:t>
      </w:r>
    </w:p>
    <w:p w14:paraId="7F0EBB1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3.已建设开工项目</w:t>
      </w:r>
    </w:p>
    <w:p w14:paraId="3F84CD5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2024年我局已开工项目共3个：马尔康市城镇供暖配套设施建设项目、马尔康市小水沟片区市政基础设施建设项目、沙尔宗镇污水处理站及管网配套设施建设项目。</w:t>
      </w:r>
    </w:p>
    <w:p w14:paraId="23212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4.拟申报争取项目</w:t>
      </w:r>
    </w:p>
    <w:p w14:paraId="396464F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2024年我局拟申报的项目共3个：马尔康市2024年老旧小区配套基础设施建设项目、马尔康市马尔康镇本真村片区市政基础建设项目、马尔康市供水管网及配套设施改造项目。</w:t>
      </w:r>
    </w:p>
    <w:p w14:paraId="58B71EA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（二）城市更新：多维施策促旧改</w:t>
      </w:r>
    </w:p>
    <w:p w14:paraId="768C400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一是协同旧改与新区建设。</w:t>
      </w:r>
      <w:r>
        <w:rPr>
          <w:rFonts w:hint="eastAsia" w:ascii="仿宋_GB2312" w:hAnsi="仿宋_GB2312" w:eastAsia="仿宋_GB2312" w:cs="仿宋_GB2312"/>
          <w:sz w:val="32"/>
          <w:szCs w:val="32"/>
        </w:rPr>
        <w:t>小水沟片区旧城改建与日瓦坝新区规划协同推进，初稿完成，为旧改锚定方向。在重点改造区域，如大郎足沟三角区地块、县建烧碳社地块，精准发力。一方面，拟定《马尔康市国有土地上房屋征收补偿方案》并通</w:t>
      </w:r>
      <w:r>
        <w:rPr>
          <w:rFonts w:hint="eastAsia" w:ascii="仿宋_GB2312" w:hAnsi="仿宋_GB2312" w:eastAsia="仿宋_GB2312" w:cs="仿宋_GB2312"/>
          <w:sz w:val="32"/>
          <w:szCs w:val="32"/>
          <w:lang w:eastAsia="zh-CN"/>
        </w:rPr>
        <w:t>过市</w:t>
      </w:r>
      <w:r>
        <w:rPr>
          <w:rFonts w:hint="eastAsia" w:ascii="仿宋_GB2312" w:hAnsi="仿宋_GB2312" w:eastAsia="仿宋_GB2312" w:cs="仿宋_GB2312"/>
          <w:sz w:val="32"/>
          <w:szCs w:val="32"/>
        </w:rPr>
        <w:t>政府常务会、市委常委会审定并发布，积极开展还建房置换协调、预评估测绘与意愿调查，为征收补偿筑牢根基；另一方面，雪松牦牛肉干厂地块已完成征收拆除，待土地招拍挂。</w:t>
      </w:r>
      <w:r>
        <w:rPr>
          <w:rFonts w:hint="eastAsia" w:ascii="仿宋_GB2312" w:hAnsi="仿宋_GB2312" w:eastAsia="仿宋_GB2312" w:cs="仿宋_GB2312"/>
          <w:b/>
          <w:bCs/>
          <w:sz w:val="32"/>
          <w:szCs w:val="32"/>
        </w:rPr>
        <w:t>二是项目攻坚与配套升级。</w:t>
      </w:r>
      <w:r>
        <w:rPr>
          <w:rFonts w:hint="eastAsia" w:ascii="仿宋_GB2312" w:hAnsi="仿宋_GB2312" w:eastAsia="仿宋_GB2312" w:cs="仿宋_GB2312"/>
          <w:sz w:val="32"/>
          <w:szCs w:val="32"/>
        </w:rPr>
        <w:t>大郎足沟自来水厂改造提升项目已完工，游客集散中心完成项目95%进度，人行廊桥设计不断优化。配套升级，大郎足沟电力业扩配套工程低压部分稳步推进，大水沟移民安置点土地征收评估已完成，临河堤防建设启动，电力迁入到位。</w:t>
      </w:r>
    </w:p>
    <w:p w14:paraId="16380D2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（三）住房保障：五策提质筑安居</w:t>
      </w:r>
    </w:p>
    <w:p w14:paraId="3443E7A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一是稳步推进老旧小区改造。</w:t>
      </w:r>
      <w:r>
        <w:rPr>
          <w:rFonts w:hint="eastAsia" w:ascii="仿宋_GB2312" w:hAnsi="仿宋_GB2312" w:eastAsia="仿宋_GB2312" w:cs="仿宋_GB2312"/>
          <w:sz w:val="32"/>
          <w:szCs w:val="32"/>
        </w:rPr>
        <w:t>2024年我局完成了三个社区涉及10个小区的维修改造任务，投资资金277.95万元。</w:t>
      </w:r>
      <w:r>
        <w:rPr>
          <w:rFonts w:hint="eastAsia" w:ascii="Calibri" w:hAnsi="Calibri" w:eastAsia="仿宋_GB2312" w:cs="Calibri"/>
          <w:sz w:val="32"/>
          <w:szCs w:val="32"/>
        </w:rPr>
        <w:t>涵盖</w:t>
      </w:r>
      <w:r>
        <w:rPr>
          <w:rFonts w:hint="eastAsia" w:ascii="仿宋_GB2312" w:hAnsi="仿宋_GB2312" w:eastAsia="仿宋_GB2312" w:cs="仿宋_GB2312"/>
          <w:sz w:val="32"/>
          <w:szCs w:val="32"/>
        </w:rPr>
        <w:t>林场、州幼儿园家属楼、州人大住宿楼等小区的雨污管网、门禁道闸系统、屋面防水、场地道路硬化黑化、线路规整、墙面粉刷和楼梯翻新等维修改造工作。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eastAsia="zh-CN"/>
        </w:rPr>
        <w:t>提升</w:t>
      </w:r>
      <w:r>
        <w:rPr>
          <w:rFonts w:hint="eastAsia" w:ascii="仿宋_GB2312" w:hAnsi="仿宋_GB2312" w:eastAsia="仿宋_GB2312" w:cs="仿宋_GB2312"/>
          <w:b/>
          <w:bCs/>
          <w:sz w:val="32"/>
          <w:szCs w:val="32"/>
        </w:rPr>
        <w:t>物业管理水平。</w:t>
      </w:r>
      <w:r>
        <w:rPr>
          <w:rFonts w:hint="eastAsia" w:ascii="仿宋_GB2312" w:hAnsi="仿宋_GB2312" w:eastAsia="仿宋_GB2312" w:cs="仿宋_GB2312"/>
          <w:sz w:val="32"/>
          <w:szCs w:val="32"/>
        </w:rPr>
        <w:t>一方面马尔康市现有22家备案物业公司服务41个小区，我局通过监督管理强化小区卫生、公共设施、秩序管理等提升物业服务水平。另一方面2024年共参与协调物业投诉55起，处理投诉55起。</w:t>
      </w:r>
      <w:r>
        <w:rPr>
          <w:rFonts w:hint="eastAsia" w:ascii="仿宋_GB2312" w:hAnsi="仿宋_GB2312" w:eastAsia="仿宋_GB2312" w:cs="仿宋_GB2312"/>
          <w:b/>
          <w:bCs/>
          <w:sz w:val="32"/>
          <w:szCs w:val="32"/>
        </w:rPr>
        <w:t>三是着力推进农村危房改造。</w:t>
      </w:r>
      <w:r>
        <w:rPr>
          <w:rFonts w:hint="eastAsia" w:ascii="仿宋_GB2312" w:hAnsi="仿宋_GB2312" w:eastAsia="仿宋_GB2312" w:cs="仿宋_GB2312"/>
          <w:sz w:val="32"/>
          <w:szCs w:val="32"/>
        </w:rPr>
        <w:t>遵照执行《关于做好农村低收入群体等重点对象住房安全保障工作的实施意见》，加大对农村低收入群体等重点对象危房改造的支持力度，建立健全农村低收入群体住房安全保障长效机制，印发了《关于建立马尔康市脱贫攻坚住房安全有保障日常动态检查巡查机制（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。2024年全市六类对象有24户危房改造动工，22户竣工。</w:t>
      </w:r>
      <w:r>
        <w:rPr>
          <w:rFonts w:hint="eastAsia" w:ascii="仿宋_GB2312" w:hAnsi="仿宋_GB2312" w:eastAsia="仿宋_GB2312" w:cs="仿宋_GB2312"/>
          <w:b/>
          <w:bCs/>
          <w:sz w:val="32"/>
          <w:szCs w:val="32"/>
        </w:rPr>
        <w:t>四是有序开展住房安居工程。</w:t>
      </w:r>
      <w:r>
        <w:rPr>
          <w:rFonts w:hint="eastAsia" w:ascii="仿宋_GB2312" w:hAnsi="仿宋_GB2312" w:eastAsia="仿宋_GB2312" w:cs="仿宋_GB2312"/>
          <w:sz w:val="32"/>
          <w:szCs w:val="32"/>
        </w:rPr>
        <w:t>2024年355户城镇困难群众获得住房安全保障，其中240户实现实物配租，115户获得住房救助补贴，做到应保尽保。</w:t>
      </w:r>
      <w:r>
        <w:rPr>
          <w:rFonts w:hint="eastAsia" w:ascii="仿宋_GB2312" w:hAnsi="仿宋_GB2312" w:eastAsia="仿宋_GB2312" w:cs="仿宋_GB2312"/>
          <w:b/>
          <w:bCs/>
          <w:sz w:val="32"/>
          <w:szCs w:val="32"/>
        </w:rPr>
        <w:t>五是既有住宅增设电梯。</w:t>
      </w:r>
      <w:r>
        <w:rPr>
          <w:rFonts w:hint="eastAsia" w:ascii="仿宋_GB2312" w:hAnsi="仿宋_GB2312" w:eastAsia="仿宋_GB2312" w:cs="仿宋_GB2312"/>
          <w:sz w:val="32"/>
          <w:szCs w:val="32"/>
        </w:rPr>
        <w:t>2024年州级下达既有住宅增设电梯20部任务，我市实际完成32部并完成备案，已兑现电梯奖补资金800万元，提升了老旧小区宜居水平。</w:t>
      </w:r>
    </w:p>
    <w:p w14:paraId="50CD4E9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建筑企业：全链监管稳发展</w:t>
      </w:r>
    </w:p>
    <w:p w14:paraId="7558C79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一是严格招投标监管。</w:t>
      </w:r>
      <w:r>
        <w:rPr>
          <w:rFonts w:hint="eastAsia" w:ascii="仿宋_GB2312" w:hAnsi="仿宋_GB2312" w:eastAsia="仿宋_GB2312" w:cs="仿宋_GB2312"/>
          <w:sz w:val="32"/>
          <w:szCs w:val="32"/>
        </w:rPr>
        <w:t>2024年共计完成22个项目的招投标监督工作。依法对建设工程项目的公开招投标进行监督管理，强化开标评标的程序，不弱化和</w:t>
      </w:r>
      <w:r>
        <w:rPr>
          <w:rFonts w:hint="eastAsia" w:ascii="仿宋_GB2312" w:hAnsi="仿宋_GB2312" w:eastAsia="仿宋_GB2312" w:cs="仿宋_GB2312"/>
          <w:sz w:val="32"/>
          <w:szCs w:val="32"/>
          <w:lang w:eastAsia="zh-CN"/>
        </w:rPr>
        <w:t>简化</w:t>
      </w:r>
      <w:r>
        <w:rPr>
          <w:rFonts w:hint="eastAsia" w:ascii="仿宋_GB2312" w:hAnsi="仿宋_GB2312" w:eastAsia="仿宋_GB2312" w:cs="仿宋_GB2312"/>
          <w:sz w:val="32"/>
          <w:szCs w:val="32"/>
        </w:rPr>
        <w:t>程序，确保招标评标的完备性、规范性。</w:t>
      </w:r>
      <w:r>
        <w:rPr>
          <w:rFonts w:hint="eastAsia" w:ascii="仿宋_GB2312" w:hAnsi="仿宋_GB2312" w:eastAsia="仿宋_GB2312" w:cs="仿宋_GB2312"/>
          <w:b/>
          <w:bCs/>
          <w:sz w:val="32"/>
          <w:szCs w:val="32"/>
        </w:rPr>
        <w:t>二是把控施工图审查。</w:t>
      </w:r>
      <w:r>
        <w:rPr>
          <w:rFonts w:hint="eastAsia" w:ascii="仿宋_GB2312" w:hAnsi="仿宋_GB2312" w:eastAsia="仿宋_GB2312" w:cs="仿宋_GB2312"/>
          <w:sz w:val="32"/>
          <w:szCs w:val="32"/>
        </w:rPr>
        <w:t>2024年完成施工图审查备案共计14个项目。严格执行了绿色建筑标准，对建设工程施工图设计文件和公共建筑节能设计审查备案管理，把好建筑节能工作的入口关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将绿色建筑纳入设计要求中。对于未进行建筑节能设计的施工图不予备案。</w:t>
      </w:r>
      <w:r>
        <w:rPr>
          <w:rFonts w:hint="eastAsia" w:ascii="仿宋_GB2312" w:hAnsi="仿宋_GB2312" w:eastAsia="仿宋_GB2312" w:cs="仿宋_GB2312"/>
          <w:b/>
          <w:bCs/>
          <w:sz w:val="32"/>
          <w:szCs w:val="32"/>
        </w:rPr>
        <w:t>三是推进初步设计评审。</w:t>
      </w:r>
      <w:r>
        <w:rPr>
          <w:rFonts w:hint="eastAsia" w:ascii="仿宋_GB2312" w:hAnsi="仿宋_GB2312" w:eastAsia="仿宋_GB2312" w:cs="仿宋_GB2312"/>
          <w:sz w:val="32"/>
          <w:szCs w:val="32"/>
        </w:rPr>
        <w:t>严格按照相关的法律法规执行，</w:t>
      </w:r>
      <w:r>
        <w:rPr>
          <w:rFonts w:hint="eastAsia" w:ascii="仿宋_GB2312" w:hAnsi="仿宋_GB2312" w:eastAsia="仿宋_GB2312" w:cs="仿宋_GB2312"/>
          <w:sz w:val="32"/>
          <w:szCs w:val="32"/>
          <w:lang w:val="en-US" w:eastAsia="zh-CN"/>
        </w:rPr>
        <w:t>截至</w:t>
      </w:r>
      <w:r>
        <w:rPr>
          <w:rFonts w:hint="eastAsia" w:ascii="仿宋_GB2312" w:hAnsi="仿宋_GB2312" w:eastAsia="仿宋_GB2312" w:cs="仿宋_GB2312"/>
          <w:sz w:val="32"/>
          <w:szCs w:val="32"/>
        </w:rPr>
        <w:t>目前共计参与11个市政基础设施建设的初步设计评审。</w:t>
      </w:r>
      <w:r>
        <w:rPr>
          <w:rFonts w:hint="eastAsia" w:ascii="仿宋_GB2312" w:hAnsi="仿宋_GB2312" w:eastAsia="仿宋_GB2312" w:cs="仿宋_GB2312"/>
          <w:b/>
          <w:bCs/>
          <w:sz w:val="32"/>
          <w:szCs w:val="32"/>
        </w:rPr>
        <w:t>四是做好行业数据统计。</w:t>
      </w:r>
      <w:r>
        <w:rPr>
          <w:rFonts w:hint="eastAsia" w:ascii="仿宋_GB2312" w:hAnsi="仿宋_GB2312" w:eastAsia="仿宋_GB2312" w:cs="仿宋_GB2312"/>
          <w:sz w:val="32"/>
          <w:szCs w:val="32"/>
        </w:rPr>
        <w:t>严格按照州局要求，对马尔康市注册的34家建筑企业进行调查统计，其中入统企业17家。2024年第一季度完成总产值0.39亿元，同比增长56.9%；第二季度累计完成总产值0.99亿元，同比增长91.8%。第三季度累计完成总产值2.11亿元，同比增长17.3%。</w:t>
      </w:r>
      <w:r>
        <w:rPr>
          <w:rFonts w:hint="eastAsia" w:ascii="仿宋_GB2312" w:hAnsi="仿宋_GB2312" w:eastAsia="仿宋_GB2312" w:cs="仿宋_GB2312"/>
          <w:b/>
          <w:bCs/>
          <w:sz w:val="32"/>
          <w:szCs w:val="32"/>
        </w:rPr>
        <w:t>五是强化消防审查备案。</w:t>
      </w:r>
      <w:r>
        <w:rPr>
          <w:rFonts w:hint="eastAsia" w:ascii="仿宋_GB2312" w:hAnsi="仿宋_GB2312" w:eastAsia="仿宋_GB2312" w:cs="仿宋_GB2312"/>
          <w:sz w:val="32"/>
          <w:szCs w:val="32"/>
        </w:rPr>
        <w:t>严格按照消防审查工作细则要求，以第三方服务机构审查意见及专家论证的报告为依据，对建设工程施工图设计和消防专项审查进行备案管理，出具消防设计审查意见书。今年共计完成5个在建项目的消防审查。</w:t>
      </w:r>
      <w:r>
        <w:rPr>
          <w:rFonts w:hint="eastAsia" w:ascii="仿宋_GB2312" w:hAnsi="仿宋_GB2312" w:eastAsia="仿宋_GB2312" w:cs="仿宋_GB2312"/>
          <w:b/>
          <w:bCs/>
          <w:sz w:val="32"/>
          <w:szCs w:val="32"/>
        </w:rPr>
        <w:t>六是保障农民工权益。</w:t>
      </w:r>
      <w:r>
        <w:rPr>
          <w:rFonts w:hint="eastAsia" w:ascii="仿宋_GB2312" w:hAnsi="仿宋_GB2312" w:eastAsia="仿宋_GB2312" w:cs="仿宋_GB2312"/>
          <w:sz w:val="32"/>
          <w:szCs w:val="32"/>
        </w:rPr>
        <w:t>开展施工单位民工工资支付情况专项检查，配合人力资源保障等部门解决建设领域拖欠民工工资问题，推行建筑劳务人员实名制管理。明确建筑施工总承包、专业承包企业不得要求建筑劳务企业垫资承包或拖欠劳务费用。目前我市在建项目未出现拖欠工资的情况。</w:t>
      </w:r>
    </w:p>
    <w:p w14:paraId="550C71C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（五）质量监督：锚定准则护安全</w:t>
      </w:r>
    </w:p>
    <w:p w14:paraId="032C4E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2024年全市在建项目受监督工程项目75个，总造价约29亿元，总建筑面积47万平方米。其中：跨年工程51个，新增项目23个，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目前已完工项目31个，已竣工验收项目25个，在建19个。</w:t>
      </w:r>
      <w:r>
        <w:rPr>
          <w:rFonts w:hint="eastAsia" w:ascii="仿宋_GB2312" w:hAnsi="仿宋_GB2312" w:eastAsia="仿宋_GB2312" w:cs="仿宋_GB2312"/>
          <w:b/>
          <w:bCs/>
          <w:sz w:val="32"/>
          <w:szCs w:val="32"/>
        </w:rPr>
        <w:t>一是高效办结监督业务。</w:t>
      </w:r>
      <w:r>
        <w:rPr>
          <w:rFonts w:hint="eastAsia" w:ascii="仿宋_GB2312" w:hAnsi="仿宋_GB2312" w:eastAsia="仿宋_GB2312" w:cs="仿宋_GB2312"/>
          <w:sz w:val="32"/>
          <w:szCs w:val="32"/>
        </w:rPr>
        <w:t>依托四川省政务一体化平台，受理并办结工程质量安全监督12项，建设工程消防验收及备案6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，竣工验收备案4项。</w:t>
      </w:r>
      <w:r>
        <w:rPr>
          <w:rFonts w:hint="eastAsia" w:ascii="仿宋_GB2312" w:hAnsi="仿宋_GB2312" w:eastAsia="仿宋_GB2312" w:cs="仿宋_GB2312"/>
          <w:b/>
          <w:bCs/>
          <w:sz w:val="32"/>
          <w:szCs w:val="32"/>
        </w:rPr>
        <w:t>二是强化工程实体监督。</w:t>
      </w:r>
      <w:r>
        <w:rPr>
          <w:rFonts w:hint="eastAsia" w:ascii="仿宋_GB2312" w:hAnsi="仿宋_GB2312" w:eastAsia="仿宋_GB2312" w:cs="仿宋_GB2312"/>
          <w:sz w:val="32"/>
          <w:szCs w:val="32"/>
        </w:rPr>
        <w:t>参与工程实体监督200余次，包括隐蔽工程验收、分部工程验收、单位工程验收及竣工验收、安全监督检查等。</w:t>
      </w:r>
      <w:r>
        <w:rPr>
          <w:rFonts w:hint="eastAsia" w:ascii="仿宋_GB2312" w:hAnsi="仿宋_GB2312" w:eastAsia="仿宋_GB2312" w:cs="仿宋_GB2312"/>
          <w:b/>
          <w:bCs/>
          <w:sz w:val="32"/>
          <w:szCs w:val="32"/>
        </w:rPr>
        <w:t>三是调研落实材料价格。</w:t>
      </w:r>
      <w:r>
        <w:rPr>
          <w:rFonts w:hint="eastAsia" w:ascii="仿宋_GB2312" w:hAnsi="仿宋_GB2312" w:eastAsia="仿宋_GB2312" w:cs="仿宋_GB2312"/>
          <w:sz w:val="32"/>
          <w:szCs w:val="32"/>
        </w:rPr>
        <w:t>开展材料价格调查11期，并开展了商品混凝土价格测算工作。</w:t>
      </w:r>
      <w:r>
        <w:rPr>
          <w:rFonts w:hint="eastAsia" w:ascii="仿宋_GB2312" w:hAnsi="仿宋_GB2312" w:eastAsia="仿宋_GB2312" w:cs="仿宋_GB2312"/>
          <w:b/>
          <w:bCs/>
          <w:sz w:val="32"/>
          <w:szCs w:val="32"/>
        </w:rPr>
        <w:t>四是设备与施工安全管控。</w:t>
      </w:r>
      <w:r>
        <w:rPr>
          <w:rFonts w:hint="eastAsia" w:ascii="仿宋_GB2312" w:hAnsi="仿宋_GB2312" w:eastAsia="仿宋_GB2312" w:cs="仿宋_GB2312"/>
          <w:sz w:val="32"/>
          <w:szCs w:val="32"/>
        </w:rPr>
        <w:t>结合每月的质量安全例行巡查，重点检查辖区内施工起重机械的备案登记、安装验收及检测、维护保养及责任单位的隐患排查治理。开展工程质量、安全文明施工及扬尘防治例行巡查工作11次，主要检查各在建项目各方责任主体质量行为、相关人员到岗履职情况，排查整治工程实体质量、施工现场安全隐患及文明施工问题。开展重大事故隐患排查整治工作，并对省厅检查发现的重大事故隐患跟踪督办。</w:t>
      </w:r>
      <w:r>
        <w:rPr>
          <w:rFonts w:hint="eastAsia" w:ascii="仿宋_GB2312" w:hAnsi="仿宋_GB2312" w:eastAsia="仿宋_GB2312" w:cs="仿宋_GB2312"/>
          <w:b/>
          <w:bCs/>
          <w:sz w:val="32"/>
          <w:szCs w:val="32"/>
        </w:rPr>
        <w:t>五是依法处理投诉问题。</w:t>
      </w:r>
      <w:r>
        <w:rPr>
          <w:rFonts w:hint="eastAsia" w:ascii="仿宋_GB2312" w:hAnsi="仿宋_GB2312" w:eastAsia="仿宋_GB2312" w:cs="仿宋_GB2312"/>
          <w:sz w:val="32"/>
          <w:szCs w:val="32"/>
        </w:rPr>
        <w:t>针对施工噪音扰民、扬尘污染等各类投诉，对建筑工地提出进一步规范施工要求，维护群众合法权益。</w:t>
      </w:r>
      <w:r>
        <w:rPr>
          <w:rFonts w:hint="eastAsia" w:ascii="Calibri" w:hAnsi="Calibri" w:eastAsia="仿宋_GB2312" w:cs="Calibri"/>
          <w:b/>
          <w:bCs/>
          <w:sz w:val="32"/>
          <w:szCs w:val="32"/>
        </w:rPr>
        <w:t>六</w:t>
      </w:r>
      <w:r>
        <w:rPr>
          <w:rFonts w:hint="eastAsia" w:ascii="仿宋_GB2312" w:hAnsi="仿宋_GB2312" w:eastAsia="仿宋_GB2312" w:cs="仿宋_GB2312"/>
          <w:b/>
          <w:bCs/>
          <w:sz w:val="32"/>
          <w:szCs w:val="32"/>
        </w:rPr>
        <w:t>是严格联合执法检查。</w:t>
      </w:r>
      <w:r>
        <w:rPr>
          <w:rFonts w:hint="eastAsia" w:ascii="仿宋_GB2312" w:hAnsi="仿宋_GB2312" w:eastAsia="仿宋_GB2312" w:cs="仿宋_GB2312"/>
          <w:sz w:val="32"/>
          <w:szCs w:val="32"/>
        </w:rPr>
        <w:t>联合市综合执法局开展多次执法检查，对发现的违法行为及时移交执法处理。</w:t>
      </w:r>
      <w:r>
        <w:rPr>
          <w:rFonts w:hint="eastAsia" w:ascii="Calibri" w:hAnsi="Calibri" w:eastAsia="仿宋_GB2312" w:cs="Calibri"/>
          <w:b/>
          <w:bCs/>
          <w:sz w:val="32"/>
          <w:szCs w:val="32"/>
        </w:rPr>
        <w:t>七</w:t>
      </w:r>
      <w:r>
        <w:rPr>
          <w:rFonts w:hint="eastAsia" w:ascii="仿宋_GB2312" w:hAnsi="仿宋_GB2312" w:eastAsia="仿宋_GB2312" w:cs="仿宋_GB2312"/>
          <w:b/>
          <w:bCs/>
          <w:sz w:val="32"/>
          <w:szCs w:val="32"/>
        </w:rPr>
        <w:t>是整治工地乱象行动。</w:t>
      </w:r>
      <w:r>
        <w:rPr>
          <w:rFonts w:hint="eastAsia" w:ascii="仿宋_GB2312" w:hAnsi="仿宋_GB2312" w:eastAsia="仿宋_GB2312" w:cs="仿宋_GB2312"/>
          <w:sz w:val="32"/>
          <w:szCs w:val="32"/>
        </w:rPr>
        <w:t>在州住建局的领导下，及时开展工地乱象整治专项行动，督促尘埃落定项目规范工地打围、硬化、规范设置喷淋设施，提升施工现场管理水平。</w:t>
      </w:r>
    </w:p>
    <w:p w14:paraId="7383692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（六）房屋交易：精细服务显规范</w:t>
      </w:r>
    </w:p>
    <w:p w14:paraId="55230C8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一是信息查询与核查服务。</w:t>
      </w:r>
      <w:r>
        <w:rPr>
          <w:rFonts w:hint="eastAsia" w:ascii="仿宋_GB2312" w:hAnsi="仿宋_GB2312" w:eastAsia="仿宋_GB2312" w:cs="仿宋_GB2312"/>
          <w:sz w:val="32"/>
          <w:szCs w:val="32"/>
        </w:rPr>
        <w:t>廉租公租住房入住资格的信息查询约2950次。领导干部房屋信息核查104批次约1500人。完成州级、市级周转房核查任务共计1400人次。</w:t>
      </w:r>
      <w:r>
        <w:rPr>
          <w:rFonts w:hint="eastAsia" w:ascii="仿宋_GB2312" w:hAnsi="仿宋_GB2312" w:eastAsia="仿宋_GB2312" w:cs="仿宋_GB2312"/>
          <w:b/>
          <w:bCs/>
          <w:sz w:val="32"/>
          <w:szCs w:val="32"/>
        </w:rPr>
        <w:t>二是房屋交易备案管理。</w:t>
      </w:r>
      <w:r>
        <w:rPr>
          <w:rFonts w:hint="eastAsia" w:ascii="仿宋_GB2312" w:hAnsi="仿宋_GB2312" w:eastAsia="仿宋_GB2312" w:cs="仿宋_GB2312"/>
          <w:sz w:val="32"/>
          <w:szCs w:val="32"/>
        </w:rPr>
        <w:t>存量房网上签约备案交易218户，交易面积约22840.96平方米，交易金额12097.04万元。商品房销售合同备案244套，销售面积约25068.09平方米，销售金额254019168.4万元。棚户区改造及动迁房手工备案339套。</w:t>
      </w:r>
      <w:r>
        <w:rPr>
          <w:rFonts w:hint="eastAsia" w:ascii="仿宋_GB2312" w:hAnsi="仿宋_GB2312" w:eastAsia="仿宋_GB2312" w:cs="仿宋_GB2312"/>
          <w:b/>
          <w:bCs/>
          <w:sz w:val="32"/>
          <w:szCs w:val="32"/>
        </w:rPr>
        <w:t>三是预售资金监管。</w:t>
      </w:r>
      <w:r>
        <w:rPr>
          <w:rFonts w:hint="eastAsia" w:ascii="仿宋_GB2312" w:hAnsi="仿宋_GB2312" w:eastAsia="仿宋_GB2312" w:cs="仿宋_GB2312"/>
          <w:sz w:val="32"/>
          <w:szCs w:val="32"/>
        </w:rPr>
        <w:t>完成预售资金监管项目太阳公馆、康城锦地2个。办理资金监管资金缴存28157.87万元，办理资金拨付业务370笔。</w:t>
      </w:r>
      <w:r>
        <w:rPr>
          <w:rFonts w:hint="eastAsia" w:ascii="仿宋_GB2312" w:hAnsi="仿宋_GB2312" w:eastAsia="仿宋_GB2312" w:cs="仿宋_GB2312"/>
          <w:b/>
          <w:bCs/>
          <w:sz w:val="32"/>
          <w:szCs w:val="32"/>
        </w:rPr>
        <w:t>四是遗留问题解决。</w:t>
      </w:r>
      <w:r>
        <w:rPr>
          <w:rFonts w:hint="eastAsia" w:ascii="仿宋_GB2312" w:hAnsi="仿宋_GB2312" w:eastAsia="仿宋_GB2312" w:cs="仿宋_GB2312"/>
          <w:sz w:val="32"/>
          <w:szCs w:val="32"/>
        </w:rPr>
        <w:t>完成办理因历史遗留问题导致未完善不动产登记信息2处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维宏达小区和马林局棚户区，涉及住户317户的备案和不动产权登记。</w:t>
      </w:r>
      <w:r>
        <w:rPr>
          <w:rFonts w:hint="eastAsia" w:ascii="仿宋_GB2312" w:hAnsi="仿宋_GB2312" w:eastAsia="仿宋_GB2312" w:cs="仿宋_GB2312"/>
          <w:b/>
          <w:bCs/>
          <w:sz w:val="32"/>
          <w:szCs w:val="32"/>
        </w:rPr>
        <w:t>五是房产市场报表。</w:t>
      </w:r>
      <w:r>
        <w:rPr>
          <w:rFonts w:hint="eastAsia" w:ascii="仿宋_GB2312" w:hAnsi="仿宋_GB2312" w:eastAsia="仿宋_GB2312" w:cs="仿宋_GB2312"/>
          <w:sz w:val="32"/>
          <w:szCs w:val="32"/>
        </w:rPr>
        <w:t>按时完成房地产市场月报、年报报表。</w:t>
      </w:r>
    </w:p>
    <w:p w14:paraId="18F6654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（七）市政运维：多元举措惠民生</w:t>
      </w:r>
    </w:p>
    <w:p w14:paraId="3EE80EC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1.攻坚污水治理，提升处理效能</w:t>
      </w:r>
    </w:p>
    <w:p w14:paraId="2D2FD8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为解决马尔康市雨污分流不彻底，污水处理能力不足的问题，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通过多次开展专题推进会、现场督办等方式加快马尔康市城市生活污水处理厂（二期）及配套管网建设工程项目进度，解决污水处理量不足的硬件问题。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组织专业力量对城区主管网及支管网进行拉网式全覆盖排查，发现问题立即处置。</w:t>
      </w:r>
    </w:p>
    <w:p w14:paraId="633E165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2.收转农村垃圾，完善清运体系</w:t>
      </w:r>
    </w:p>
    <w:p w14:paraId="269CDB2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指导并督促第三方生活垃圾运营公司，按照“村收集、乡转运、片区处理”的模式，将垃圾压缩车按片区划分开展清运工作。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加强沟通，适时将乡（镇）、村组人员流动情况和节假日娱乐活动相结合，动态调整清运频次和力量，进一步强化清运力度，争取生活垃圾日产日清。</w:t>
      </w:r>
    </w:p>
    <w:p w14:paraId="5EAF672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3.严管城市垃圾，守护环境安全</w:t>
      </w:r>
    </w:p>
    <w:p w14:paraId="2125221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全年无害化处置生活垃圾约1.69万吨，处理率达95.4%。</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完成尾气常规监测，在线监测设备正常运行，确保尾气排放量在正常值范围，同时确保尾气排放得到有效监管。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完成生活垃圾填埋场地下水监测，对地下水受污染的范围和程度形成有效掌控。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全年处置填埋场渗滤液约16000m³。</w:t>
      </w:r>
    </w:p>
    <w:p w14:paraId="089C22B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4.精细设施管护，保障市政运行</w:t>
      </w:r>
    </w:p>
    <w:p w14:paraId="0179D5A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ascii="仿宋_GB2312" w:hAnsi="仿宋_GB2312" w:eastAsia="仿宋_GB2312" w:cs="仿宋_GB2312"/>
          <w:sz w:val="32"/>
          <w:szCs w:val="32"/>
        </w:rPr>
        <w:t>安排专业维修维护队伍对市政设施设备随坏随修，采取巡查、领导发现安排，群众来信来电举报，网格反馈安排等多种方式，收集汇总市政设施设备损坏情况</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ascii="仿宋_GB2312" w:hAnsi="仿宋_GB2312" w:eastAsia="仿宋_GB2312" w:cs="仿宋_GB2312"/>
          <w:sz w:val="32"/>
          <w:szCs w:val="32"/>
        </w:rPr>
        <w:t>全年修缮城区下沉井盖及路面20余处，修缮破损人行道地砖46平方，疏通雨水、污水管网42处，修缮人行道护栏6处，更换破损果皮箱1处，维修更换路灯灯泡700余个，更换损坏路灯时控器1个，更换损坏路灯线路100余米，更换路灯灯头50余个，配合协调电力公司修改路灯线路，修复更改夜景亮化线路6处。</w:t>
      </w:r>
    </w:p>
    <w:p w14:paraId="32FA811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5.强化燃气监管，筑牢安全防线</w:t>
      </w:r>
    </w:p>
    <w:p w14:paraId="1761E23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联合相关职能部门、燃气企业对辖区内所有涉及经营、使用燃气的餐饮、酒店及居民住宅区进行“地毯式”大排查共12次。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积极推进“瓶改管”工作，目前该项工作已如期完成既定任务数。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开展燃气经营企业安全生产工作及餐饮企业燃气使用安全日常巡查检查。</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针对督导组检查发现的26个隐患问题，督促燃气企业，举一反三，对标对表要求企业认真落实整改。</w:t>
      </w:r>
    </w:p>
    <w:p w14:paraId="6FB9F8EB">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6.排水防涝有力，防范内涝风险</w:t>
      </w:r>
    </w:p>
    <w:p w14:paraId="3D0911D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2024年对我市25.53公里的污水收集主管网进行管网隐患排查巡检工作200余次，维修维护检查井30余处，同时安排组织人员每日对沿河25.5主管网进行巡检。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加大了对重点关注易涝点的跟踪处置工作，时刻确保易涝点位管网畅通。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切实做好我市窨井盖巡查管理工作，全年排查窨井盖603处，安装防坠网145处，发现问题57处，均已完成整改，强化</w:t>
      </w:r>
      <w:r>
        <w:rPr>
          <w:rFonts w:hint="eastAsia" w:ascii="Calibri" w:hAnsi="Calibri" w:eastAsia="仿宋_GB2312" w:cs="Calibri"/>
          <w:sz w:val="32"/>
          <w:szCs w:val="32"/>
        </w:rPr>
        <w:t>了</w:t>
      </w:r>
      <w:r>
        <w:rPr>
          <w:rFonts w:hint="eastAsia" w:ascii="仿宋_GB2312" w:hAnsi="仿宋_GB2312" w:eastAsia="仿宋_GB2312" w:cs="仿宋_GB2312"/>
          <w:sz w:val="32"/>
          <w:szCs w:val="32"/>
        </w:rPr>
        <w:t>市政维护力度。</w:t>
      </w:r>
    </w:p>
    <w:p w14:paraId="34AECBB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7.规范店招审批，焕新市容市貌</w:t>
      </w:r>
    </w:p>
    <w:p w14:paraId="042163F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我局2024年以来共审批店招申请94处，大型户外广告1处。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对市区内户外广告、标语标牌、店招店牌开展巡查工作30余次，排查户外广告共32处，标语标牌排查450余处，店招店牌共320余处。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在排查过程中加强对户外广告、标语标牌、店招店牌设施动火作业安全的监管，复核文字内容并按照规范藏文督促商家进行整改。</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向商家和市民广泛宣传招牌设施管理和户外广告的相关规定。</w:t>
      </w:r>
    </w:p>
    <w:p w14:paraId="26B69E6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8.其他工作</w:t>
      </w:r>
    </w:p>
    <w:p w14:paraId="7C490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开展日常传统村落和历史建筑保护工作，我市共申报成功10个传统村落，申报10个村落纳入传统村落后备村。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开展马尔康市地下管网和地下管廊建设改造实施方案，该方案已报州住建局审查。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开展编制马尔康市城市更新改造规划，该规划已完成初稿编制。</w:t>
      </w:r>
    </w:p>
    <w:p w14:paraId="0A2B34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（八）城乡环境：攻坚乱象</w:t>
      </w:r>
      <w:r>
        <w:rPr>
          <w:rFonts w:hint="eastAsia" w:ascii="楷体_GB2312" w:hAnsi="楷体_GB2312" w:eastAsia="楷体_GB2312" w:cs="楷体_GB2312"/>
          <w:b/>
          <w:bCs/>
          <w:sz w:val="32"/>
          <w:szCs w:val="32"/>
          <w:lang w:val="en-US" w:eastAsia="zh-CN"/>
        </w:rPr>
        <w:t>重整治</w:t>
      </w:r>
    </w:p>
    <w:p w14:paraId="6AE1E39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color w:val="auto"/>
          <w:highlight w:val="none"/>
          <w:lang w:val="en-US" w:eastAsia="zh-CN"/>
        </w:rPr>
      </w:pPr>
      <w:r>
        <w:rPr>
          <w:rFonts w:hint="eastAsia" w:ascii="仿宋_GB2312" w:hAnsi="仿宋_GB2312" w:eastAsia="仿宋_GB2312" w:cs="仿宋_GB2312"/>
          <w:b/>
          <w:bCs/>
          <w:sz w:val="32"/>
          <w:szCs w:val="32"/>
        </w:rPr>
        <w:t>一是开展高频巡查。</w:t>
      </w:r>
      <w:r>
        <w:rPr>
          <w:rFonts w:hint="eastAsia" w:ascii="仿宋_GB2312" w:hAnsi="仿宋_GB2312" w:eastAsia="仿宋_GB2312" w:cs="仿宋_GB2312"/>
          <w:sz w:val="32"/>
          <w:szCs w:val="32"/>
        </w:rPr>
        <w:t>2024年城乡环境质量提升行动工作累计出动巡查人次600余次，发现并整改问题1000余处，共清理卫生死角垃圾70</w:t>
      </w:r>
      <w:r>
        <w:rPr>
          <w:rFonts w:hint="eastAsia" w:ascii="仿宋_GB2312" w:hAnsi="仿宋_GB2312" w:eastAsia="仿宋_GB2312" w:cs="仿宋_GB2312"/>
          <w:sz w:val="32"/>
          <w:szCs w:val="32"/>
          <w:lang w:eastAsia="zh-CN"/>
        </w:rPr>
        <w:t>余吨</w:t>
      </w:r>
      <w:r>
        <w:rPr>
          <w:rFonts w:hint="eastAsia" w:ascii="仿宋_GB2312" w:hAnsi="仿宋_GB2312" w:eastAsia="仿宋_GB2312" w:cs="仿宋_GB2312"/>
          <w:sz w:val="32"/>
          <w:szCs w:val="32"/>
        </w:rPr>
        <w:t>，清理水上漂浮物30余吨（含河道两侧）。</w:t>
      </w:r>
      <w:r>
        <w:rPr>
          <w:rFonts w:hint="eastAsia" w:ascii="仿宋_GB2312" w:hAnsi="仿宋_GB2312" w:eastAsia="仿宋_GB2312" w:cs="仿宋_GB2312"/>
          <w:b/>
          <w:bCs/>
          <w:sz w:val="32"/>
          <w:szCs w:val="32"/>
        </w:rPr>
        <w:t>二是整治经营秩序</w:t>
      </w:r>
      <w:r>
        <w:rPr>
          <w:rFonts w:hint="eastAsia" w:ascii="仿宋_GB2312" w:hAnsi="仿宋_GB2312" w:eastAsia="仿宋_GB2312" w:cs="仿宋_GB2312"/>
          <w:sz w:val="32"/>
          <w:szCs w:val="32"/>
        </w:rPr>
        <w:t>。清理和规范流动摊贩、占道经营2000余起，治理公厕脏乱差60余处，治理工地乱象30余起。发出整改通知书50余份。</w:t>
      </w:r>
      <w:r>
        <w:rPr>
          <w:rFonts w:hint="eastAsia"/>
          <w:color w:val="auto"/>
          <w:highlight w:val="none"/>
          <w:lang w:val="en-US" w:eastAsia="zh-CN"/>
        </w:rPr>
        <w:t xml:space="preserve">    </w:t>
      </w:r>
    </w:p>
    <w:p w14:paraId="69C5865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年度我单位在上级部门的坚强领导下，圆满完成了单位年度任务。故此项得15分。</w:t>
      </w:r>
    </w:p>
    <w:p w14:paraId="38DE12C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4DEA93F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预算管理</w:t>
      </w:r>
      <w:r>
        <w:rPr>
          <w:rFonts w:hint="eastAsia" w:ascii="仿宋_GB2312" w:hAnsi="仿宋_GB2312" w:eastAsia="仿宋_GB2312" w:cs="仿宋_GB2312"/>
          <w:sz w:val="32"/>
          <w:szCs w:val="32"/>
          <w:lang w:val="zh-CN"/>
        </w:rPr>
        <w:t>。</w:t>
      </w:r>
    </w:p>
    <w:p w14:paraId="083428C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预算编制质量</w:t>
      </w:r>
    </w:p>
    <w:p w14:paraId="112BBF4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本部门财政拨款偏离度=|预算执行数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万元=0.00%；202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年未购置设备，不涉及资产配置预算偏离度；未涉及政府采购。</w:t>
      </w:r>
    </w:p>
    <w:p w14:paraId="226444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综上，根据评分标准，该项指标不扣分，得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分。</w:t>
      </w:r>
    </w:p>
    <w:p w14:paraId="46F1C5C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）单位收入统筹</w:t>
      </w:r>
    </w:p>
    <w:p w14:paraId="06EA10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部门未有自有收入，不涉及单位收入统筹。</w:t>
      </w:r>
    </w:p>
    <w:p w14:paraId="28FEC9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w:t>
      </w:r>
    </w:p>
    <w:p w14:paraId="363D6F2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支出执行进度</w:t>
      </w:r>
    </w:p>
    <w:p w14:paraId="5CEDC6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1至6月预算执行数为11689.91万元，部门全年预算数为20600.56万元，1至6月无支出预警金额和支出违规金额。</w:t>
      </w:r>
    </w:p>
    <w:p w14:paraId="010C6A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1至10月预算执行数为16566.45万元，部门全年预算数为20600.56万元，1至10月无支出预警金额和支出违规金额。</w:t>
      </w:r>
    </w:p>
    <w:p w14:paraId="4DD062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综上，根据评分标准，该项指标不扣分，得6分。</w:t>
      </w:r>
    </w:p>
    <w:p w14:paraId="7DD157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（4）预算年终结余</w:t>
      </w:r>
    </w:p>
    <w:p w14:paraId="5F1438D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预算总金额为</w:t>
      </w:r>
      <w:r>
        <w:rPr>
          <w:rFonts w:hint="eastAsia" w:ascii="仿宋_GB2312" w:hAnsi="仿宋_GB2312" w:eastAsia="仿宋_GB2312" w:cs="仿宋_GB2312"/>
          <w:sz w:val="32"/>
          <w:szCs w:val="32"/>
          <w:lang w:val="en-US" w:eastAsia="zh-CN"/>
        </w:rPr>
        <w:t>20600.56</w:t>
      </w:r>
      <w:r>
        <w:rPr>
          <w:rFonts w:hint="default" w:ascii="仿宋_GB2312" w:hAnsi="仿宋_GB2312" w:eastAsia="仿宋_GB2312" w:cs="仿宋_GB2312"/>
          <w:sz w:val="32"/>
          <w:szCs w:val="32"/>
          <w:lang w:val="en-US" w:eastAsia="zh-CN"/>
        </w:rPr>
        <w:t>万元，年终部门预算注销金额为</w:t>
      </w:r>
      <w:r>
        <w:rPr>
          <w:rFonts w:hint="eastAsia" w:ascii="仿宋_GB2312" w:hAnsi="仿宋_GB2312" w:eastAsia="仿宋_GB2312" w:cs="仿宋_GB2312"/>
          <w:sz w:val="32"/>
          <w:szCs w:val="32"/>
          <w:lang w:val="en-US" w:eastAsia="zh-CN"/>
        </w:rPr>
        <w:t>0.00</w:t>
      </w:r>
      <w:r>
        <w:rPr>
          <w:rFonts w:hint="default" w:ascii="仿宋_GB2312" w:hAnsi="仿宋_GB2312" w:eastAsia="仿宋_GB2312" w:cs="仿宋_GB2312"/>
          <w:sz w:val="32"/>
          <w:szCs w:val="32"/>
          <w:lang w:val="en-US" w:eastAsia="zh-CN"/>
        </w:rPr>
        <w:t>万元，结转金额0.00万元</w:t>
      </w:r>
      <w:r>
        <w:rPr>
          <w:rFonts w:hint="eastAsia" w:ascii="仿宋_GB2312" w:hAnsi="仿宋_GB2312" w:eastAsia="仿宋_GB2312" w:cs="仿宋_GB2312"/>
          <w:sz w:val="32"/>
          <w:szCs w:val="32"/>
          <w:lang w:val="en-US" w:eastAsia="zh-CN"/>
        </w:rPr>
        <w:t>。</w:t>
      </w:r>
    </w:p>
    <w:p w14:paraId="07FFEC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综上，根据评分标准，该项指标不扣分，得2分。</w:t>
      </w:r>
    </w:p>
    <w:p w14:paraId="4CDB8DC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（5）严控一般性支出</w:t>
      </w:r>
    </w:p>
    <w:p w14:paraId="5A9281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w:t>
      </w:r>
      <w:r>
        <w:rPr>
          <w:rFonts w:hint="default"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val="en-US" w:eastAsia="zh-CN"/>
        </w:rPr>
        <w:t>一般性支出情况表</w:t>
      </w:r>
    </w:p>
    <w:p w14:paraId="547168D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tbl>
      <w:tblPr>
        <w:tblStyle w:val="20"/>
        <w:tblW w:w="987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6"/>
        <w:gridCol w:w="1373"/>
        <w:gridCol w:w="1373"/>
        <w:gridCol w:w="1315"/>
        <w:gridCol w:w="1025"/>
        <w:gridCol w:w="1436"/>
        <w:gridCol w:w="1436"/>
        <w:gridCol w:w="956"/>
      </w:tblGrid>
      <w:tr w14:paraId="2A7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E731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E56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97249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ECC334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832FB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FE574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F04501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1B97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r>
      <w:tr w14:paraId="00C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5548C7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49CA42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C0D4A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4F38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7B4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09C9A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690514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817"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2CF5A83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r>
      <w:tr w14:paraId="1A4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4F61A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67280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70B55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93CC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C5B534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DB2F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6.55</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28E9E0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B2451B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7409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CB7EF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7C837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AB1AF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2AD344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75D2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943F0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1FEC38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B197E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393B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1D5CD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EDF56C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315804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B7A9EA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6FEEB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6ED4F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D393F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34F1DB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w:t>
            </w:r>
          </w:p>
        </w:tc>
      </w:tr>
      <w:tr w14:paraId="2A5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B52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C8FCB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差旅经费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76B36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36B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4E731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84B27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16.68</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757C73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6008E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r w14:paraId="5A9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27CD4B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CA74AD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办节办展</w:t>
            </w:r>
          </w:p>
          <w:p w14:paraId="5BD26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11F2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6C93E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5291B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1B0C6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2A6B36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E9C2C1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0F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A589EA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2BE3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办公设备</w:t>
            </w:r>
          </w:p>
          <w:p w14:paraId="3D57B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1B3DE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9649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8C3CEA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E567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AAF9A1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FD8F79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3E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2A8F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5E1275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信息网络及软件购置更新经费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A18CE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6EA82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A39BA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5D87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FA66B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094188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2CCC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D082FA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2BC37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E9559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207A5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F14EC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2E40E9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6FD2A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4A9CAD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BC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95F4F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F9A730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5D8E6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16E0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383C5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C5EEB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23.36</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A9B7E8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916668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bl>
    <w:p w14:paraId="6F33DAC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综上，根据评分标准，该项指标扣2分，得3分。</w:t>
      </w:r>
    </w:p>
    <w:p w14:paraId="49D28C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p>
    <w:p w14:paraId="0DD1CA2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财务管理</w:t>
      </w:r>
      <w:r>
        <w:rPr>
          <w:rFonts w:hint="eastAsia" w:ascii="仿宋_GB2312" w:hAnsi="仿宋_GB2312" w:eastAsia="仿宋_GB2312" w:cs="仿宋_GB2312"/>
          <w:sz w:val="32"/>
          <w:szCs w:val="32"/>
          <w:lang w:val="zh-CN"/>
        </w:rPr>
        <w:t>。</w:t>
      </w:r>
    </w:p>
    <w:p w14:paraId="69A5240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财务管理制度</w:t>
      </w:r>
    </w:p>
    <w:p w14:paraId="478C5F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已建立《</w:t>
      </w:r>
      <w:r>
        <w:rPr>
          <w:rFonts w:hint="eastAsia" w:ascii="仿宋_GB2312" w:hAnsi="仿宋_GB2312" w:eastAsia="仿宋_GB2312" w:cs="仿宋_GB2312"/>
          <w:sz w:val="32"/>
          <w:szCs w:val="32"/>
          <w:lang w:val="en-US" w:eastAsia="zh-CN"/>
        </w:rPr>
        <w:t>马尔康市住房和城乡建设局财务管理制度</w:t>
      </w:r>
      <w:r>
        <w:rPr>
          <w:rFonts w:hint="eastAsia" w:ascii="仿宋_GB2312" w:hAnsi="仿宋_GB2312" w:eastAsia="仿宋_GB2312" w:cs="仿宋_GB2312"/>
          <w:sz w:val="32"/>
          <w:szCs w:val="32"/>
          <w:lang w:val="zh-CN" w:eastAsia="zh-CN"/>
        </w:rPr>
        <w:t>》，并将制度严格落到实处。</w:t>
      </w:r>
    </w:p>
    <w:p w14:paraId="50A69CB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综上，根据评分标准，该项指标不扣分，得4分。</w:t>
      </w:r>
    </w:p>
    <w:p w14:paraId="16CDA97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）财务岗位设置</w:t>
      </w:r>
    </w:p>
    <w:p w14:paraId="4E5DF7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已合理设置财务工作岗位，明确职责权限，并严格实行不相容岗位分离，岗位间职责清晰，各岗位按照工作流程有序进行。</w:t>
      </w:r>
    </w:p>
    <w:p w14:paraId="5398CE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综上，根据评分标准，该项指标不扣分，得2分。</w:t>
      </w:r>
    </w:p>
    <w:p w14:paraId="77A8A0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（3）资金使用规范</w:t>
      </w:r>
    </w:p>
    <w:p w14:paraId="3B0A23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资金严格按照相关财务管理制度进行使用，坚持量入为出、确保重点、厉行节约、注重实效、重大经济事项支出由</w:t>
      </w:r>
      <w:r>
        <w:rPr>
          <w:rFonts w:hint="eastAsia" w:ascii="仿宋_GB2312" w:hAnsi="仿宋_GB2312" w:eastAsia="仿宋_GB2312" w:cs="仿宋_GB2312"/>
          <w:sz w:val="32"/>
          <w:szCs w:val="32"/>
          <w:lang w:val="en-US" w:eastAsia="zh-CN"/>
        </w:rPr>
        <w:t>局党组</w:t>
      </w:r>
      <w:r>
        <w:rPr>
          <w:rFonts w:hint="default" w:ascii="仿宋_GB2312" w:hAnsi="仿宋_GB2312" w:eastAsia="仿宋_GB2312" w:cs="仿宋_GB2312"/>
          <w:sz w:val="32"/>
          <w:szCs w:val="32"/>
          <w:lang w:val="en-US" w:eastAsia="zh-CN"/>
        </w:rPr>
        <w:t>集体决策研究决定的原则，保证资金使用合法合规</w:t>
      </w:r>
      <w:r>
        <w:rPr>
          <w:rFonts w:hint="eastAsia" w:ascii="仿宋_GB2312" w:hAnsi="仿宋_GB2312" w:eastAsia="仿宋_GB2312" w:cs="仿宋_GB2312"/>
          <w:sz w:val="32"/>
          <w:szCs w:val="32"/>
          <w:lang w:val="en-US" w:eastAsia="zh-CN"/>
        </w:rPr>
        <w:t>。</w:t>
      </w:r>
    </w:p>
    <w:p w14:paraId="545FCD3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3262912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资产管理</w:t>
      </w:r>
      <w:r>
        <w:rPr>
          <w:rFonts w:hint="eastAsia" w:ascii="仿宋_GB2312" w:hAnsi="仿宋_GB2312" w:eastAsia="仿宋_GB2312" w:cs="仿宋_GB2312"/>
          <w:sz w:val="32"/>
          <w:szCs w:val="32"/>
          <w:lang w:val="zh-CN"/>
        </w:rPr>
        <w:t>。围绕人均资产变化率、资产利用率、资产盘活率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68DC9D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rPr>
        <w:t>采购管理</w:t>
      </w:r>
      <w:r>
        <w:rPr>
          <w:rFonts w:hint="eastAsia" w:ascii="仿宋_GB2312" w:hAnsi="仿宋_GB2312" w:eastAsia="仿宋_GB2312" w:cs="仿宋_GB2312"/>
          <w:sz w:val="32"/>
          <w:szCs w:val="32"/>
          <w:lang w:val="zh-CN"/>
        </w:rPr>
        <w:t>。围绕支持中小企业发展、采购执行率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798C375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（二）部门预算项目绩效分析。</w:t>
      </w:r>
    </w:p>
    <w:p w14:paraId="4BDFD6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常年项目绩效分析。</w:t>
      </w:r>
      <w:r>
        <w:rPr>
          <w:rFonts w:hint="default"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个，涉及预算总金额</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1156.61</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455B4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阶段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项目绩效分析。</w:t>
      </w:r>
      <w:r>
        <w:rPr>
          <w:rFonts w:hint="default" w:ascii="仿宋_GB2312" w:hAnsi="仿宋_GB2312" w:eastAsia="仿宋_GB2312" w:cs="仿宋_GB2312"/>
          <w:sz w:val="32"/>
          <w:szCs w:val="32"/>
          <w:lang w:val="zh-CN" w:eastAsia="zh-CN"/>
        </w:rPr>
        <w:t>该类项目总数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48.36</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7A636FE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项目决策。</w:t>
      </w:r>
    </w:p>
    <w:p w14:paraId="6E91197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决策程序</w:t>
      </w:r>
    </w:p>
    <w:p w14:paraId="699A921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本部门预算阶段项目（含一次性项目）总数为17个，无未履行事前评估程序的部门预算阶段项目。</w:t>
      </w:r>
    </w:p>
    <w:p w14:paraId="68DA4E8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29C05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（2）目标设置</w:t>
      </w:r>
    </w:p>
    <w:p w14:paraId="1E0C45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076E8E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734EDF6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项目入库</w:t>
      </w:r>
    </w:p>
    <w:p w14:paraId="19B41A1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C4454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289236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1A41FE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项目执行</w:t>
      </w:r>
      <w:r>
        <w:rPr>
          <w:rFonts w:hint="eastAsia" w:ascii="仿宋_GB2312" w:hAnsi="仿宋_GB2312" w:eastAsia="仿宋_GB2312" w:cs="仿宋_GB2312"/>
          <w:sz w:val="32"/>
          <w:szCs w:val="32"/>
          <w:lang w:val="zh-CN"/>
        </w:rPr>
        <w:t>。</w:t>
      </w:r>
    </w:p>
    <w:p w14:paraId="50FE9C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）资金执行同向</w:t>
      </w:r>
    </w:p>
    <w:p w14:paraId="0DF5DFF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个，无实际列支内容与绩效目标设置方向不相符的部门预算阶段项目（含一次性项目）。</w:t>
      </w:r>
    </w:p>
    <w:p w14:paraId="07510E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7C86D3E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）项目调整</w:t>
      </w:r>
    </w:p>
    <w:p w14:paraId="1372DD8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不涉及应采取收回预算、调整目标等处置措施的部门预算阶段项目（含一次性项目）。</w:t>
      </w:r>
    </w:p>
    <w:p w14:paraId="64F5FD8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54D880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）执行结果</w:t>
      </w:r>
    </w:p>
    <w:p w14:paraId="5DCB266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预算结余率小于10%的常年项目数量为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个，部门预算常年项目总数为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个，预算结余率小于10%的一次性项目和阶段项目数量为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个，部门预算一次性项目和阶段项目总数为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w:t>
      </w:r>
    </w:p>
    <w:p w14:paraId="2B74EA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综上，根据评分标准，该项指标得4分。</w:t>
      </w:r>
    </w:p>
    <w:p w14:paraId="64D7BBB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p>
    <w:p w14:paraId="4D7266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目标实现。</w:t>
      </w:r>
    </w:p>
    <w:p w14:paraId="1910986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）目标完成</w:t>
      </w:r>
    </w:p>
    <w:p w14:paraId="6A2B5F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个，已完成绩效目标数量指标的部门预算阶段项目（含一次性项目）数量为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702AB8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0473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）目标偏离</w:t>
      </w:r>
    </w:p>
    <w:p w14:paraId="3977448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已完成预期指标值的数量指标中偏离度在30%内的指标个数为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个，已完成预期指标值的数量指标个数为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6E07E8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0B0D9C6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）实现</w:t>
      </w:r>
      <w:r>
        <w:rPr>
          <w:rFonts w:hint="eastAsia" w:ascii="仿宋_GB2312" w:hAnsi="仿宋_GB2312" w:eastAsia="仿宋_GB2312" w:cs="仿宋_GB2312"/>
          <w:sz w:val="32"/>
          <w:szCs w:val="32"/>
          <w:lang w:val="en-US" w:eastAsia="zh-CN"/>
        </w:rPr>
        <w:t>效果</w:t>
      </w:r>
    </w:p>
    <w:p w14:paraId="5AF9B88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个，完成绩效目标效益指标的部门预算阶段项目（含一次性项目）数量为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个，我所预算项目绩效目标效益指标实施效果较好，均已达到设定指标值。</w:t>
      </w:r>
    </w:p>
    <w:p w14:paraId="57A836B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综上，根据评分标准，该项指标得3分。</w:t>
      </w:r>
    </w:p>
    <w:p w14:paraId="367910E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重点领域</w:t>
      </w:r>
      <w:r>
        <w:rPr>
          <w:rFonts w:hint="default" w:ascii="仿宋_GB2312" w:hAnsi="仿宋_GB2312" w:eastAsia="仿宋_GB2312" w:cs="仿宋_GB2312"/>
          <w:sz w:val="32"/>
          <w:szCs w:val="32"/>
          <w:lang w:val="zh-CN"/>
        </w:rPr>
        <w:t>绩效分析</w:t>
      </w:r>
      <w:r>
        <w:rPr>
          <w:rFonts w:hint="default" w:ascii="仿宋_GB2312" w:hAnsi="仿宋_GB2312" w:eastAsia="仿宋_GB2312" w:cs="仿宋_GB2312"/>
          <w:sz w:val="32"/>
          <w:szCs w:val="32"/>
          <w:lang w:val="zh-CN" w:eastAsia="zh-CN"/>
        </w:rPr>
        <w:t>。</w:t>
      </w:r>
    </w:p>
    <w:p w14:paraId="4DCB753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1.行政事业性国有资产绩效分析。</w:t>
      </w:r>
    </w:p>
    <w:p w14:paraId="0D0E0BD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严格按照相关工作要求，在四川省行政事业性国有资产管理信息系统中对国有资产进行管理，按时将新购、满足固定资产登记条件的资产进行资产卡片新增。每月初按时填报资产月报，严格审核，确保数据准确、及时、完整性，有效夯实了行政事业性国有资产管理基础工作。</w:t>
      </w:r>
    </w:p>
    <w:p w14:paraId="3AABE7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2.政府采购绩效分析。</w:t>
      </w:r>
    </w:p>
    <w:p w14:paraId="6BD513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2024年本部门涉及政府采购183.55万元，严格按照政府采购流程制度执行。                                </w:t>
      </w:r>
    </w:p>
    <w:p w14:paraId="1BB0BC1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绩效结果应用情况</w:t>
      </w:r>
      <w:r>
        <w:rPr>
          <w:rFonts w:hint="eastAsia" w:ascii="仿宋_GB2312" w:hAnsi="仿宋_GB2312" w:eastAsia="仿宋_GB2312" w:cs="仿宋_GB2312"/>
          <w:sz w:val="32"/>
          <w:szCs w:val="32"/>
          <w:lang w:val="zh-CN"/>
        </w:rPr>
        <w:t>。</w:t>
      </w:r>
    </w:p>
    <w:p w14:paraId="6379554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在2024年圆满完成单位的年度任务，明确预算编制、预算分解、预算执行与分析、预算调整、决算管理、预算绩效管理及预决算信息公开管理等业务环节的管理要求，加强预算业务各环节的风险管控，并在日常的各个任务间提升我处的自身素质，提升隧道运行维护能力，夯实责任，筑牢安全生产防线，加强财务制度落实，提升财务业务水平，做好资料管理，推动工作高效开展</w:t>
      </w:r>
      <w:r>
        <w:rPr>
          <w:rFonts w:hint="eastAsia" w:ascii="仿宋_GB2312" w:hAnsi="仿宋_GB2312" w:eastAsia="仿宋_GB2312" w:cs="仿宋_GB2312"/>
          <w:sz w:val="32"/>
          <w:szCs w:val="32"/>
          <w:lang w:val="zh-CN" w:eastAsia="zh-CN"/>
        </w:rPr>
        <w:t>。</w:t>
      </w:r>
    </w:p>
    <w:p w14:paraId="7C86F75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p>
    <w:p w14:paraId="07B7AC1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评价结论及建议</w:t>
      </w:r>
    </w:p>
    <w:p w14:paraId="0F76DA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（一）评价结论。</w:t>
      </w:r>
    </w:p>
    <w:p w14:paraId="06D43C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部门履职效果和预算管理效果较好，财务管理、资产管理、采购管理规范，项目决策程序严格，项目执行进度良好，绩效目标实现程度良好。根据《阿坝州财政局关于开展2024年州级部门绩效自评工作的通知》中部门整体支出绩效评价指标体系，2023年度自评得分94.40分。</w:t>
      </w:r>
    </w:p>
    <w:p w14:paraId="415FD2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存在问题。</w:t>
      </w:r>
    </w:p>
    <w:p w14:paraId="73B868C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一般性支出管理有待加强</w:t>
      </w:r>
    </w:p>
    <w:p w14:paraId="1CBFC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一般性支出202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年财政拨款预算执行数较202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年有所</w:t>
      </w:r>
      <w:r>
        <w:rPr>
          <w:rFonts w:hint="eastAsia" w:ascii="仿宋_GB2312" w:hAnsi="仿宋_GB2312" w:eastAsia="仿宋_GB2312" w:cs="仿宋_GB2312"/>
          <w:sz w:val="32"/>
          <w:szCs w:val="32"/>
          <w:lang w:val="en-US" w:eastAsia="zh-CN"/>
        </w:rPr>
        <w:t>减少</w:t>
      </w:r>
      <w:r>
        <w:rPr>
          <w:rFonts w:hint="default" w:ascii="仿宋_GB2312" w:hAnsi="仿宋_GB2312" w:eastAsia="仿宋_GB2312" w:cs="仿宋_GB2312"/>
          <w:sz w:val="32"/>
          <w:szCs w:val="32"/>
          <w:lang w:val="zh-CN" w:eastAsia="zh-CN"/>
        </w:rPr>
        <w:t>，原因是</w:t>
      </w:r>
      <w:r>
        <w:rPr>
          <w:rFonts w:hint="eastAsia" w:ascii="仿宋_GB2312" w:hAnsi="仿宋_GB2312" w:eastAsia="仿宋_GB2312" w:cs="仿宋_GB2312"/>
          <w:sz w:val="32"/>
          <w:szCs w:val="32"/>
          <w:lang w:val="en-US" w:eastAsia="zh-CN"/>
        </w:rPr>
        <w:t>项目减少，人员减少</w:t>
      </w:r>
      <w:r>
        <w:rPr>
          <w:rFonts w:hint="default" w:ascii="仿宋_GB2312" w:hAnsi="仿宋_GB2312" w:eastAsia="仿宋_GB2312" w:cs="仿宋_GB2312"/>
          <w:sz w:val="32"/>
          <w:szCs w:val="32"/>
          <w:lang w:val="zh-CN" w:eastAsia="zh-CN"/>
        </w:rPr>
        <w:t>。</w:t>
      </w:r>
    </w:p>
    <w:p w14:paraId="1F8E0BB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资产管理工作有待提升</w:t>
      </w:r>
    </w:p>
    <w:p w14:paraId="240914D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资产利用率较低，办公家具的超最低使用年限资产利用率小于省直行政事业单位平均值。</w:t>
      </w:r>
    </w:p>
    <w:p w14:paraId="4A5CA9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2D0F9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改进建议。</w:t>
      </w:r>
    </w:p>
    <w:p w14:paraId="1106D9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1.严控一般性支出</w:t>
      </w:r>
    </w:p>
    <w:p w14:paraId="620260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本部门将增强“过紧日子”思想意识，充分认识“过紧日子”的重要性和必要性，相关领导要以身作则，做好表率，层层压实责任，确保“过紧日子”思想深入人心，厉行节约措施落实到位。</w:t>
      </w:r>
    </w:p>
    <w:p w14:paraId="4461FB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2.加强资产管理基础</w:t>
      </w:r>
    </w:p>
    <w:p w14:paraId="07E1A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优化管理流程。制定并执行资产从采购、使用、维护、到报废的全生命周期管理流程；定期对资产进行盘点，确保账实相符，及早发现并处理异常情况；建立和优化资产管理的标准流程，确保各环节有章可循，减少人为错误。</w:t>
      </w:r>
    </w:p>
    <w:p w14:paraId="4F4DD3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二是加强人员培训。定期对资产管理人员进行专业培训，增强他们的工作技能和责任意识；编写详细的操作手册和指南，帮助员工了解和遵守资产管理的相关规定。</w:t>
      </w:r>
    </w:p>
    <w:p w14:paraId="7838B80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三是建立健全的制度。明确各部门和岗位在资产管理中的职责，确保责任落实到人；制定合理的奖惩机制，激励员工积极参与资产管理工作，对违规行为进行有效约束。</w:t>
      </w:r>
    </w:p>
    <w:p w14:paraId="66D131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C6357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D074D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BDC12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附件2：2024年马尔康市住房和城乡建设局预算项目自评表</w:t>
      </w:r>
    </w:p>
    <w:p w14:paraId="4F95201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60567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938D5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94BEB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object>
          <v:shape id="_x0000_i1025" o:spt="75" type="#_x0000_t75" style="height:66pt;width:72.75pt;" o:ole="t" filled="f" o:preferrelative="t" stroked="f" coordsize="21600,21600">
            <v:path/>
            <v:fill on="f" focussize="0,0"/>
            <v:stroke on="f"/>
            <v:imagedata r:id="rId14" o:title=""/>
            <o:lock v:ext="edit" aspectratio="t"/>
            <w10:wrap type="none"/>
            <w10:anchorlock/>
          </v:shape>
          <o:OLEObject Type="Embed" ProgID="Excel.Sheet.12" ShapeID="_x0000_i1025" DrawAspect="Icon" ObjectID="_1468075725" r:id="rId13">
            <o:LockedField>false</o:LockedField>
          </o:OLEObject>
        </w:object>
      </w:r>
    </w:p>
    <w:p w14:paraId="0337142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D797B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B74D9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66C02F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90B3B5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86EE9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18FDFA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2C5B6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A5F71E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6A16C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6FFD8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F0D9F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FCBC3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519C6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0C3594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2877D3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07ACBB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35E3F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5ACCA7D">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lang w:val="en-US" w:eastAsia="zh-CN"/>
        </w:rPr>
        <w:t>附件3：</w:t>
      </w:r>
      <w:r>
        <w:rPr>
          <w:rFonts w:hint="eastAsia" w:ascii="仿宋_GB2312" w:hAnsi="仿宋_GB2312" w:eastAsia="仿宋_GB2312" w:cs="仿宋_GB2312"/>
          <w:sz w:val="32"/>
          <w:szCs w:val="32"/>
          <w:lang w:val="en-US" w:eastAsia="zh-CN"/>
        </w:rPr>
        <w:t>四川省马尔康市住房和城乡建设局</w:t>
      </w:r>
    </w:p>
    <w:p w14:paraId="47DF1C7D">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马尔康市城镇供暖配套设施建设项目</w:t>
      </w:r>
    </w:p>
    <w:p w14:paraId="632C7A94">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绩效评估报告</w:t>
      </w:r>
    </w:p>
    <w:p w14:paraId="74CC98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Times New Roman" w:eastAsia="仿宋_GB2312" w:cs="Times New Roman"/>
          <w:kern w:val="2"/>
          <w:sz w:val="32"/>
          <w:szCs w:val="32"/>
          <w:lang w:val="en-US" w:eastAsia="zh-CN" w:bidi="ar-SA"/>
        </w:rPr>
      </w:pPr>
    </w:p>
    <w:p w14:paraId="5BE6A4FA">
      <w:pPr>
        <w:pStyle w:val="41"/>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1B96B20F">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四川省马尔康市住房和城乡建设局</w:t>
      </w:r>
    </w:p>
    <w:p w14:paraId="713C5FA8">
      <w:pPr>
        <w:snapToGrid w:val="0"/>
        <w:spacing w:line="600" w:lineRule="exact"/>
        <w:jc w:val="center"/>
        <w:rPr>
          <w:rFonts w:hint="eastAsia" w:ascii="宋体" w:hAnsi="宋体" w:eastAsia="宋体" w:cs="宋体"/>
          <w:b/>
          <w:bCs w:val="0"/>
          <w:sz w:val="40"/>
          <w:szCs w:val="40"/>
        </w:rPr>
      </w:pPr>
      <w:r>
        <w:rPr>
          <w:rFonts w:hint="eastAsia" w:ascii="宋体" w:hAnsi="宋体" w:eastAsia="宋体" w:cs="宋体"/>
          <w:b/>
          <w:bCs w:val="0"/>
          <w:sz w:val="40"/>
          <w:szCs w:val="40"/>
        </w:rPr>
        <w:t>马尔康市</w:t>
      </w:r>
      <w:r>
        <w:rPr>
          <w:rFonts w:hint="eastAsia" w:ascii="宋体" w:hAnsi="宋体" w:eastAsia="宋体" w:cs="宋体"/>
          <w:b/>
          <w:bCs w:val="0"/>
          <w:sz w:val="40"/>
          <w:szCs w:val="40"/>
          <w:lang w:val="en-US" w:eastAsia="zh-CN"/>
        </w:rPr>
        <w:t>城镇供暖配套设施建设</w:t>
      </w:r>
      <w:r>
        <w:rPr>
          <w:rFonts w:hint="eastAsia" w:ascii="宋体" w:hAnsi="宋体" w:eastAsia="宋体" w:cs="宋体"/>
          <w:b/>
          <w:bCs w:val="0"/>
          <w:sz w:val="40"/>
          <w:szCs w:val="40"/>
        </w:rPr>
        <w:t>项目</w:t>
      </w:r>
    </w:p>
    <w:p w14:paraId="6C690061">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绩效评估报告</w:t>
      </w:r>
    </w:p>
    <w:p w14:paraId="7FDA06F6">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C1D5516">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33403300">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14C2B8DD">
      <w:pPr>
        <w:keepNext w:val="0"/>
        <w:keepLines w:val="0"/>
        <w:widowControl/>
        <w:suppressLineNumbers w:val="0"/>
        <w:ind w:left="420" w:leftChars="200" w:firstLine="0" w:firstLineChars="0"/>
        <w:jc w:val="left"/>
        <w:rPr>
          <w:rFonts w:hint="eastAsia" w:ascii="仿宋_GB2312" w:hAnsi="仿宋_GB2312" w:cs="仿宋_GB2312"/>
          <w:b/>
          <w:bCs w:val="0"/>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cs="仿宋_GB2312"/>
          <w:b/>
          <w:bCs w:val="0"/>
          <w:sz w:val="32"/>
          <w:szCs w:val="32"/>
          <w:lang w:eastAsia="zh-CN"/>
        </w:rPr>
        <w:t>一</w:t>
      </w:r>
      <w:r>
        <w:rPr>
          <w:rFonts w:hint="eastAsia" w:ascii="仿宋_GB2312" w:hAnsi="仿宋_GB2312" w:cs="仿宋_GB2312"/>
          <w:b/>
          <w:bCs w:val="0"/>
          <w:color w:val="auto"/>
          <w:sz w:val="32"/>
          <w:szCs w:val="32"/>
          <w:lang w:eastAsia="zh-CN"/>
        </w:rPr>
        <w:t>是</w:t>
      </w:r>
      <w:r>
        <w:rPr>
          <w:rFonts w:hint="eastAsia" w:ascii="仿宋_GB2312" w:hAnsi="仿宋_GB2312" w:cs="仿宋_GB2312"/>
          <w:b/>
          <w:bCs w:val="0"/>
          <w:color w:val="auto"/>
          <w:kern w:val="0"/>
          <w:sz w:val="32"/>
          <w:szCs w:val="32"/>
          <w:highlight w:val="none"/>
          <w:u w:val="none"/>
          <w:shd w:val="clear" w:color="auto" w:fill="FFFFFF"/>
          <w:lang w:val="en-US" w:eastAsia="zh-CN"/>
        </w:rPr>
        <w:t>项目设立原因及背景。</w:t>
      </w:r>
    </w:p>
    <w:p w14:paraId="6DA003FF">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四川省阿坝藏族羌族自治州属于高原高寒地区，因地理位置地势 条件限制，多数县气候较为恶劣，冬季气温极低，冰冻期长。近几年， 国家及四川省高度重视川西高寒地区供暖建设，也投入了大量资金， 根据阿坝藏族羌族自治州各县气候情况，规划逐步对各县进行供暖建设。目前期间，阿坝藏族羌族自治州各个（市）县城都在分步实现集 中供暖建设项目。因建设资金有限，且马尔康市全市供暖工程量较大， 故采取了分期实施。本项目为马尔康市城镇供暖配套设施建设项目， 拟对马尔康市涉及的学校、政府办公、周转房等民生关注度高的公共 服务场所规划进行供暖建设。</w:t>
      </w:r>
    </w:p>
    <w:p w14:paraId="3BC787EA">
      <w:pPr>
        <w:keepNext w:val="0"/>
        <w:keepLines w:val="0"/>
        <w:widowControl/>
        <w:suppressLineNumbers w:val="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rPr>
        <w:t>和服务水平。</w:t>
      </w:r>
      <w:r>
        <w:rPr>
          <w:rFonts w:hint="eastAsia" w:ascii="仿宋_GB2312" w:hAnsi="仿宋_GB2312" w:cs="仿宋_GB2312"/>
          <w:b/>
          <w:bCs w:val="0"/>
          <w:sz w:val="32"/>
          <w:szCs w:val="32"/>
          <w:lang w:val="en-US" w:eastAsia="zh-CN"/>
        </w:rPr>
        <w:t>二是</w:t>
      </w:r>
      <w:r>
        <w:rPr>
          <w:rFonts w:hint="eastAsia" w:ascii="仿宋_GB2312" w:hAnsi="仿宋_GB2312" w:cs="仿宋_GB2312"/>
          <w:b/>
          <w:bCs w:val="0"/>
          <w:sz w:val="32"/>
          <w:szCs w:val="32"/>
          <w:lang w:val="zh-CN" w:eastAsia="zh-CN"/>
        </w:rPr>
        <w:t>项目立项、资金申报的依据。</w:t>
      </w:r>
      <w:r>
        <w:rPr>
          <w:rFonts w:hint="eastAsia" w:ascii="仿宋_GB2312" w:hAnsi="仿宋_GB2312" w:eastAsia="仿宋_GB2312" w:cs="仿宋_GB2312"/>
          <w:color w:val="auto"/>
          <w:kern w:val="0"/>
          <w:sz w:val="32"/>
          <w:szCs w:val="32"/>
          <w:highlight w:val="none"/>
          <w:u w:val="none"/>
          <w:shd w:val="clear" w:color="auto" w:fill="FFFFFF"/>
          <w:lang w:val="en-US" w:eastAsia="zh-CN"/>
        </w:rPr>
        <w:t>马尔康市城镇</w:t>
      </w:r>
      <w:r>
        <w:rPr>
          <w:rFonts w:hint="eastAsia" w:ascii="仿宋_GB2312" w:hAnsi="仿宋_GB2312" w:cs="仿宋_GB2312"/>
          <w:color w:val="auto"/>
          <w:kern w:val="0"/>
          <w:sz w:val="32"/>
          <w:szCs w:val="32"/>
          <w:highlight w:val="none"/>
          <w:u w:val="none"/>
          <w:shd w:val="clear" w:color="auto" w:fill="FFFFFF"/>
          <w:lang w:val="en-US" w:eastAsia="zh-CN"/>
        </w:rPr>
        <w:t>供暖配套设施建设</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项目可行性研究报告于202</w:t>
      </w:r>
      <w:r>
        <w:rPr>
          <w:rFonts w:hint="eastAsia" w:ascii="仿宋_GB2312" w:hAnsi="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年立项并实施，争取</w:t>
      </w:r>
      <w:r>
        <w:rPr>
          <w:rFonts w:hint="eastAsia" w:ascii="仿宋_GB2312" w:hAnsi="仿宋_GB2312" w:cs="仿宋_GB2312"/>
          <w:color w:val="auto"/>
          <w:kern w:val="0"/>
          <w:sz w:val="32"/>
          <w:szCs w:val="32"/>
          <w:highlight w:val="none"/>
          <w:u w:val="none"/>
          <w:shd w:val="clear" w:color="auto" w:fill="FFFFFF"/>
          <w:lang w:val="en-US" w:eastAsia="zh-CN"/>
        </w:rPr>
        <w:t>一般债券资金</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cs="仿宋_GB2312"/>
          <w:b/>
          <w:bCs w:val="0"/>
          <w:sz w:val="32"/>
          <w:szCs w:val="32"/>
          <w:lang w:val="en-US" w:eastAsia="zh-CN"/>
        </w:rPr>
        <w:t>三是</w:t>
      </w:r>
      <w:r>
        <w:rPr>
          <w:rFonts w:hint="eastAsia" w:ascii="仿宋_GB2312" w:hAnsi="仿宋_GB2312" w:cs="仿宋_GB2312"/>
          <w:b/>
          <w:bCs w:val="0"/>
          <w:sz w:val="32"/>
          <w:szCs w:val="32"/>
          <w:lang w:val="zh-CN" w:eastAsia="zh-CN"/>
        </w:rPr>
        <w:t>项目主要内容。</w:t>
      </w:r>
      <w:r>
        <w:rPr>
          <w:rFonts w:hint="eastAsia" w:ascii="宋体" w:hAnsi="宋体" w:eastAsia="宋体" w:cs="宋体"/>
          <w:color w:val="000000"/>
          <w:kern w:val="0"/>
          <w:sz w:val="28"/>
          <w:szCs w:val="28"/>
          <w:lang w:val="en-US" w:eastAsia="zh-CN" w:bidi="ar"/>
        </w:rPr>
        <w:t xml:space="preserve">本次工程项目位于马尔康市，对已建成的学校、政府办公等公共 建筑及周转房等 </w:t>
      </w:r>
      <w:r>
        <w:rPr>
          <w:rFonts w:hint="default" w:ascii="Times New Roman" w:hAnsi="Times New Roman" w:eastAsia="宋体" w:cs="Times New Roman"/>
          <w:color w:val="000000"/>
          <w:kern w:val="0"/>
          <w:sz w:val="28"/>
          <w:szCs w:val="28"/>
          <w:lang w:val="en-US" w:eastAsia="zh-CN" w:bidi="ar"/>
        </w:rPr>
        <w:t xml:space="preserve">28 </w:t>
      </w:r>
      <w:r>
        <w:rPr>
          <w:rFonts w:hint="eastAsia" w:ascii="宋体" w:hAnsi="宋体" w:eastAsia="宋体" w:cs="宋体"/>
          <w:color w:val="000000"/>
          <w:kern w:val="0"/>
          <w:sz w:val="28"/>
          <w:szCs w:val="28"/>
          <w:lang w:val="en-US" w:eastAsia="zh-CN" w:bidi="ar"/>
        </w:rPr>
        <w:t xml:space="preserve">个热源基站覆盖的各建筑进行供暖末端设施安装， 覆盖室内末端总供热面积约 </w:t>
      </w:r>
      <w:r>
        <w:rPr>
          <w:rFonts w:hint="default" w:ascii="Times New Roman" w:hAnsi="Times New Roman" w:eastAsia="宋体" w:cs="Times New Roman"/>
          <w:color w:val="000000"/>
          <w:kern w:val="0"/>
          <w:sz w:val="28"/>
          <w:szCs w:val="28"/>
          <w:lang w:val="en-US" w:eastAsia="zh-CN" w:bidi="ar"/>
        </w:rPr>
        <w:t xml:space="preserve">24.56 </w:t>
      </w:r>
      <w:r>
        <w:rPr>
          <w:rFonts w:hint="eastAsia" w:ascii="宋体" w:hAnsi="宋体" w:eastAsia="宋体" w:cs="宋体"/>
          <w:color w:val="000000"/>
          <w:kern w:val="0"/>
          <w:sz w:val="28"/>
          <w:szCs w:val="28"/>
          <w:lang w:val="en-US" w:eastAsia="zh-CN" w:bidi="ar"/>
        </w:rPr>
        <w:t xml:space="preserve">万平方米，共 </w:t>
      </w:r>
      <w:r>
        <w:rPr>
          <w:rFonts w:hint="default" w:ascii="Times New Roman" w:hAnsi="Times New Roman" w:eastAsia="宋体" w:cs="Times New Roman"/>
          <w:color w:val="000000"/>
          <w:kern w:val="0"/>
          <w:sz w:val="28"/>
          <w:szCs w:val="28"/>
          <w:lang w:val="en-US" w:eastAsia="zh-CN" w:bidi="ar"/>
        </w:rPr>
        <w:t xml:space="preserve">76 </w:t>
      </w:r>
      <w:r>
        <w:rPr>
          <w:rFonts w:hint="eastAsia" w:ascii="宋体" w:hAnsi="宋体" w:eastAsia="宋体" w:cs="宋体"/>
          <w:color w:val="000000"/>
          <w:kern w:val="0"/>
          <w:sz w:val="28"/>
          <w:szCs w:val="28"/>
          <w:lang w:val="en-US" w:eastAsia="zh-CN" w:bidi="ar"/>
        </w:rPr>
        <w:t>栋建筑的室内末端采暖。</w:t>
      </w:r>
      <w:r>
        <w:rPr>
          <w:rFonts w:hint="eastAsia" w:ascii="仿宋_GB2312" w:hAnsi="仿宋_GB2312" w:cs="仿宋_GB2312"/>
          <w:b/>
          <w:bCs w:val="0"/>
          <w:sz w:val="32"/>
          <w:szCs w:val="32"/>
          <w:lang w:val="en-US" w:eastAsia="zh-CN"/>
        </w:rPr>
        <w:t>四是</w:t>
      </w:r>
      <w:r>
        <w:rPr>
          <w:rFonts w:hint="eastAsia" w:ascii="仿宋_GB2312" w:hAnsi="仿宋_GB2312" w:cs="仿宋_GB2312"/>
          <w:b/>
          <w:bCs w:val="0"/>
          <w:sz w:val="32"/>
          <w:szCs w:val="32"/>
          <w:lang w:val="zh-CN" w:eastAsia="zh-CN"/>
        </w:rPr>
        <w:t>主管部门职能。</w:t>
      </w:r>
      <w:r>
        <w:rPr>
          <w:rFonts w:hint="eastAsia" w:ascii="仿宋_GB2312" w:hAnsi="仿宋_GB2312" w:eastAsia="仿宋_GB2312" w:cs="仿宋_GB2312"/>
          <w:sz w:val="32"/>
          <w:szCs w:val="32"/>
          <w:lang w:val="zh-CN" w:eastAsia="zh-CN"/>
        </w:rPr>
        <w:t>马尔康市</w:t>
      </w:r>
      <w:r>
        <w:rPr>
          <w:rFonts w:hint="eastAsia" w:ascii="仿宋_GB2312" w:hAnsi="仿宋_GB2312" w:cs="仿宋_GB2312"/>
          <w:sz w:val="32"/>
          <w:szCs w:val="32"/>
          <w:lang w:val="en-US" w:eastAsia="zh-CN"/>
        </w:rPr>
        <w:t>住房和城乡建设局</w:t>
      </w:r>
      <w:r>
        <w:rPr>
          <w:rFonts w:hint="eastAsia" w:ascii="仿宋_GB2312" w:hAnsi="仿宋_GB2312" w:eastAsia="仿宋_GB2312" w:cs="仿宋_GB2312"/>
          <w:sz w:val="32"/>
          <w:szCs w:val="32"/>
          <w:lang w:val="zh-CN" w:eastAsia="zh-CN"/>
        </w:rPr>
        <w:t>作为项目的主管部门，具有</w:t>
      </w:r>
      <w:r>
        <w:rPr>
          <w:rFonts w:hint="eastAsia" w:ascii="仿宋_GB2312" w:hAnsi="仿宋_GB2312" w:eastAsia="仿宋_GB2312" w:cs="仿宋_GB2312"/>
          <w:sz w:val="32"/>
          <w:szCs w:val="32"/>
          <w:lang w:val="en-US" w:eastAsia="zh-CN"/>
        </w:rPr>
        <w:t>督促代建单位、项目管理单位、设计单位、施工单位等参建各</w:t>
      </w:r>
      <w:r>
        <w:rPr>
          <w:rFonts w:hint="eastAsia" w:ascii="仿宋_GB2312" w:hAnsi="仿宋_GB2312" w:eastAsia="仿宋_GB2312" w:cs="仿宋_GB2312"/>
          <w:b w:val="0"/>
          <w:bCs w:val="0"/>
          <w:kern w:val="0"/>
          <w:sz w:val="32"/>
          <w:szCs w:val="32"/>
          <w:lang w:val="en-US" w:eastAsia="zh-CN" w:bidi="ar"/>
        </w:rPr>
        <w:t>方</w:t>
      </w:r>
      <w:r>
        <w:rPr>
          <w:rFonts w:hint="eastAsia" w:ascii="仿宋_GB2312" w:hAnsi="仿宋_GB2312" w:eastAsia="仿宋_GB2312" w:cs="仿宋_GB2312"/>
          <w:sz w:val="32"/>
          <w:szCs w:val="32"/>
        </w:rPr>
        <w:t>落实安全措施和节能环保要求的，加强项目建设过程安全</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，全面落实各项安全、环保技术措施，严格按照国、省有关规定规范施工</w:t>
      </w:r>
      <w:r>
        <w:rPr>
          <w:rFonts w:hint="eastAsia" w:ascii="仿宋_GB2312" w:hAnsi="仿宋_GB2312" w:cs="仿宋_GB2312"/>
          <w:sz w:val="32"/>
          <w:szCs w:val="32"/>
          <w:lang w:eastAsia="zh-CN"/>
        </w:rPr>
        <w:t>的职能职责</w:t>
      </w:r>
      <w:r>
        <w:rPr>
          <w:rFonts w:hint="eastAsia" w:ascii="仿宋_GB2312" w:hAnsi="仿宋_GB2312" w:eastAsia="仿宋_GB2312" w:cs="仿宋_GB2312"/>
          <w:sz w:val="32"/>
          <w:szCs w:val="32"/>
        </w:rPr>
        <w:t>。</w:t>
      </w:r>
    </w:p>
    <w:p w14:paraId="15F512FF">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宋体" w:cs="仿宋_GB2312"/>
          <w:b/>
          <w:bCs w:val="0"/>
          <w:sz w:val="32"/>
          <w:szCs w:val="32"/>
          <w:lang w:val="zh-CN"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b/>
          <w:bCs w:val="0"/>
          <w:sz w:val="32"/>
          <w:szCs w:val="32"/>
          <w:lang w:val="zh-CN" w:eastAsia="zh-CN"/>
        </w:rPr>
        <w:t>一是项目资金管理办法制定情况。</w:t>
      </w:r>
      <w:r>
        <w:rPr>
          <w:rFonts w:hint="eastAsia" w:ascii="仿宋_GB2312" w:hAnsi="仿宋_GB2312" w:cs="仿宋_GB2312"/>
          <w:sz w:val="32"/>
          <w:szCs w:val="32"/>
          <w:lang w:val="en-US" w:eastAsia="zh-CN"/>
        </w:rPr>
        <w:t>市住建局</w:t>
      </w:r>
      <w:r>
        <w:rPr>
          <w:rFonts w:hint="eastAsia" w:ascii="仿宋_GB2312" w:hAnsi="仿宋_GB2312" w:eastAsia="仿宋_GB2312" w:cs="仿宋_GB2312"/>
          <w:sz w:val="32"/>
          <w:szCs w:val="32"/>
          <w:lang w:val="zh-CN" w:eastAsia="zh-CN"/>
        </w:rPr>
        <w:t>根据《会计法》等国家有关法律、法规组织和开展</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val="zh-CN" w:eastAsia="zh-CN"/>
        </w:rPr>
        <w:t>的会计核算和财务管理，</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lang w:val="zh-CN" w:eastAsia="zh-CN"/>
        </w:rPr>
        <w:t>财务管理制度健全，严格执行财务管理制度，资金拨付与工程进度、质量挂钩，根据进度逐步拨付。</w:t>
      </w:r>
      <w:r>
        <w:rPr>
          <w:rFonts w:hint="eastAsia" w:ascii="仿宋_GB2312" w:hAnsi="仿宋_GB2312" w:cs="仿宋_GB2312"/>
          <w:b/>
          <w:bCs w:val="0"/>
          <w:sz w:val="32"/>
          <w:szCs w:val="32"/>
          <w:lang w:val="zh-CN" w:eastAsia="zh-CN"/>
        </w:rPr>
        <w:t>二是项目实施目的和主要工作任务</w:t>
      </w:r>
      <w:r>
        <w:rPr>
          <w:rFonts w:hint="eastAsia" w:ascii="仿宋_GB2312" w:hAnsi="仿宋_GB2312" w:cs="仿宋_GB2312"/>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本项目为马尔康市城镇供暖配套设施建设项目， 拟对马尔康市涉及的学校、政府办公、周转房等民生关注度高的公共服务场所规划进行供暖建设</w:t>
      </w:r>
      <w:r>
        <w:rPr>
          <w:rFonts w:hint="eastAsia" w:ascii="Times New Roman" w:hAnsi="Times New Roman"/>
          <w:szCs w:val="32"/>
        </w:rPr>
        <w:t>。</w:t>
      </w:r>
      <w:r>
        <w:rPr>
          <w:rFonts w:hint="eastAsia" w:ascii="仿宋_GB2312" w:hAnsi="仿宋_GB2312" w:cs="仿宋_GB2312"/>
          <w:b/>
          <w:bCs w:val="0"/>
          <w:sz w:val="32"/>
          <w:szCs w:val="32"/>
          <w:lang w:val="en-US" w:eastAsia="zh-CN"/>
        </w:rPr>
        <w:t>三是项目支持方向。</w:t>
      </w:r>
      <w:r>
        <w:rPr>
          <w:rFonts w:hint="eastAsia" w:ascii="仿宋_GB2312" w:hAnsi="仿宋_GB2312" w:eastAsia="仿宋_GB2312" w:cs="仿宋_GB2312"/>
          <w:b w:val="0"/>
          <w:bCs/>
          <w:color w:val="auto"/>
          <w:kern w:val="0"/>
          <w:sz w:val="32"/>
          <w:szCs w:val="32"/>
          <w:highlight w:val="none"/>
          <w:u w:val="none"/>
          <w:shd w:val="clear" w:color="auto" w:fill="FFFFFF"/>
          <w:lang w:val="en-US" w:eastAsia="zh-CN"/>
        </w:rPr>
        <w:t>项</w:t>
      </w:r>
      <w:r>
        <w:rPr>
          <w:rFonts w:hint="eastAsia" w:ascii="仿宋_GB2312" w:hAnsi="仿宋_GB2312" w:eastAsia="仿宋_GB2312" w:cs="仿宋_GB2312"/>
          <w:color w:val="auto"/>
          <w:kern w:val="0"/>
          <w:sz w:val="32"/>
          <w:szCs w:val="32"/>
          <w:highlight w:val="none"/>
          <w:u w:val="none"/>
          <w:shd w:val="clear" w:color="auto" w:fill="FFFFFF"/>
          <w:lang w:val="en-US" w:eastAsia="zh-CN"/>
        </w:rPr>
        <w:t>目总投资</w:t>
      </w:r>
      <w:r>
        <w:rPr>
          <w:rFonts w:hint="eastAsia" w:ascii="仿宋_GB2312" w:hAnsi="仿宋_GB2312" w:eastAsia="宋体" w:cs="仿宋_GB2312"/>
          <w:b/>
          <w:bCs w:val="0"/>
          <w:sz w:val="32"/>
          <w:szCs w:val="32"/>
          <w:lang w:val="en-US" w:eastAsia="zh-CN"/>
        </w:rPr>
        <w:t>为8174.28万元,资金来源为申报一般债券资金</w:t>
      </w:r>
    </w:p>
    <w:p w14:paraId="5DEF7147">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宋体" w:cs="仿宋_GB2312"/>
          <w:b/>
          <w:bCs w:val="0"/>
          <w:sz w:val="32"/>
          <w:szCs w:val="32"/>
          <w:lang w:val="en-US" w:eastAsia="zh-CN"/>
        </w:rPr>
        <w:t>预算安排及分配管理</w:t>
      </w:r>
      <w:r>
        <w:rPr>
          <w:rFonts w:hint="eastAsia" w:ascii="仿宋_GB2312" w:hAnsi="仿宋_GB2312" w:eastAsia="宋体" w:cs="仿宋_GB2312"/>
          <w:b/>
          <w:bCs w:val="0"/>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申</w:t>
      </w:r>
      <w:r>
        <w:rPr>
          <w:rFonts w:hint="eastAsia" w:ascii="仿宋_GB2312" w:hAnsi="仿宋_GB2312" w:eastAsia="仿宋_GB2312" w:cs="仿宋_GB2312"/>
          <w:color w:val="auto"/>
          <w:kern w:val="0"/>
          <w:sz w:val="32"/>
          <w:szCs w:val="32"/>
          <w:highlight w:val="none"/>
          <w:u w:val="none"/>
          <w:shd w:val="clear" w:color="auto" w:fill="FFFFFF"/>
          <w:lang w:val="en-US" w:eastAsia="zh-CN"/>
        </w:rPr>
        <w:t>报项目预算金额为10685.86万元，对项目投入经济性的评估是在项目事前绩效评估、预算测算的基础上，按照厉行节约的要求，结合项目开支情况、实际需求、相关费用标准及市场价格水平，按照合同约定依法依规支付。</w:t>
      </w:r>
    </w:p>
    <w:p w14:paraId="32A34B4B">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宋体" w:cs="仿宋_GB2312"/>
          <w:b/>
          <w:bCs w:val="0"/>
          <w:sz w:val="32"/>
          <w:szCs w:val="32"/>
          <w:lang w:val="zh-CN" w:eastAsia="zh-CN"/>
        </w:rPr>
        <w:t>项目绩效目标设置。</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项目编制了管理方案，组织机构健全，职责分工明确，有具体的实施时间，有明确的工作程序，基础设施条件能够有效保障，具有相应的质量检查、考核等必要的控制措施或手段。</w:t>
      </w:r>
    </w:p>
    <w:p w14:paraId="57D7577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420" w:firstLineChars="200"/>
        <w:jc w:val="left"/>
        <w:textAlignment w:val="auto"/>
        <w:rPr>
          <w:rFonts w:eastAsia="仿宋_GB2312" w:cs="Times New Roman"/>
          <w:szCs w:val="32"/>
        </w:rPr>
      </w:pPr>
      <w:r>
        <w:rPr>
          <w:rFonts w:hint="eastAsia" w:ascii="黑体" w:hAnsi="宋体" w:eastAsia="黑体"/>
          <w:highlight w:val="none"/>
        </w:rPr>
        <w:t>二、</w:t>
      </w:r>
      <w:r>
        <w:rPr>
          <w:rFonts w:hint="eastAsia" w:ascii="黑体" w:hAnsi="宋体" w:eastAsia="黑体"/>
          <w:highlight w:val="none"/>
          <w:lang w:eastAsia="zh-CN"/>
        </w:rPr>
        <w:t>评价实施</w:t>
      </w:r>
    </w:p>
    <w:p w14:paraId="65957F3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cs="Times New Roman"/>
          <w:kern w:val="2"/>
          <w:sz w:val="32"/>
          <w:szCs w:val="32"/>
          <w:lang w:val="en-US"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Times New Roman" w:eastAsia="仿宋_GB2312" w:cs="Times New Roman"/>
          <w:kern w:val="2"/>
          <w:sz w:val="32"/>
          <w:szCs w:val="32"/>
          <w:lang w:val="en-US" w:eastAsia="zh-CN" w:bidi="ar-SA"/>
        </w:rPr>
        <w:t>通过绩效评估将绩效管理规范化，为项目设立和预算安排提供重要参考依据，提高预算编制科学性、合理性，优化财政支出结构，从源头上防控财政资源配置的低效无效，提高财政资源配置效率和财政资金使用效益。</w:t>
      </w:r>
      <w:r>
        <w:rPr>
          <w:rFonts w:hint="eastAsia" w:ascii="仿宋_GB2312" w:cs="Times New Roman"/>
          <w:kern w:val="2"/>
          <w:sz w:val="32"/>
          <w:szCs w:val="32"/>
          <w:lang w:val="en-US" w:eastAsia="zh-CN" w:bidi="ar-SA"/>
        </w:rPr>
        <w:t xml:space="preserve">        </w:t>
      </w:r>
    </w:p>
    <w:p w14:paraId="69E1D20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lang w:val="en-US" w:eastAsia="zh-CN"/>
        </w:rPr>
        <w:t>按照绩效评价指标体系</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马尔康市</w:t>
      </w:r>
      <w:r>
        <w:rPr>
          <w:rFonts w:hint="eastAsia" w:ascii="仿宋_GB2312" w:hAnsi="仿宋_GB2312" w:cs="仿宋_GB2312"/>
          <w:sz w:val="32"/>
          <w:szCs w:val="32"/>
          <w:lang w:val="en-US" w:eastAsia="zh-CN"/>
        </w:rPr>
        <w:t>城镇供暖配套设施建设</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的资金管理规范，使用合法合规，专款专用，资金支出控制在预算范围内，实施效果达到群众</w:t>
      </w:r>
      <w:r>
        <w:rPr>
          <w:rFonts w:hint="eastAsia" w:ascii="仿宋_GB2312" w:hAnsi="仿宋_GB2312" w:eastAsia="仿宋_GB2312" w:cs="仿宋_GB2312"/>
          <w:sz w:val="32"/>
          <w:szCs w:val="32"/>
          <w:lang w:val="en-US" w:eastAsia="zh-CN"/>
        </w:rPr>
        <w:t>100%满意度。</w:t>
      </w:r>
    </w:p>
    <w:p w14:paraId="131017C1">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sz w:val="32"/>
          <w:szCs w:val="32"/>
          <w:lang w:val="en-US" w:eastAsia="zh-CN"/>
        </w:rPr>
        <w:t>马尔康市马尔康镇</w:t>
      </w:r>
      <w:r>
        <w:rPr>
          <w:rFonts w:hint="eastAsia" w:ascii="仿宋_GB2312" w:hAnsi="仿宋_GB2312" w:eastAsia="仿宋_GB2312" w:cs="仿宋_GB2312"/>
          <w:sz w:val="32"/>
          <w:szCs w:val="32"/>
          <w:lang w:val="zh-CN" w:eastAsia="zh-CN"/>
        </w:rPr>
        <w:t>。</w:t>
      </w:r>
    </w:p>
    <w:p w14:paraId="4BBFB3A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sz w:val="32"/>
          <w:szCs w:val="32"/>
          <w:lang w:val="en-US" w:eastAsia="zh-CN"/>
        </w:rPr>
        <w:t>根据项目情况和评价重点，用来收集相关材料和开展具体评价的方法。包括：采用成本效益分析法、标杆管理法、案卷研究法、单位自评法、实地勘察法、问卷调查法、座谈调研法等多种方法。</w:t>
      </w:r>
    </w:p>
    <w:p w14:paraId="67B78743">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cs="Times New Roman"/>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cs="仿宋_GB2312"/>
          <w:sz w:val="32"/>
          <w:szCs w:val="32"/>
          <w:lang w:val="en-US" w:eastAsia="zh-CN"/>
        </w:rPr>
        <w:t>马尔康市住房和城乡建设局局长茹雪梅</w:t>
      </w:r>
      <w:r>
        <w:rPr>
          <w:rFonts w:hint="eastAsia" w:ascii="仿宋_GB2312" w:hAnsi="仿宋_GB2312" w:cs="仿宋_GB2312"/>
          <w:sz w:val="32"/>
          <w:szCs w:val="32"/>
          <w:lang w:val="zh-CN" w:eastAsia="zh-CN"/>
        </w:rPr>
        <w:t>负责项目</w:t>
      </w:r>
      <w:r>
        <w:rPr>
          <w:rFonts w:hint="eastAsia" w:ascii="仿宋_GB2312" w:hAnsi="仿宋_GB2312" w:eastAsia="仿宋_GB2312" w:cs="仿宋_GB2312"/>
          <w:sz w:val="32"/>
          <w:szCs w:val="32"/>
          <w:lang w:val="zh-CN" w:eastAsia="zh-CN"/>
        </w:rPr>
        <w:t>绩效评价的总体安排和部署</w:t>
      </w:r>
      <w:r>
        <w:rPr>
          <w:rFonts w:hint="eastAsia" w:ascii="仿宋_GB2312" w:hAnsi="仿宋_GB2312" w:cs="仿宋_GB2312"/>
          <w:sz w:val="32"/>
          <w:szCs w:val="32"/>
          <w:lang w:val="zh-CN" w:eastAsia="zh-CN"/>
        </w:rPr>
        <w:t>，</w:t>
      </w:r>
      <w:r>
        <w:rPr>
          <w:rFonts w:hint="eastAsia" w:ascii="仿宋_GB2312" w:hAnsi="仿宋_GB2312" w:cs="仿宋_GB2312"/>
          <w:sz w:val="32"/>
          <w:szCs w:val="32"/>
          <w:lang w:val="en-US" w:eastAsia="zh-CN"/>
        </w:rPr>
        <w:t>马尔康市住房和城乡建设局副局长、城建股和财务室工作人员</w:t>
      </w:r>
      <w:r>
        <w:rPr>
          <w:rFonts w:hint="eastAsia" w:ascii="仿宋_GB2312" w:hAnsi="仿宋_GB2312" w:eastAsia="仿宋_GB2312" w:cs="仿宋_GB2312"/>
          <w:sz w:val="32"/>
          <w:szCs w:val="32"/>
          <w:lang w:val="zh-CN" w:eastAsia="zh-CN"/>
        </w:rPr>
        <w:t>负责执行上级安排的评价任务</w:t>
      </w:r>
      <w:r>
        <w:rPr>
          <w:rFonts w:hint="eastAsia" w:cs="Times New Roman"/>
          <w:szCs w:val="32"/>
          <w:lang w:eastAsia="zh-CN"/>
        </w:rPr>
        <w:t>。</w:t>
      </w:r>
    </w:p>
    <w:p w14:paraId="640A823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3EFEFAF2">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项目</w:t>
      </w:r>
      <w:r>
        <w:rPr>
          <w:rFonts w:hint="default" w:ascii="仿宋_GB2312" w:hAnsi="仿宋_GB2312" w:eastAsia="仿宋_GB2312" w:cs="仿宋_GB2312"/>
          <w:sz w:val="32"/>
          <w:szCs w:val="32"/>
          <w:lang w:val="zh-CN" w:eastAsia="zh-CN"/>
        </w:rPr>
        <w:t>预算绩效评价指标体系“</w:t>
      </w:r>
      <w:r>
        <w:rPr>
          <w:rFonts w:hint="eastAsia" w:ascii="仿宋_GB2312" w:hAnsi="仿宋_GB2312" w:eastAsia="仿宋_GB2312" w:cs="仿宋_GB2312"/>
          <w:sz w:val="32"/>
          <w:szCs w:val="32"/>
          <w:lang w:val="zh-CN" w:eastAsia="zh-CN"/>
        </w:rPr>
        <w:t>通用指标</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“专用指标”“个性指标”</w:t>
      </w:r>
      <w:r>
        <w:rPr>
          <w:rFonts w:hint="default" w:ascii="仿宋_GB2312" w:hAnsi="仿宋_GB2312" w:eastAsia="仿宋_GB2312" w:cs="仿宋_GB2312"/>
          <w:sz w:val="32"/>
          <w:szCs w:val="32"/>
          <w:lang w:val="zh-CN" w:eastAsia="zh-CN"/>
        </w:rPr>
        <w:t>涉及</w:t>
      </w:r>
      <w:r>
        <w:rPr>
          <w:rFonts w:hint="eastAsia" w:ascii="仿宋_GB2312" w:hAnsi="仿宋_GB2312" w:eastAsia="仿宋_GB2312" w:cs="仿宋_GB2312"/>
          <w:sz w:val="32"/>
          <w:szCs w:val="32"/>
          <w:lang w:val="zh-CN" w:eastAsia="zh-CN"/>
        </w:rPr>
        <w:t>二、三级</w:t>
      </w:r>
      <w:r>
        <w:rPr>
          <w:rFonts w:hint="default" w:ascii="仿宋_GB2312" w:hAnsi="仿宋_GB2312" w:eastAsia="仿宋_GB2312" w:cs="仿宋_GB2312"/>
          <w:sz w:val="32"/>
          <w:szCs w:val="32"/>
          <w:lang w:val="zh-CN" w:eastAsia="zh-CN"/>
        </w:rPr>
        <w:t>指标进行</w:t>
      </w:r>
      <w:r>
        <w:rPr>
          <w:rFonts w:hint="eastAsia" w:ascii="仿宋_GB2312" w:hAnsi="仿宋_GB2312" w:eastAsia="仿宋_GB2312" w:cs="仿宋_GB2312"/>
          <w:sz w:val="32"/>
          <w:szCs w:val="32"/>
          <w:lang w:val="zh-CN" w:eastAsia="zh-CN"/>
        </w:rPr>
        <w:t>逐项</w:t>
      </w:r>
      <w:r>
        <w:rPr>
          <w:rFonts w:hint="default"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zh-CN" w:eastAsia="zh-CN"/>
        </w:rPr>
        <w:t>并评分</w:t>
      </w:r>
      <w:r>
        <w:rPr>
          <w:rFonts w:hint="eastAsia" w:ascii="仿宋_GB2312" w:hAnsi="仿宋_GB2312" w:eastAsia="仿宋_GB2312" w:cs="仿宋_GB2312"/>
          <w:sz w:val="32"/>
          <w:szCs w:val="32"/>
          <w:lang w:val="en-US" w:eastAsia="zh-CN"/>
        </w:rPr>
        <w:t>。</w:t>
      </w:r>
    </w:p>
    <w:p w14:paraId="4CCCCA8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黑体" w:hAnsi="宋体" w:eastAsia="黑体" w:cs="Times New Roman"/>
          <w:color w:val="auto"/>
          <w:sz w:val="32"/>
          <w:szCs w:val="32"/>
          <w:highlight w:val="none"/>
          <w:u w:val="none"/>
          <w:lang w:val="en-US" w:eastAsia="zh-CN"/>
        </w:rPr>
      </w:pPr>
      <w:r>
        <w:rPr>
          <w:rFonts w:hint="eastAsia" w:ascii="黑体" w:hAnsi="宋体" w:eastAsia="黑体" w:cs="Times New Roman"/>
          <w:color w:val="auto"/>
          <w:sz w:val="32"/>
          <w:szCs w:val="32"/>
          <w:highlight w:val="none"/>
          <w:u w:val="none"/>
          <w:lang w:val="zh-CN"/>
        </w:rPr>
        <w:t>（一）</w:t>
      </w:r>
      <w:r>
        <w:rPr>
          <w:rFonts w:hint="eastAsia" w:ascii="黑体" w:hAnsi="宋体" w:eastAsia="黑体" w:cs="Times New Roman"/>
          <w:color w:val="auto"/>
          <w:sz w:val="32"/>
          <w:szCs w:val="32"/>
          <w:highlight w:val="none"/>
          <w:u w:val="none"/>
          <w:lang w:val="en-US" w:eastAsia="zh-CN"/>
        </w:rPr>
        <w:t>通用指标</w:t>
      </w:r>
      <w:r>
        <w:rPr>
          <w:rFonts w:hint="default" w:ascii="黑体" w:hAnsi="宋体" w:eastAsia="黑体" w:cs="Times New Roman"/>
          <w:color w:val="auto"/>
          <w:sz w:val="32"/>
          <w:szCs w:val="32"/>
          <w:highlight w:val="none"/>
          <w:u w:val="none"/>
          <w:lang w:val="zh-CN"/>
        </w:rPr>
        <w:t>绩效分析。</w:t>
      </w:r>
    </w:p>
    <w:p w14:paraId="557019E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项目的设立、调整完全符合资金管理基本规范和决策程序要求；符合中央、省委省政府有关决策部署安排，项目绩效目标设置科学合理；资金与项目总体规划、相关行业事业发展相匹配，属于政府支持范围。</w:t>
      </w:r>
      <w:r>
        <w:rPr>
          <w:rFonts w:hint="eastAsia" w:ascii="仿宋_GB2312" w:hAnsi="仿宋_GB2312" w:eastAsia="仿宋_GB2312" w:cs="仿宋_GB2312"/>
          <w:sz w:val="32"/>
          <w:szCs w:val="32"/>
          <w:lang w:val="en-US" w:eastAsia="zh-CN"/>
        </w:rPr>
        <w:t>项目决策评分为18分。</w:t>
      </w:r>
    </w:p>
    <w:p w14:paraId="1C70125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项目管理。围绕制度办法、分配管理、绩效监管进行绩效分析。资金管理办法等管理制度体系健全完善，不存在管理制度缺失、管理办法过期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zh-CN" w:eastAsia="zh-CN"/>
        </w:rPr>
        <w:t>情况；资金分配因素选取充分考虑</w:t>
      </w:r>
      <w:r>
        <w:rPr>
          <w:rFonts w:hint="eastAsia" w:ascii="仿宋_GB2312" w:hAnsi="仿宋_GB2312" w:eastAsia="仿宋_GB2312" w:cs="仿宋_GB2312"/>
          <w:sz w:val="32"/>
          <w:szCs w:val="32"/>
          <w:lang w:val="en-US" w:eastAsia="zh-CN"/>
        </w:rPr>
        <w:t>我市事业</w:t>
      </w:r>
      <w:r>
        <w:rPr>
          <w:rFonts w:hint="eastAsia" w:ascii="仿宋_GB2312" w:hAnsi="仿宋_GB2312" w:eastAsia="仿宋_GB2312" w:cs="仿宋_GB2312"/>
          <w:sz w:val="32"/>
          <w:szCs w:val="32"/>
          <w:lang w:val="zh-CN" w:eastAsia="zh-CN"/>
        </w:rPr>
        <w:t>发展实际和发展需求，</w:t>
      </w:r>
      <w:r>
        <w:rPr>
          <w:rFonts w:hint="eastAsia" w:ascii="仿宋_GB2312" w:hAnsi="仿宋_GB2312" w:eastAsia="仿宋_GB2312" w:cs="仿宋_GB2312"/>
          <w:sz w:val="32"/>
          <w:szCs w:val="32"/>
          <w:lang w:val="en-US" w:eastAsia="zh-CN"/>
        </w:rPr>
        <w:t>分配公平合理，有效实行入库项目动态管理，严格项目申报审核程序，项目审批合规合法，资金分配严格按管理办法执行，决策程序符合管理要求，及时高效；项目按省州要求全面完成绩效目标（含事前评估）、绩效评价，州发改委对马尔康市预算绩效管理要求到位，不存在对市县资金分配和项目管理指导力度不够的情况，按时在项目完工后验收后开展评价、监督、指导等工作。项目管理评分为18分。</w:t>
      </w:r>
    </w:p>
    <w:p w14:paraId="17DECD7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3.项目实施。项目资金使用、拨付符合资金管理办法，不存在超范围、超标准、超进度使用专项资金，不存在资金损失浪费、长期沉淀、截留、挤占、挪用、虚列支出等情况。项目实施评分为9分。</w:t>
      </w:r>
    </w:p>
    <w:p w14:paraId="7F8DAE9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4.项目结果。围绕</w:t>
      </w:r>
      <w:r>
        <w:rPr>
          <w:rFonts w:hint="eastAsia" w:ascii="仿宋_GB2312" w:hAnsi="仿宋_GB2312" w:eastAsia="仿宋_GB2312" w:cs="仿宋_GB2312"/>
          <w:sz w:val="32"/>
          <w:szCs w:val="32"/>
          <w:lang w:val="zh-CN" w:eastAsia="zh-CN"/>
        </w:rPr>
        <w:t>目标完成、完成时效进行绩效分析。项目</w:t>
      </w:r>
      <w:r>
        <w:rPr>
          <w:rFonts w:hint="eastAsia" w:ascii="仿宋_GB2312" w:hAnsi="仿宋_GB2312" w:eastAsia="仿宋_GB2312" w:cs="仿宋_GB2312"/>
          <w:sz w:val="32"/>
          <w:szCs w:val="32"/>
          <w:lang w:val="en-US" w:eastAsia="zh-CN"/>
        </w:rPr>
        <w:t>于2024年按期</w:t>
      </w:r>
      <w:r>
        <w:rPr>
          <w:rFonts w:hint="eastAsia" w:ascii="仿宋_GB2312" w:hAnsi="仿宋_GB2312" w:eastAsia="仿宋_GB2312" w:cs="仿宋_GB2312"/>
          <w:sz w:val="32"/>
          <w:szCs w:val="32"/>
          <w:lang w:val="zh-CN" w:eastAsia="zh-CN"/>
        </w:rPr>
        <w:t>完成预期目标，</w:t>
      </w:r>
      <w:r>
        <w:rPr>
          <w:rFonts w:hint="eastAsia" w:ascii="仿宋_GB2312" w:hAnsi="仿宋_GB2312" w:eastAsia="仿宋_GB2312" w:cs="仿宋_GB2312"/>
          <w:sz w:val="32"/>
          <w:szCs w:val="32"/>
          <w:lang w:val="en-US" w:eastAsia="zh-CN"/>
        </w:rPr>
        <w:t>完成供暖设施设备安装。</w:t>
      </w:r>
      <w:r>
        <w:rPr>
          <w:rFonts w:hint="eastAsia" w:ascii="仿宋_GB2312" w:hAnsi="仿宋_GB2312" w:eastAsia="仿宋_GB2312" w:cs="仿宋_GB2312"/>
          <w:sz w:val="32"/>
          <w:szCs w:val="32"/>
          <w:lang w:val="zh-CN" w:eastAsia="zh-CN"/>
        </w:rPr>
        <w:t>实施结果与绩效目标相匹配</w:t>
      </w:r>
      <w:r>
        <w:rPr>
          <w:rFonts w:hint="eastAsia" w:ascii="仿宋_GB2312" w:hAnsi="仿宋_GB2312" w:eastAsia="仿宋_GB2312" w:cs="仿宋_GB2312"/>
          <w:sz w:val="32"/>
          <w:szCs w:val="32"/>
          <w:lang w:val="en-US" w:eastAsia="zh-CN"/>
        </w:rPr>
        <w:t>。项目结果评分为9分。</w:t>
      </w:r>
    </w:p>
    <w:p w14:paraId="3506C728">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outlineLvl w:val="9"/>
        <w:rPr>
          <w:rFonts w:hint="eastAsia" w:ascii="楷体_GB2312" w:hAnsi="楷体_GB2312" w:eastAsia="楷体_GB2312" w:cs="楷体_GB2312"/>
          <w:color w:val="auto"/>
          <w:szCs w:val="32"/>
          <w:lang w:val="zh-CN" w:eastAsia="zh-CN"/>
        </w:rPr>
      </w:pPr>
      <w:r>
        <w:rPr>
          <w:rFonts w:hint="eastAsia" w:ascii="黑体" w:hAnsi="宋体" w:eastAsia="黑体" w:cs="Times New Roman"/>
          <w:color w:val="auto"/>
          <w:sz w:val="32"/>
          <w:szCs w:val="32"/>
          <w:highlight w:val="none"/>
          <w:u w:val="none"/>
          <w:lang w:val="zh-CN"/>
        </w:rPr>
        <w:t>（二）</w:t>
      </w:r>
      <w:r>
        <w:rPr>
          <w:rFonts w:hint="eastAsia" w:ascii="黑体" w:hAnsi="宋体" w:eastAsia="黑体" w:cs="Times New Roman"/>
          <w:color w:val="auto"/>
          <w:sz w:val="32"/>
          <w:szCs w:val="32"/>
          <w:highlight w:val="none"/>
          <w:u w:val="none"/>
          <w:lang w:val="en-US" w:eastAsia="zh-CN"/>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黑体" w:hAnsi="宋体" w:eastAsia="黑体" w:cs="Times New Roman"/>
          <w:color w:val="auto"/>
          <w:sz w:val="32"/>
          <w:szCs w:val="32"/>
          <w:highlight w:val="none"/>
          <w:u w:val="none"/>
          <w:lang w:val="zh-CN"/>
        </w:rPr>
        <w:t>绩效分析。</w:t>
      </w:r>
      <w:r>
        <w:rPr>
          <w:rFonts w:hint="eastAsia" w:ascii="黑体" w:hAnsi="宋体" w:eastAsia="黑体" w:cs="Times New Roman"/>
          <w:color w:val="auto"/>
          <w:sz w:val="32"/>
          <w:szCs w:val="32"/>
          <w:highlight w:val="none"/>
          <w:u w:val="none"/>
          <w:lang w:val="en-US" w:eastAsia="zh-CN"/>
        </w:rPr>
        <w:t>2</w:t>
      </w:r>
      <w:r>
        <w:rPr>
          <w:rFonts w:hint="eastAsia" w:ascii="仿宋_GB2312" w:hAnsi="仿宋_GB2312" w:cs="仿宋_GB2312"/>
          <w:sz w:val="32"/>
          <w:szCs w:val="32"/>
          <w:lang w:val="en-US" w:eastAsia="zh-CN"/>
        </w:rPr>
        <w:t>024年建设项目项目建设完工，达到项目预期。专用指标绩效评分为30分。</w:t>
      </w:r>
    </w:p>
    <w:p w14:paraId="4E6C054B">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outlineLvl w:val="9"/>
        <w:rPr>
          <w:rFonts w:hint="eastAsia" w:ascii="仿宋_GB2312" w:hAnsi="仿宋_GB2312" w:eastAsia="宋体" w:cs="仿宋_GB2312"/>
          <w:sz w:val="32"/>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w:t>
      </w:r>
      <w:r>
        <w:rPr>
          <w:rFonts w:hint="eastAsia" w:ascii="黑体" w:hAnsi="宋体" w:eastAsia="黑体" w:cs="Times New Roman"/>
          <w:color w:val="auto"/>
          <w:sz w:val="32"/>
          <w:szCs w:val="32"/>
          <w:highlight w:val="none"/>
          <w:u w:val="none"/>
          <w:lang w:val="en-US" w:eastAsia="zh-CN"/>
        </w:rPr>
        <w:t>性指标</w:t>
      </w:r>
      <w:r>
        <w:rPr>
          <w:rFonts w:hint="default" w:ascii="黑体" w:hAnsi="宋体" w:eastAsia="黑体" w:cs="Times New Roman"/>
          <w:color w:val="auto"/>
          <w:sz w:val="32"/>
          <w:szCs w:val="32"/>
          <w:highlight w:val="none"/>
          <w:u w:val="none"/>
          <w:lang w:val="zh-CN" w:eastAsia="zh-CN"/>
        </w:rPr>
        <w:t>绩效分析。</w:t>
      </w:r>
      <w:r>
        <w:rPr>
          <w:rFonts w:hint="eastAsia" w:ascii="仿宋_GB2312" w:hAnsi="仿宋_GB2312" w:eastAsia="宋体" w:cs="仿宋_GB2312"/>
          <w:sz w:val="32"/>
          <w:szCs w:val="32"/>
          <w:lang w:val="zh-CN" w:eastAsia="zh-CN"/>
        </w:rPr>
        <w:t>根据项目个性自行设定部分指标，反映该项指标执行完成情况。</w:t>
      </w:r>
      <w:r>
        <w:rPr>
          <w:rFonts w:hint="eastAsia" w:ascii="仿宋_GB2312" w:hAnsi="仿宋_GB2312" w:eastAsia="宋体" w:cs="仿宋_GB2312"/>
          <w:sz w:val="32"/>
          <w:szCs w:val="32"/>
          <w:lang w:val="en-US" w:eastAsia="zh-CN"/>
        </w:rPr>
        <w:t>基础设施建设项目</w:t>
      </w:r>
      <w:r>
        <w:rPr>
          <w:rFonts w:hint="eastAsia" w:ascii="仿宋_GB2312" w:hAnsi="仿宋_GB2312" w:eastAsia="宋体" w:cs="仿宋_GB2312"/>
          <w:sz w:val="32"/>
          <w:szCs w:val="32"/>
          <w:lang w:val="zh-CN" w:eastAsia="zh-CN"/>
        </w:rPr>
        <w:t>建设内容</w:t>
      </w:r>
      <w:r>
        <w:rPr>
          <w:rFonts w:hint="eastAsia" w:ascii="仿宋_GB2312" w:hAnsi="仿宋_GB2312" w:eastAsia="宋体" w:cs="仿宋_GB2312"/>
          <w:sz w:val="32"/>
          <w:szCs w:val="32"/>
          <w:lang w:val="en-US" w:eastAsia="zh-CN"/>
        </w:rPr>
        <w:t>严格</w:t>
      </w:r>
      <w:r>
        <w:rPr>
          <w:rFonts w:hint="eastAsia" w:ascii="仿宋_GB2312" w:hAnsi="仿宋_GB2312" w:eastAsia="宋体" w:cs="仿宋_GB2312"/>
          <w:sz w:val="32"/>
          <w:szCs w:val="32"/>
          <w:lang w:val="zh-CN" w:eastAsia="zh-CN"/>
        </w:rPr>
        <w:t>按照申报方案实施，项目质量是否达到</w:t>
      </w:r>
      <w:r>
        <w:rPr>
          <w:rFonts w:hint="eastAsia" w:ascii="仿宋_GB2312" w:hAnsi="仿宋_GB2312" w:eastAsia="宋体" w:cs="仿宋_GB2312"/>
          <w:sz w:val="32"/>
          <w:szCs w:val="32"/>
          <w:lang w:val="en-US" w:eastAsia="zh-CN"/>
        </w:rPr>
        <w:t>投运，项目建成后成效发挥显著，提升城市形象、完善城市功能、提升人民群众幸福感。个性指标</w:t>
      </w:r>
      <w:r>
        <w:rPr>
          <w:rFonts w:hint="default" w:ascii="仿宋_GB2312" w:hAnsi="仿宋_GB2312" w:eastAsia="宋体" w:cs="仿宋_GB2312"/>
          <w:sz w:val="32"/>
          <w:szCs w:val="32"/>
          <w:lang w:val="zh-CN" w:eastAsia="zh-CN"/>
        </w:rPr>
        <w:t>绩效</w:t>
      </w:r>
      <w:r>
        <w:rPr>
          <w:rFonts w:hint="eastAsia" w:ascii="仿宋_GB2312" w:hAnsi="仿宋_GB2312" w:eastAsia="宋体" w:cs="仿宋_GB2312"/>
          <w:sz w:val="32"/>
          <w:szCs w:val="32"/>
          <w:lang w:val="en-US" w:eastAsia="zh-CN"/>
        </w:rPr>
        <w:t>评分为16分。</w:t>
      </w:r>
    </w:p>
    <w:p w14:paraId="3316BD9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709248B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通过项目的</w:t>
      </w:r>
      <w:r>
        <w:rPr>
          <w:rFonts w:hint="eastAsia" w:ascii="仿宋_GB2312" w:hAnsi="仿宋_GB2312" w:eastAsia="仿宋_GB2312" w:cs="仿宋_GB2312"/>
          <w:kern w:val="2"/>
          <w:sz w:val="32"/>
          <w:szCs w:val="32"/>
          <w:lang w:val="zh-CN" w:eastAsia="zh-CN" w:bidi="ar-SA"/>
        </w:rPr>
        <w:t>设立背景及基本情况，</w:t>
      </w:r>
      <w:r>
        <w:rPr>
          <w:rFonts w:hint="default" w:ascii="仿宋_GB2312" w:hAnsi="仿宋_GB2312" w:eastAsia="仿宋_GB2312" w:cs="仿宋_GB2312"/>
          <w:kern w:val="2"/>
          <w:sz w:val="32"/>
          <w:szCs w:val="32"/>
          <w:lang w:val="en-US" w:eastAsia="zh-CN" w:bidi="ar-SA"/>
        </w:rPr>
        <w:t>实施目的及支持方向</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预算安排及分配管理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项目绩效目标设置方面综合评价内容较好，</w:t>
      </w:r>
      <w:r>
        <w:rPr>
          <w:rFonts w:hint="eastAsia" w:ascii="仿宋_GB2312" w:hAnsi="仿宋_GB2312" w:eastAsia="仿宋_GB2312" w:cs="仿宋_GB2312"/>
          <w:kern w:val="2"/>
          <w:sz w:val="32"/>
          <w:szCs w:val="32"/>
          <w:lang w:val="en-US" w:eastAsia="zh-CN" w:bidi="ar-SA"/>
        </w:rPr>
        <w:t>评分为100分。项目建成后成效发挥显著，提升城市形象、完善城市功能、提升人民群众幸福感。</w:t>
      </w:r>
    </w:p>
    <w:p w14:paraId="6E6752F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28B37FB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141B357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51676516">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56" w:name="_Hlk110546638"/>
      <w:r>
        <w:rPr>
          <w:rFonts w:hint="eastAsia" w:ascii="仿宋_GB2312" w:hAnsi="仿宋_GB2312" w:cs="仿宋_GB2312"/>
          <w:b w:val="0"/>
          <w:bCs w:val="0"/>
          <w:kern w:val="0"/>
          <w:position w:val="0"/>
          <w:sz w:val="32"/>
          <w:szCs w:val="32"/>
          <w:highlight w:val="none"/>
          <w:lang w:val="en-US" w:eastAsia="zh-CN" w:bidi="ar-SA"/>
        </w:rPr>
        <w:t>无</w:t>
      </w:r>
    </w:p>
    <w:bookmarkEnd w:id="56"/>
    <w:p w14:paraId="74BCCCB4">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7B59FF5F">
      <w:pPr>
        <w:pStyle w:val="9"/>
        <w:rPr>
          <w:rFonts w:hint="eastAsia" w:ascii="Times New Roman" w:hAnsi="Times New Roman" w:cs="Times New Roman"/>
          <w:color w:val="000000"/>
          <w:kern w:val="0"/>
          <w:szCs w:val="32"/>
          <w:highlight w:val="none"/>
          <w:shd w:val="clear" w:color="auto" w:fill="FFFFFF"/>
          <w:lang w:val="zh-CN" w:eastAsia="zh-CN"/>
        </w:rPr>
      </w:pPr>
    </w:p>
    <w:p w14:paraId="2826B679">
      <w:pPr>
        <w:pStyle w:val="9"/>
        <w:rPr>
          <w:rFonts w:hint="eastAsia" w:ascii="Times New Roman" w:hAnsi="Times New Roman" w:cs="Times New Roman"/>
          <w:color w:val="000000"/>
          <w:kern w:val="0"/>
          <w:szCs w:val="32"/>
          <w:highlight w:val="none"/>
          <w:shd w:val="clear" w:color="auto" w:fill="FFFFFF"/>
          <w:lang w:val="zh-CN" w:eastAsia="zh-CN"/>
        </w:rPr>
      </w:pPr>
    </w:p>
    <w:p w14:paraId="4FC12EAE">
      <w:pPr>
        <w:pStyle w:val="9"/>
        <w:rPr>
          <w:rFonts w:hint="eastAsia" w:ascii="Times New Roman" w:hAnsi="Times New Roman" w:cs="Times New Roman"/>
          <w:color w:val="000000"/>
          <w:kern w:val="0"/>
          <w:szCs w:val="32"/>
          <w:highlight w:val="none"/>
          <w:shd w:val="clear" w:color="auto" w:fill="FFFFFF"/>
          <w:lang w:val="zh-CN" w:eastAsia="zh-CN"/>
        </w:rPr>
      </w:pPr>
    </w:p>
    <w:p w14:paraId="24F8C9D1">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color w:val="333333"/>
          <w:sz w:val="32"/>
          <w:szCs w:val="32"/>
          <w:lang w:val="en-US" w:eastAsia="zh-CN"/>
        </w:rPr>
      </w:pPr>
    </w:p>
    <w:p w14:paraId="25AB5901">
      <w:pPr>
        <w:numPr>
          <w:ilvl w:val="0"/>
          <w:numId w:val="5"/>
        </w:numPr>
        <w:spacing w:line="600" w:lineRule="exact"/>
        <w:ind w:left="0" w:leftChars="0" w:firstLine="660" w:firstLineChars="150"/>
        <w:jc w:val="left"/>
        <w:outlineLvl w:val="0"/>
        <w:rPr>
          <w:rFonts w:ascii="仿宋" w:hAnsi="仿宋" w:eastAsia="仿宋"/>
          <w:color w:val="auto"/>
          <w:highlight w:val="none"/>
        </w:rPr>
      </w:pPr>
      <w:bookmarkStart w:id="57" w:name="_Toc15396618"/>
      <w:r>
        <w:rPr>
          <w:rStyle w:val="32"/>
          <w:rFonts w:hint="eastAsia" w:ascii="黑体" w:hAnsi="黑体" w:eastAsia="黑体"/>
          <w:b w:val="0"/>
          <w:color w:val="auto"/>
          <w:highlight w:val="none"/>
        </w:rPr>
        <w:t>附表</w:t>
      </w:r>
      <w:bookmarkEnd w:id="55"/>
      <w:bookmarkEnd w:id="57"/>
      <w:bookmarkStart w:id="58" w:name="_Toc15396619"/>
    </w:p>
    <w:p w14:paraId="4279BE9A">
      <w:pPr>
        <w:pStyle w:val="3"/>
        <w:rPr>
          <w:rFonts w:hint="eastAsia" w:ascii="仿宋" w:hAnsi="仿宋" w:eastAsia="仿宋"/>
          <w:b w:val="0"/>
          <w:color w:val="auto"/>
          <w:highlight w:val="none"/>
        </w:rPr>
      </w:pPr>
      <w:r>
        <w:rPr>
          <w:rFonts w:hint="eastAsia" w:ascii="仿宋" w:hAnsi="仿宋" w:eastAsia="仿宋"/>
          <w:b w:val="0"/>
          <w:color w:val="auto"/>
          <w:highlight w:val="none"/>
        </w:rPr>
        <w:t>一、收入支出决算总表</w:t>
      </w:r>
      <w:bookmarkEnd w:id="58"/>
    </w:p>
    <w:p w14:paraId="02F9DFDE">
      <w:pPr>
        <w:pStyle w:val="3"/>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59"/>
    </w:p>
    <w:p w14:paraId="34FA3F55">
      <w:pPr>
        <w:pStyle w:val="3"/>
        <w:rPr>
          <w:rFonts w:ascii="仿宋" w:hAnsi="仿宋" w:eastAsia="仿宋"/>
          <w:color w:val="auto"/>
          <w:highlight w:val="none"/>
        </w:rPr>
      </w:pPr>
      <w:bookmarkStart w:id="60" w:name="_Toc15396621"/>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60"/>
    </w:p>
    <w:p w14:paraId="292C06A8">
      <w:pPr>
        <w:pStyle w:val="3"/>
        <w:rPr>
          <w:rFonts w:ascii="仿宋" w:hAnsi="仿宋" w:eastAsia="仿宋"/>
          <w:b w:val="0"/>
          <w:color w:val="auto"/>
          <w:highlight w:val="none"/>
        </w:rPr>
      </w:pPr>
      <w:bookmarkStart w:id="61"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61"/>
    </w:p>
    <w:p w14:paraId="4824E4DC">
      <w:pPr>
        <w:pStyle w:val="3"/>
        <w:rPr>
          <w:rStyle w:val="33"/>
          <w:rFonts w:ascii="仿宋" w:hAnsi="仿宋" w:eastAsia="仿宋"/>
          <w:b w:val="0"/>
          <w:bCs w:val="0"/>
          <w:color w:val="auto"/>
          <w:highlight w:val="none"/>
        </w:rPr>
      </w:pPr>
      <w:bookmarkStart w:id="62" w:name="_Toc15396623"/>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62"/>
      <w:bookmarkStart w:id="63" w:name="_Toc15396624"/>
    </w:p>
    <w:p w14:paraId="680428AA">
      <w:pPr>
        <w:pStyle w:val="3"/>
        <w:rPr>
          <w:rFonts w:ascii="仿宋" w:hAnsi="仿宋" w:eastAsia="仿宋"/>
          <w:color w:val="auto"/>
          <w:highlight w:val="none"/>
        </w:rPr>
      </w:pPr>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63"/>
    </w:p>
    <w:p w14:paraId="1B353936">
      <w:pPr>
        <w:pStyle w:val="3"/>
        <w:rPr>
          <w:rFonts w:ascii="仿宋" w:hAnsi="仿宋" w:eastAsia="仿宋"/>
          <w:color w:val="auto"/>
          <w:highlight w:val="none"/>
        </w:rPr>
      </w:pPr>
      <w:bookmarkStart w:id="64"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64"/>
    </w:p>
    <w:p w14:paraId="1ADBCB12">
      <w:pPr>
        <w:pStyle w:val="3"/>
        <w:rPr>
          <w:rFonts w:ascii="仿宋" w:hAnsi="仿宋" w:eastAsia="仿宋"/>
          <w:color w:val="auto"/>
          <w:highlight w:val="none"/>
        </w:rPr>
      </w:pPr>
      <w:bookmarkStart w:id="65" w:name="_Toc15396626"/>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65"/>
    </w:p>
    <w:p w14:paraId="6C2FAEF4">
      <w:pPr>
        <w:pStyle w:val="3"/>
        <w:rPr>
          <w:rFonts w:ascii="仿宋" w:hAnsi="仿宋" w:eastAsia="仿宋"/>
          <w:color w:val="auto"/>
          <w:highlight w:val="none"/>
        </w:rPr>
      </w:pPr>
      <w:bookmarkStart w:id="66" w:name="_Toc15396627"/>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66"/>
    </w:p>
    <w:p w14:paraId="2F0E6465">
      <w:pPr>
        <w:pStyle w:val="3"/>
        <w:rPr>
          <w:rFonts w:ascii="仿宋" w:hAnsi="仿宋" w:eastAsia="仿宋"/>
          <w:color w:val="auto"/>
          <w:highlight w:val="none"/>
        </w:rPr>
      </w:pPr>
      <w:bookmarkStart w:id="67" w:name="_Toc15396628"/>
      <w:r>
        <w:rPr>
          <w:rStyle w:val="33"/>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p>
    <w:p w14:paraId="308CD334">
      <w:pPr>
        <w:pStyle w:val="3"/>
        <w:rPr>
          <w:rFonts w:ascii="仿宋" w:hAnsi="仿宋" w:eastAsia="仿宋"/>
          <w:color w:val="auto"/>
          <w:highlight w:val="none"/>
        </w:rPr>
      </w:pPr>
      <w:bookmarkStart w:id="68" w:name="_Toc15396629"/>
      <w:r>
        <w:rPr>
          <w:rStyle w:val="33"/>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p>
    <w:p w14:paraId="488B26D2">
      <w:pPr>
        <w:pStyle w:val="3"/>
        <w:rPr>
          <w:rFonts w:ascii="仿宋" w:hAnsi="仿宋" w:eastAsia="仿宋"/>
          <w:color w:val="auto"/>
          <w:highlight w:val="none"/>
        </w:rPr>
      </w:pPr>
      <w:bookmarkStart w:id="69" w:name="_Toc15396630"/>
      <w:r>
        <w:rPr>
          <w:rStyle w:val="33"/>
          <w:rFonts w:hint="eastAsia" w:ascii="仿宋" w:hAnsi="仿宋" w:eastAsia="仿宋"/>
          <w:b w:val="0"/>
          <w:bCs w:val="0"/>
          <w:color w:val="auto"/>
          <w:highlight w:val="none"/>
        </w:rPr>
        <w:t>十二、</w:t>
      </w:r>
      <w:bookmarkEnd w:id="69"/>
      <w:r>
        <w:rPr>
          <w:rStyle w:val="33"/>
          <w:rFonts w:hint="eastAsia" w:ascii="仿宋" w:hAnsi="仿宋" w:eastAsia="仿宋"/>
          <w:b w:val="0"/>
          <w:bCs w:val="0"/>
          <w:color w:val="auto"/>
          <w:highlight w:val="none"/>
          <w:lang w:eastAsia="zh-CN"/>
        </w:rPr>
        <w:t>国有资本经营预算财政拨款支出决算表</w:t>
      </w:r>
    </w:p>
    <w:p w14:paraId="209630FB">
      <w:pPr>
        <w:pStyle w:val="3"/>
        <w:rPr>
          <w:rFonts w:hint="eastAsia" w:eastAsia="仿宋"/>
          <w:color w:val="auto"/>
          <w:highlight w:val="none"/>
          <w:lang w:eastAsia="zh-CN"/>
        </w:rPr>
      </w:pPr>
      <w:bookmarkStart w:id="70" w:name="_Toc15396631"/>
      <w:r>
        <w:rPr>
          <w:rStyle w:val="33"/>
          <w:rFonts w:hint="eastAsia" w:ascii="仿宋" w:hAnsi="仿宋" w:eastAsia="仿宋"/>
          <w:b w:val="0"/>
          <w:bCs w:val="0"/>
          <w:color w:val="auto"/>
          <w:highlight w:val="none"/>
        </w:rPr>
        <w:t>十三、</w:t>
      </w:r>
      <w:bookmarkEnd w:id="70"/>
      <w:r>
        <w:rPr>
          <w:rStyle w:val="33"/>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761A90">
        <w:pPr>
          <w:pStyle w:val="11"/>
          <w:jc w:val="center"/>
        </w:pPr>
        <w:r>
          <w:fldChar w:fldCharType="begin"/>
        </w:r>
        <w:r>
          <w:instrText xml:space="preserve">PAGE   \* MERGEFORMAT</w:instrText>
        </w:r>
        <w:r>
          <w:fldChar w:fldCharType="separate"/>
        </w:r>
        <w:r>
          <w:rPr>
            <w:lang w:val="zh-CN"/>
          </w:rPr>
          <w:t>8</w:t>
        </w:r>
        <w:r>
          <w:fldChar w:fldCharType="end"/>
        </w:r>
      </w:p>
    </w:sdtContent>
  </w:sdt>
  <w:p w14:paraId="60BE0D5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37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DA6E"/>
    <w:multiLevelType w:val="singleLevel"/>
    <w:tmpl w:val="8E1DDA6E"/>
    <w:lvl w:ilvl="0" w:tentative="0">
      <w:start w:val="3"/>
      <w:numFmt w:val="decimal"/>
      <w:lvlText w:val="%1."/>
      <w:lvlJc w:val="left"/>
      <w:pPr>
        <w:tabs>
          <w:tab w:val="left" w:pos="312"/>
        </w:tabs>
      </w:pPr>
    </w:lvl>
  </w:abstractNum>
  <w:abstractNum w:abstractNumId="1">
    <w:nsid w:val="B693A570"/>
    <w:multiLevelType w:val="singleLevel"/>
    <w:tmpl w:val="B693A570"/>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0053208E"/>
    <w:multiLevelType w:val="singleLevel"/>
    <w:tmpl w:val="0053208E"/>
    <w:lvl w:ilvl="0" w:tentative="0">
      <w:start w:val="7"/>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7B6A08A"/>
    <w:multiLevelType w:val="singleLevel"/>
    <w:tmpl w:val="37B6A08A"/>
    <w:lvl w:ilvl="0" w:tentative="0">
      <w:start w:val="2"/>
      <w:numFmt w:val="chineseCounting"/>
      <w:suff w:val="nothing"/>
      <w:lvlText w:val="（%1）"/>
      <w:lvlJc w:val="left"/>
      <w:rPr>
        <w:rFonts w:hint="eastAsia"/>
      </w:r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ZTNhY2EwY2RjODBmODk3YzBmOTA2NTI0Zjc5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50689"/>
    <w:rsid w:val="053A62B5"/>
    <w:rsid w:val="064C262D"/>
    <w:rsid w:val="09ED3100"/>
    <w:rsid w:val="09FE6958"/>
    <w:rsid w:val="0A2032A3"/>
    <w:rsid w:val="0B8A37D8"/>
    <w:rsid w:val="0C6240A5"/>
    <w:rsid w:val="10C055FF"/>
    <w:rsid w:val="111E5122"/>
    <w:rsid w:val="118107EC"/>
    <w:rsid w:val="11DD6519"/>
    <w:rsid w:val="16BB723D"/>
    <w:rsid w:val="16C826A5"/>
    <w:rsid w:val="18015F3F"/>
    <w:rsid w:val="1BE8440E"/>
    <w:rsid w:val="1D155CEE"/>
    <w:rsid w:val="1FBB2D75"/>
    <w:rsid w:val="20F57F95"/>
    <w:rsid w:val="240371BF"/>
    <w:rsid w:val="25711CC6"/>
    <w:rsid w:val="25C741E6"/>
    <w:rsid w:val="27842671"/>
    <w:rsid w:val="28064FDC"/>
    <w:rsid w:val="28474412"/>
    <w:rsid w:val="29FD04D3"/>
    <w:rsid w:val="2ABE7A3E"/>
    <w:rsid w:val="2CA234A8"/>
    <w:rsid w:val="2D2578AE"/>
    <w:rsid w:val="2EFA178C"/>
    <w:rsid w:val="30B46D73"/>
    <w:rsid w:val="3119074E"/>
    <w:rsid w:val="315F792B"/>
    <w:rsid w:val="319F7F4E"/>
    <w:rsid w:val="3720190B"/>
    <w:rsid w:val="383D272C"/>
    <w:rsid w:val="39AE70AB"/>
    <w:rsid w:val="3AEA295B"/>
    <w:rsid w:val="3C0C0783"/>
    <w:rsid w:val="3F9F3A96"/>
    <w:rsid w:val="48BF60AB"/>
    <w:rsid w:val="493C27E9"/>
    <w:rsid w:val="496F39ED"/>
    <w:rsid w:val="49FF41D3"/>
    <w:rsid w:val="4A076A23"/>
    <w:rsid w:val="4BE068DB"/>
    <w:rsid w:val="4BF6002B"/>
    <w:rsid w:val="4CA5530C"/>
    <w:rsid w:val="4E2E1C77"/>
    <w:rsid w:val="4ECE2238"/>
    <w:rsid w:val="4ED82367"/>
    <w:rsid w:val="51DB4B86"/>
    <w:rsid w:val="55333C3E"/>
    <w:rsid w:val="563720E0"/>
    <w:rsid w:val="577B61C8"/>
    <w:rsid w:val="63DF01FD"/>
    <w:rsid w:val="64CA39A1"/>
    <w:rsid w:val="66822C7A"/>
    <w:rsid w:val="67002A3B"/>
    <w:rsid w:val="69630ADE"/>
    <w:rsid w:val="6C4A05C8"/>
    <w:rsid w:val="6D3B1A89"/>
    <w:rsid w:val="6DB6160C"/>
    <w:rsid w:val="70DB6E00"/>
    <w:rsid w:val="70E45F37"/>
    <w:rsid w:val="71BF4EC2"/>
    <w:rsid w:val="72734D90"/>
    <w:rsid w:val="7412278C"/>
    <w:rsid w:val="760B6E15"/>
    <w:rsid w:val="79E7B28D"/>
    <w:rsid w:val="7DA07633"/>
    <w:rsid w:val="7E5054C0"/>
    <w:rsid w:val="7F160BF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99"/>
    <w:pPr>
      <w:spacing w:line="560" w:lineRule="atLeast"/>
      <w:ind w:firstLine="640" w:firstLineChars="200"/>
    </w:pPr>
    <w:rPr>
      <w:rFonts w:ascii="宋体" w:hAnsi="宋体" w:cs="宋体"/>
      <w:color w:val="FF0000"/>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Body Text 2"/>
    <w:basedOn w:val="1"/>
    <w:qFormat/>
    <w:uiPriority w:val="0"/>
  </w:style>
  <w:style w:type="paragraph" w:styleId="17">
    <w:name w:val="Normal (Web)"/>
    <w:basedOn w:val="1"/>
    <w:qFormat/>
    <w:uiPriority w:val="99"/>
    <w:pPr>
      <w:spacing w:beforeAutospacing="1" w:afterAutospacing="1"/>
      <w:jc w:val="left"/>
    </w:pPr>
    <w:rPr>
      <w:kern w:val="0"/>
      <w:sz w:val="24"/>
      <w:szCs w:val="24"/>
    </w:rPr>
  </w:style>
  <w:style w:type="paragraph" w:styleId="18">
    <w:name w:val="Body Text First Indent 2"/>
    <w:basedOn w:val="7"/>
    <w:unhideWhenUsed/>
    <w:qFormat/>
    <w:uiPriority w:val="0"/>
    <w:pPr>
      <w:widowControl w:val="0"/>
      <w:spacing w:after="120"/>
      <w:ind w:left="420" w:leftChars="200" w:firstLine="420" w:firstLineChars="200"/>
    </w:pPr>
    <w:rPr>
      <w:rFonts w:ascii="仿宋_GB2312" w:hAnsi="仿宋_GB2312" w:eastAsia="仿宋_GB2312" w:cs="Times New Roman"/>
      <w:kern w:val="2"/>
      <w:sz w:val="32"/>
      <w:szCs w:val="24"/>
      <w:lang w:val="en-US" w:eastAsia="zh-CN" w:bidi="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2"/>
    <w:qFormat/>
    <w:uiPriority w:val="9"/>
    <w:rPr>
      <w:rFonts w:ascii="Times New Roman" w:hAnsi="Times New Roman"/>
      <w:b/>
      <w:bCs/>
      <w:kern w:val="44"/>
      <w:sz w:val="44"/>
      <w:szCs w:val="44"/>
    </w:rPr>
  </w:style>
  <w:style w:type="character" w:customStyle="1" w:styleId="33">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0"/>
    <w:semiHidden/>
    <w:qFormat/>
    <w:uiPriority w:val="99"/>
    <w:rPr>
      <w:rFonts w:ascii="Times New Roman" w:hAnsi="Times New Roman"/>
      <w:kern w:val="2"/>
      <w:sz w:val="18"/>
      <w:szCs w:val="18"/>
    </w:rPr>
  </w:style>
  <w:style w:type="character" w:customStyle="1" w:styleId="36">
    <w:name w:val="标题 3 Char"/>
    <w:basedOn w:val="21"/>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普通(网站) Char"/>
    <w:basedOn w:val="1"/>
    <w:qFormat/>
    <w:uiPriority w:val="0"/>
    <w:pPr>
      <w:spacing w:before="100" w:beforeAutospacing="1" w:after="100" w:afterAutospacing="1"/>
      <w:ind w:left="0" w:right="0"/>
      <w:jc w:val="left"/>
    </w:pPr>
    <w:rPr>
      <w:rFonts w:hint="eastAsia" w:ascii="仿宋" w:hAnsi="仿宋" w:eastAsia="仿宋" w:cs="仿宋"/>
      <w:color w:val="000000"/>
      <w:kern w:val="0"/>
      <w:sz w:val="24"/>
      <w:szCs w:val="24"/>
      <w:lang w:val="en-US" w:eastAsia="zh-CN" w:bidi="ar"/>
    </w:rPr>
  </w:style>
  <w:style w:type="character" w:customStyle="1" w:styleId="39">
    <w:name w:val="18"/>
    <w:basedOn w:val="21"/>
    <w:qFormat/>
    <w:uiPriority w:val="0"/>
    <w:rPr>
      <w:rFonts w:hint="default" w:ascii="Times New Roman" w:hAnsi="Times New Roman" w:cs="Times New Roman"/>
      <w:b/>
    </w:rPr>
  </w:style>
  <w:style w:type="character" w:customStyle="1" w:styleId="40">
    <w:name w:val="16"/>
    <w:basedOn w:val="21"/>
    <w:qFormat/>
    <w:uiPriority w:val="0"/>
    <w:rPr>
      <w:rFonts w:hint="default" w:ascii="Times New Roman" w:hAnsi="Times New Roman" w:cs="Times New Roman"/>
      <w:b/>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e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2659</Words>
  <Characters>3258</Characters>
  <Lines>61</Lines>
  <Paragraphs>17</Paragraphs>
  <TotalTime>1</TotalTime>
  <ScaleCrop>false</ScaleCrop>
  <LinksUpToDate>false</LinksUpToDate>
  <CharactersWithSpaces>3271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Leader</cp:lastModifiedBy>
  <cp:lastPrinted>2023-10-10T08:22:00Z</cp:lastPrinted>
  <dcterms:modified xsi:type="dcterms:W3CDTF">2025-10-23T07:25:21Z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3BA8B928D1A74C85AA477F925366AC37_13</vt:lpwstr>
  </property>
  <property fmtid="{D5CDD505-2E9C-101B-9397-08002B2CF9AE}" pid="4" name="KSOTemplateDocerSaveRecord">
    <vt:lpwstr>eyJoZGlkIjoiYTFlZTNhY2EwY2RjODBmODk3YzBmOTA2NTI0Zjc5NWIiLCJ1c2VySWQiOiI0NTY2NDU5NDQifQ==</vt:lpwstr>
  </property>
</Properties>
</file>