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A2F19">
      <w:pPr>
        <w:spacing w:line="600" w:lineRule="exact"/>
        <w:jc w:val="left"/>
        <w:outlineLvl w:val="0"/>
        <w:rPr>
          <w:rFonts w:ascii="方正小标宋简体" w:hAnsi="宋体" w:eastAsia="方正小标宋简体"/>
          <w:color w:val="auto"/>
          <w:sz w:val="21"/>
          <w:szCs w:val="21"/>
          <w:highlight w:val="none"/>
        </w:rPr>
      </w:pPr>
      <w:bookmarkStart w:id="0" w:name="_Toc15306267"/>
    </w:p>
    <w:p w14:paraId="53F23AEF">
      <w:pPr>
        <w:spacing w:line="600" w:lineRule="exact"/>
        <w:jc w:val="center"/>
        <w:outlineLvl w:val="0"/>
        <w:rPr>
          <w:rFonts w:ascii="方正小标宋简体" w:hAnsi="宋体" w:eastAsia="方正小标宋简体"/>
          <w:color w:val="auto"/>
          <w:sz w:val="72"/>
          <w:szCs w:val="72"/>
          <w:highlight w:val="none"/>
        </w:rPr>
      </w:pPr>
    </w:p>
    <w:p w14:paraId="64472718">
      <w:pPr>
        <w:spacing w:line="600" w:lineRule="exact"/>
        <w:jc w:val="center"/>
        <w:outlineLvl w:val="0"/>
        <w:rPr>
          <w:rFonts w:ascii="方正小标宋简体" w:hAnsi="宋体" w:eastAsia="方正小标宋简体"/>
          <w:color w:val="auto"/>
          <w:sz w:val="72"/>
          <w:szCs w:val="72"/>
          <w:highlight w:val="none"/>
        </w:rPr>
      </w:pPr>
    </w:p>
    <w:p w14:paraId="20755C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Times New Roman"/>
          <w:sz w:val="72"/>
          <w:szCs w:val="72"/>
        </w:rPr>
      </w:pPr>
      <w:bookmarkStart w:id="1" w:name="_Toc15396475"/>
      <w:bookmarkStart w:id="2" w:name="_Toc15377193"/>
      <w:bookmarkStart w:id="3" w:name="_Toc15377425"/>
      <w:bookmarkStart w:id="4" w:name="_Toc15378441"/>
      <w:bookmarkStart w:id="5" w:name="_Toc15396597"/>
      <w:r>
        <w:rPr>
          <w:rFonts w:hint="eastAsia" w:ascii="黑体" w:hAnsi="黑体" w:eastAsia="黑体" w:cs="Times New Roman"/>
          <w:sz w:val="72"/>
          <w:szCs w:val="72"/>
        </w:rPr>
        <w:t>20</w:t>
      </w:r>
      <w:r>
        <w:rPr>
          <w:rFonts w:hint="eastAsia" w:ascii="黑体" w:hAnsi="黑体" w:eastAsia="黑体" w:cs="Times New Roman"/>
          <w:sz w:val="72"/>
          <w:szCs w:val="72"/>
          <w:lang w:val="en-US" w:eastAsia="zh-CN"/>
        </w:rPr>
        <w:t>24</w:t>
      </w:r>
      <w:r>
        <w:rPr>
          <w:rFonts w:hint="eastAsia" w:ascii="黑体" w:hAnsi="黑体" w:eastAsia="黑体" w:cs="Times New Roman"/>
          <w:sz w:val="72"/>
          <w:szCs w:val="72"/>
        </w:rPr>
        <w:t>年度</w:t>
      </w:r>
      <w:bookmarkEnd w:id="1"/>
      <w:bookmarkEnd w:id="2"/>
      <w:bookmarkEnd w:id="3"/>
      <w:bookmarkEnd w:id="4"/>
      <w:bookmarkEnd w:id="5"/>
    </w:p>
    <w:p w14:paraId="18698A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Times New Roman"/>
          <w:sz w:val="72"/>
          <w:szCs w:val="72"/>
          <w:lang w:val="en-US" w:eastAsia="zh-CN"/>
        </w:rPr>
      </w:pPr>
      <w:bookmarkStart w:id="6" w:name="_Toc15377426"/>
      <w:bookmarkStart w:id="7" w:name="_Toc15378442"/>
      <w:bookmarkStart w:id="8" w:name="_Toc15396598"/>
      <w:bookmarkStart w:id="9" w:name="_Toc15396476"/>
      <w:bookmarkStart w:id="10" w:name="_Toc15377194"/>
      <w:r>
        <w:rPr>
          <w:rFonts w:hint="eastAsia" w:ascii="黑体" w:hAnsi="黑体" w:eastAsia="黑体" w:cs="Times New Roman"/>
          <w:sz w:val="72"/>
          <w:szCs w:val="72"/>
          <w:lang w:val="en-US" w:eastAsia="zh-CN"/>
        </w:rPr>
        <w:t>马尔康市</w:t>
      </w:r>
      <w:bookmarkEnd w:id="0"/>
      <w:bookmarkStart w:id="11" w:name="_Toc15306268"/>
      <w:r>
        <w:rPr>
          <w:rFonts w:hint="eastAsia" w:ascii="黑体" w:hAnsi="黑体" w:eastAsia="黑体" w:cs="Times New Roman"/>
          <w:sz w:val="72"/>
          <w:szCs w:val="72"/>
          <w:lang w:val="en-US" w:eastAsia="zh-CN"/>
        </w:rPr>
        <w:t>住房和城乡建设局部门</w:t>
      </w:r>
      <w:r>
        <w:rPr>
          <w:rFonts w:hint="eastAsia" w:ascii="黑体" w:hAnsi="黑体" w:eastAsia="黑体" w:cs="Times New Roman"/>
          <w:sz w:val="72"/>
          <w:szCs w:val="72"/>
        </w:rPr>
        <w:t>决算</w:t>
      </w:r>
      <w:bookmarkEnd w:id="6"/>
      <w:bookmarkEnd w:id="7"/>
      <w:bookmarkEnd w:id="8"/>
      <w:bookmarkEnd w:id="9"/>
      <w:bookmarkEnd w:id="10"/>
      <w:bookmarkEnd w:id="11"/>
      <w:r>
        <w:rPr>
          <w:rFonts w:hint="eastAsia" w:ascii="黑体" w:hAnsi="黑体" w:eastAsia="黑体" w:cs="Times New Roman"/>
          <w:sz w:val="72"/>
          <w:szCs w:val="72"/>
          <w:lang w:val="en-US" w:eastAsia="zh-CN"/>
        </w:rPr>
        <w:t>公开</w:t>
      </w:r>
    </w:p>
    <w:p w14:paraId="561AC9D6">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6E17972D">
      <w:pPr>
        <w:widowControl/>
        <w:jc w:val="center"/>
        <w:rPr>
          <w:rFonts w:ascii="黑体" w:hAnsi="黑体" w:eastAsia="黑体" w:cstheme="minorBidi"/>
          <w:color w:val="auto"/>
          <w:sz w:val="28"/>
          <w:szCs w:val="28"/>
          <w:highlight w:val="none"/>
        </w:rPr>
      </w:pPr>
    </w:p>
    <w:p w14:paraId="16146AAB">
      <w:pPr>
        <w:pStyle w:val="13"/>
        <w:rPr>
          <w:color w:val="auto"/>
          <w:highlight w:val="none"/>
        </w:rPr>
      </w:pPr>
      <w:r>
        <w:rPr>
          <w:rFonts w:hint="eastAsia"/>
          <w:color w:val="auto"/>
          <w:highlight w:val="none"/>
        </w:rPr>
        <w:t>公开时间：20</w:t>
      </w:r>
      <w:r>
        <w:rPr>
          <w:rFonts w:hint="eastAsia"/>
          <w:color w:val="auto"/>
          <w:highlight w:val="none"/>
          <w:lang w:val="en-US" w:eastAsia="zh-CN"/>
        </w:rPr>
        <w:t>25</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23</w:t>
      </w:r>
      <w:r>
        <w:rPr>
          <w:rFonts w:hint="eastAsia"/>
          <w:color w:val="auto"/>
          <w:highlight w:val="none"/>
        </w:rPr>
        <w:t>日</w:t>
      </w:r>
    </w:p>
    <w:p w14:paraId="2335E08A">
      <w:pPr>
        <w:rPr>
          <w:color w:val="auto"/>
          <w:highlight w:val="none"/>
        </w:rPr>
      </w:pPr>
    </w:p>
    <w:p w14:paraId="51B6D79B">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 xml:space="preserve">第一部分 </w:t>
      </w:r>
      <w:r>
        <w:rPr>
          <w:rFonts w:hint="eastAsia" w:ascii="Times New Roman" w:hAnsi="Times New Roman" w:cs="Times New Roman"/>
          <w:color w:val="auto"/>
          <w:sz w:val="24"/>
          <w:highlight w:val="none"/>
          <w:lang w:eastAsia="zh-CN"/>
        </w:rPr>
        <w:t>单位</w:t>
      </w:r>
      <w:r>
        <w:rPr>
          <w:rFonts w:hint="eastAsia" w:ascii="Times New Roman" w:hAnsi="Times New Roman" w:cs="Times New Roman"/>
          <w:color w:val="auto"/>
          <w:sz w:val="24"/>
          <w:highlight w:val="none"/>
        </w:rPr>
        <w:t>概况</w:t>
      </w:r>
    </w:p>
    <w:p w14:paraId="79E5AEBA">
      <w:pPr>
        <w:pStyle w:val="15"/>
        <w:adjustRightInd w:val="0"/>
        <w:snapToGrid w:val="0"/>
        <w:spacing w:line="440" w:lineRule="exact"/>
        <w:jc w:val="left"/>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rPr>
        <w:t>一、</w:t>
      </w:r>
      <w:r>
        <w:rPr>
          <w:rFonts w:hint="eastAsia" w:ascii="Times New Roman" w:hAnsi="Times New Roman" w:cs="Times New Roman"/>
          <w:color w:val="auto"/>
          <w:sz w:val="24"/>
          <w:highlight w:val="none"/>
          <w:lang w:eastAsia="zh-CN"/>
        </w:rPr>
        <w:t>主要职责</w:t>
      </w:r>
    </w:p>
    <w:p w14:paraId="29DB55BC">
      <w:pPr>
        <w:pStyle w:val="15"/>
        <w:adjustRightInd w:val="0"/>
        <w:snapToGrid w:val="0"/>
        <w:spacing w:line="440" w:lineRule="exact"/>
        <w:jc w:val="left"/>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eastAsia="zh-CN"/>
        </w:rPr>
        <w:t>二</w:t>
      </w:r>
      <w:r>
        <w:rPr>
          <w:rFonts w:hint="eastAsia" w:ascii="Times New Roman" w:hAnsi="Times New Roman" w:cs="Times New Roman"/>
          <w:color w:val="auto"/>
          <w:sz w:val="24"/>
          <w:highlight w:val="none"/>
        </w:rPr>
        <w:t>、</w:t>
      </w:r>
      <w:r>
        <w:rPr>
          <w:rFonts w:hint="eastAsia" w:ascii="Times New Roman" w:hAnsi="Times New Roman" w:cs="Times New Roman"/>
          <w:color w:val="auto"/>
          <w:sz w:val="24"/>
          <w:highlight w:val="none"/>
          <w:lang w:eastAsia="zh-CN"/>
        </w:rPr>
        <w:t>机构设置</w:t>
      </w:r>
    </w:p>
    <w:p w14:paraId="46C3E91D">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第二部分</w:t>
      </w:r>
      <w:r>
        <w:rPr>
          <w:rFonts w:hint="eastAsia" w:ascii="Times New Roman" w:hAnsi="Times New Roman" w:cs="Times New Roman"/>
          <w:color w:val="auto"/>
          <w:sz w:val="24"/>
          <w:highlight w:val="none"/>
          <w:lang w:val="en-US" w:eastAsia="zh-CN"/>
        </w:rPr>
        <w:t xml:space="preserve"> 202</w:t>
      </w:r>
      <w:r>
        <w:rPr>
          <w:rFonts w:hint="eastAsia" w:cs="Times New Roman"/>
          <w:color w:val="auto"/>
          <w:sz w:val="24"/>
          <w:highlight w:val="none"/>
          <w:lang w:val="en-US" w:eastAsia="zh-CN"/>
        </w:rPr>
        <w:t>4</w:t>
      </w:r>
      <w:r>
        <w:rPr>
          <w:rFonts w:hint="eastAsia" w:ascii="Times New Roman" w:hAnsi="Times New Roman" w:cs="Times New Roman"/>
          <w:color w:val="auto"/>
          <w:sz w:val="24"/>
          <w:highlight w:val="none"/>
          <w:lang w:val="en-US" w:eastAsia="zh-CN"/>
        </w:rPr>
        <w:t>年度</w:t>
      </w:r>
      <w:r>
        <w:rPr>
          <w:rFonts w:hint="eastAsia" w:ascii="Times New Roman" w:hAnsi="Times New Roman" w:cs="Times New Roman"/>
          <w:color w:val="auto"/>
          <w:sz w:val="24"/>
          <w:highlight w:val="none"/>
          <w:lang w:eastAsia="zh-CN"/>
        </w:rPr>
        <w:t>单位</w:t>
      </w:r>
      <w:r>
        <w:rPr>
          <w:rFonts w:hint="eastAsia" w:ascii="Times New Roman" w:hAnsi="Times New Roman" w:cs="Times New Roman"/>
          <w:color w:val="auto"/>
          <w:sz w:val="24"/>
          <w:highlight w:val="none"/>
        </w:rPr>
        <w:t>决算情况说明</w:t>
      </w:r>
      <w:bookmarkStart w:id="71" w:name="_GoBack"/>
      <w:bookmarkEnd w:id="71"/>
    </w:p>
    <w:p w14:paraId="1A122D90">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一、收入支出决算总体情况说明</w:t>
      </w:r>
    </w:p>
    <w:p w14:paraId="29F9380A">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二、收入决算情况说明</w:t>
      </w:r>
    </w:p>
    <w:p w14:paraId="630E7573">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三、支出决算情况说明</w:t>
      </w:r>
    </w:p>
    <w:p w14:paraId="3196369E">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四、财政拨款收入支出决算总体情况说明</w:t>
      </w:r>
    </w:p>
    <w:p w14:paraId="2776A56D">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五、一般公共预算财政拨款支出决算情况说明</w:t>
      </w:r>
    </w:p>
    <w:p w14:paraId="1AC144A6">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六、一般公共预算财政拨款基本支出决算情况说明</w:t>
      </w:r>
    </w:p>
    <w:p w14:paraId="12FBA6E3">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七、财政拨款</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三公”经费支出决算情况说明</w:t>
      </w:r>
    </w:p>
    <w:p w14:paraId="056968A4">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八、政府性基金预算支出决算情况说明</w:t>
      </w:r>
    </w:p>
    <w:p w14:paraId="1BCFBEAD">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九、国有资本经营预算支出决算情况说明</w:t>
      </w:r>
    </w:p>
    <w:p w14:paraId="0B69099A">
      <w:pPr>
        <w:pStyle w:val="15"/>
        <w:adjustRightInd w:val="0"/>
        <w:snapToGrid w:val="0"/>
        <w:spacing w:line="440" w:lineRule="exact"/>
        <w:jc w:val="left"/>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rPr>
        <w:t>十、其他重要事项的情况说明</w:t>
      </w:r>
    </w:p>
    <w:p w14:paraId="53094F7C">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第三部分 名词解释</w:t>
      </w:r>
    </w:p>
    <w:p w14:paraId="35EB039B">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第四部分 附件</w:t>
      </w:r>
    </w:p>
    <w:p w14:paraId="50FCAF7C">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附件1 </w:t>
      </w:r>
    </w:p>
    <w:p w14:paraId="3D507B0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马尔康住建局202</w:t>
      </w:r>
      <w:r>
        <w:rPr>
          <w:rFonts w:hint="eastAsia" w:ascii="宋体" w:hAnsi="宋体" w:cs="宋体"/>
          <w:i w:val="0"/>
          <w:iCs w:val="0"/>
          <w:caps w:val="0"/>
          <w:color w:val="333333"/>
          <w:spacing w:val="0"/>
          <w:sz w:val="24"/>
          <w:szCs w:val="24"/>
          <w:shd w:val="clear" w:fill="FFFFFF"/>
          <w:lang w:val="en-US" w:eastAsia="zh-CN"/>
        </w:rPr>
        <w:t>4</w:t>
      </w:r>
      <w:r>
        <w:rPr>
          <w:rFonts w:hint="eastAsia" w:ascii="宋体" w:hAnsi="宋体" w:eastAsia="宋体" w:cs="宋体"/>
          <w:i w:val="0"/>
          <w:iCs w:val="0"/>
          <w:caps w:val="0"/>
          <w:color w:val="333333"/>
          <w:spacing w:val="0"/>
          <w:sz w:val="24"/>
          <w:szCs w:val="24"/>
          <w:shd w:val="clear" w:fill="FFFFFF"/>
        </w:rPr>
        <w:t>年部门整体支出绩效评价报告 </w:t>
      </w:r>
    </w:p>
    <w:p w14:paraId="0468F5AA">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附件2：</w:t>
      </w:r>
    </w:p>
    <w:p w14:paraId="4694AF23">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lang w:val="en-US" w:eastAsia="zh-CN"/>
        </w:rPr>
        <w:t>2024年马尔康市住房和城乡建设局预算项目自评表</w:t>
      </w:r>
    </w:p>
    <w:p w14:paraId="36AD5C40">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附件</w:t>
      </w:r>
      <w:r>
        <w:rPr>
          <w:rFonts w:hint="eastAsia" w:ascii="宋体" w:hAnsi="宋体"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rPr>
        <w:t> </w:t>
      </w:r>
    </w:p>
    <w:p w14:paraId="18BD7F1C">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四川省马尔康市住房和城乡建设局马尔康市城镇供暖配套设施建设项目</w:t>
      </w:r>
    </w:p>
    <w:p w14:paraId="092D9F83">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绩效评估报告</w:t>
      </w:r>
    </w:p>
    <w:p w14:paraId="09BFFBE4">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第五部分 附表</w:t>
      </w:r>
    </w:p>
    <w:p w14:paraId="77F40977">
      <w:pPr>
        <w:pStyle w:val="15"/>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14:paraId="47B9F363">
      <w:pPr>
        <w:pStyle w:val="15"/>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14:paraId="48D61BFA">
      <w:pPr>
        <w:pStyle w:val="15"/>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14:paraId="0339AF9F">
      <w:pPr>
        <w:pStyle w:val="15"/>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14:paraId="4BFF8188">
      <w:pPr>
        <w:pStyle w:val="15"/>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14:paraId="7B12047B">
      <w:pPr>
        <w:pStyle w:val="15"/>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14:paraId="6321BFAC">
      <w:pPr>
        <w:pStyle w:val="15"/>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14:paraId="75867A53">
      <w:pPr>
        <w:pStyle w:val="15"/>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14:paraId="2F41FB6D">
      <w:pPr>
        <w:pStyle w:val="15"/>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14:paraId="790526D1">
      <w:pPr>
        <w:pStyle w:val="15"/>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14:paraId="57C31136">
      <w:pPr>
        <w:pStyle w:val="15"/>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14:paraId="2A20F5AB">
      <w:pPr>
        <w:pStyle w:val="15"/>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14:paraId="2EDD5202">
      <w:pPr>
        <w:pStyle w:val="15"/>
        <w:adjustRightInd w:val="0"/>
        <w:snapToGrid w:val="0"/>
        <w:spacing w:line="440" w:lineRule="exact"/>
        <w:jc w:val="left"/>
        <w:rPr>
          <w:rFonts w:hint="eastAsia"/>
          <w:color w:val="auto"/>
          <w:sz w:val="24"/>
          <w:highlight w:val="none"/>
        </w:rPr>
      </w:pPr>
      <w:r>
        <w:rPr>
          <w:rFonts w:hint="eastAsia"/>
          <w:color w:val="auto"/>
          <w:sz w:val="24"/>
          <w:highlight w:val="none"/>
        </w:rPr>
        <w:t>十三、财政拨款“三公”经费支出决算表</w:t>
      </w:r>
    </w:p>
    <w:p w14:paraId="770C9F2E">
      <w:pPr>
        <w:widowControl/>
        <w:adjustRightInd w:val="0"/>
        <w:snapToGrid w:val="0"/>
        <w:spacing w:line="440" w:lineRule="exact"/>
        <w:ind w:firstLine="1320" w:firstLineChars="550"/>
        <w:jc w:val="left"/>
        <w:rPr>
          <w:rFonts w:ascii="仿宋" w:hAnsi="仿宋" w:eastAsia="仿宋"/>
          <w:color w:val="auto"/>
          <w:sz w:val="24"/>
          <w:highlight w:val="none"/>
        </w:rPr>
      </w:pPr>
      <w:r>
        <w:rPr>
          <w:rFonts w:ascii="仿宋" w:hAnsi="仿宋" w:eastAsia="仿宋"/>
          <w:color w:val="auto"/>
          <w:sz w:val="24"/>
          <w:highlight w:val="none"/>
        </w:rPr>
        <w:t>(注：</w:t>
      </w:r>
      <w:r>
        <w:rPr>
          <w:rFonts w:hint="eastAsia" w:ascii="仿宋" w:hAnsi="仿宋" w:eastAsia="仿宋"/>
          <w:color w:val="auto"/>
          <w:sz w:val="24"/>
          <w:highlight w:val="none"/>
        </w:rPr>
        <w:t>请</w:t>
      </w:r>
      <w:r>
        <w:rPr>
          <w:rFonts w:hint="eastAsia" w:ascii="仿宋" w:hAnsi="仿宋" w:eastAsia="仿宋"/>
          <w:color w:val="auto"/>
          <w:sz w:val="24"/>
          <w:highlight w:val="none"/>
          <w:lang w:eastAsia="zh-CN"/>
        </w:rPr>
        <w:t>单位</w:t>
      </w:r>
      <w:r>
        <w:rPr>
          <w:rFonts w:hint="eastAsia" w:ascii="仿宋" w:hAnsi="仿宋" w:eastAsia="仿宋"/>
          <w:color w:val="auto"/>
          <w:sz w:val="24"/>
          <w:highlight w:val="none"/>
        </w:rPr>
        <w:t>根据实际注明页码</w:t>
      </w:r>
      <w:r>
        <w:rPr>
          <w:rFonts w:ascii="仿宋" w:hAnsi="仿宋" w:eastAsia="仿宋"/>
          <w:color w:val="auto"/>
          <w:sz w:val="24"/>
          <w:highlight w:val="none"/>
        </w:rPr>
        <w:t>)</w:t>
      </w:r>
    </w:p>
    <w:p w14:paraId="4AEEAB34">
      <w:pPr>
        <w:widowControl/>
        <w:spacing w:line="440" w:lineRule="exact"/>
        <w:jc w:val="left"/>
        <w:rPr>
          <w:rFonts w:ascii="仿宋" w:hAnsi="仿宋" w:eastAsia="仿宋"/>
          <w:bCs/>
          <w:color w:val="auto"/>
          <w:kern w:val="44"/>
          <w:sz w:val="24"/>
          <w:highlight w:val="none"/>
        </w:rPr>
      </w:pPr>
      <w:bookmarkStart w:id="12" w:name="_Toc15377196"/>
      <w:bookmarkStart w:id="13" w:name="_Toc15396599"/>
      <w:r>
        <w:rPr>
          <w:rFonts w:ascii="仿宋" w:hAnsi="仿宋" w:eastAsia="仿宋"/>
          <w:b/>
          <w:color w:val="auto"/>
          <w:sz w:val="24"/>
          <w:highlight w:val="none"/>
        </w:rPr>
        <w:br w:type="page"/>
      </w:r>
    </w:p>
    <w:p w14:paraId="32EABBF5">
      <w:pPr>
        <w:pStyle w:val="2"/>
        <w:jc w:val="center"/>
        <w:rPr>
          <w:rStyle w:val="32"/>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32"/>
          <w:rFonts w:hint="eastAsia" w:ascii="黑体" w:hAnsi="黑体" w:eastAsia="黑体"/>
          <w:b w:val="0"/>
          <w:bCs w:val="0"/>
          <w:color w:val="auto"/>
          <w:highlight w:val="none"/>
        </w:rPr>
        <w:t>概况</w:t>
      </w:r>
      <w:bookmarkEnd w:id="12"/>
      <w:bookmarkEnd w:id="13"/>
    </w:p>
    <w:p w14:paraId="381DC2C4">
      <w:pPr>
        <w:widowControl/>
        <w:jc w:val="left"/>
        <w:rPr>
          <w:rFonts w:ascii="黑体" w:eastAsia="黑体"/>
          <w:color w:val="auto"/>
          <w:sz w:val="32"/>
          <w:szCs w:val="32"/>
          <w:highlight w:val="none"/>
        </w:rPr>
      </w:pPr>
    </w:p>
    <w:p w14:paraId="071052B2">
      <w:pPr>
        <w:pStyle w:val="3"/>
        <w:numPr>
          <w:ilvl w:val="0"/>
          <w:numId w:val="1"/>
        </w:numPr>
        <w:rPr>
          <w:rStyle w:val="33"/>
          <w:rFonts w:hint="eastAsia" w:ascii="黑体" w:hAnsi="黑体" w:eastAsia="黑体"/>
          <w:b w:val="0"/>
          <w:bCs w:val="0"/>
          <w:color w:val="auto"/>
          <w:highlight w:val="none"/>
          <w:lang w:eastAsia="zh-CN"/>
        </w:rPr>
      </w:pPr>
      <w:bookmarkStart w:id="14" w:name="_Toc15377197"/>
      <w:bookmarkStart w:id="15" w:name="_Toc15396600"/>
      <w:r>
        <w:rPr>
          <w:rStyle w:val="33"/>
          <w:rFonts w:hint="eastAsia" w:ascii="黑体" w:hAnsi="黑体" w:eastAsia="黑体"/>
          <w:b w:val="0"/>
          <w:bCs w:val="0"/>
          <w:color w:val="auto"/>
          <w:highlight w:val="none"/>
          <w:lang w:eastAsia="zh-CN"/>
        </w:rPr>
        <w:t>主要职责</w:t>
      </w:r>
    </w:p>
    <w:p w14:paraId="6FA369D5">
      <w:pPr>
        <w:pStyle w:val="38"/>
        <w:keepNext w:val="0"/>
        <w:keepLines w:val="0"/>
        <w:widowControl/>
        <w:suppressLineNumbers w:val="0"/>
        <w:spacing w:before="0" w:beforeAutospacing="0"/>
        <w:ind w:left="0"/>
        <w:jc w:val="left"/>
        <w:rPr>
          <w:rFonts w:hint="eastAsia" w:ascii="仿宋" w:hAnsi="仿宋" w:eastAsia="仿宋" w:cs="仿宋"/>
          <w:color w:val="000000"/>
          <w:kern w:val="0"/>
          <w:sz w:val="30"/>
          <w:szCs w:val="30"/>
          <w:shd w:val="clear" w:color="auto" w:fill="auto"/>
        </w:rPr>
      </w:pPr>
      <w:r>
        <w:rPr>
          <w:rFonts w:hint="eastAsia" w:ascii="仿宋" w:hAnsi="仿宋" w:eastAsia="仿宋" w:cs="仿宋"/>
          <w:color w:val="000000"/>
          <w:kern w:val="0"/>
          <w:sz w:val="30"/>
          <w:szCs w:val="30"/>
          <w:shd w:val="clear" w:color="auto" w:fill="auto"/>
        </w:rPr>
        <w:t>1．主要职能。</w:t>
      </w:r>
    </w:p>
    <w:p w14:paraId="113D657D">
      <w:pPr>
        <w:keepNext w:val="0"/>
        <w:keepLines w:val="0"/>
        <w:widowControl/>
        <w:suppressLineNumbers w:val="0"/>
        <w:snapToGrid w:val="0"/>
        <w:spacing w:line="520" w:lineRule="exact"/>
        <w:ind w:left="0" w:firstLine="600" w:firstLineChars="200"/>
        <w:rPr>
          <w:rFonts w:hint="eastAsia"/>
          <w:lang w:eastAsia="zh-CN"/>
        </w:rPr>
      </w:pPr>
      <w:r>
        <w:rPr>
          <w:rFonts w:hint="default" w:ascii="仿宋" w:hAnsi="仿宋" w:eastAsia="仿宋" w:cs="仿宋"/>
          <w:snapToGrid w:val="0"/>
          <w:color w:val="000000"/>
          <w:kern w:val="0"/>
          <w:sz w:val="30"/>
          <w:szCs w:val="30"/>
          <w:shd w:val="clear" w:color="auto" w:fill="auto"/>
          <w:lang w:val="en-US" w:eastAsia="zh-CN" w:bidi="ar"/>
        </w:rPr>
        <w:t>负责工程建设实施中的协调、监督管理工作，参与工程项目前期准备阶段的有关工作；定期报告重点建设计划执行情况，分析趋势，提出建议，会同有关部门共同组织建设工程项目验收和慨算调整；研究制定我县建筑业的发展规划，对建筑业实施行业管理，培育和管理建筑市场；负责建筑工程报建、招投标、竣工验收、施工许可、建设监理、合同、安全生产、工程质量和建筑业新技术推广和应用，有形建筑市场的监督管理工作；参与工程师管理，监督检查重大质量事故的调查处理。</w:t>
      </w:r>
    </w:p>
    <w:p w14:paraId="5D9E9B92">
      <w:pPr>
        <w:pStyle w:val="3"/>
        <w:numPr>
          <w:ilvl w:val="0"/>
          <w:numId w:val="1"/>
        </w:numPr>
        <w:ind w:left="0" w:leftChars="0" w:firstLine="0" w:firstLineChars="0"/>
        <w:rPr>
          <w:rFonts w:hint="eastAsia" w:ascii="黑体" w:hAnsi="黑体" w:eastAsia="黑体"/>
          <w:b w:val="0"/>
          <w:color w:val="auto"/>
          <w:highlight w:val="none"/>
          <w:lang w:val="en-US" w:eastAsia="zh-CN"/>
        </w:rPr>
      </w:pPr>
      <w:r>
        <w:rPr>
          <w:rFonts w:hint="eastAsia" w:ascii="黑体" w:hAnsi="黑体" w:eastAsia="黑体"/>
          <w:b w:val="0"/>
          <w:color w:val="auto"/>
          <w:highlight w:val="none"/>
          <w:lang w:val="en-US" w:eastAsia="zh-CN"/>
        </w:rPr>
        <w:t>机构设置</w:t>
      </w:r>
    </w:p>
    <w:p w14:paraId="7653E55A">
      <w:pPr>
        <w:pStyle w:val="17"/>
        <w:widowControl/>
        <w:shd w:val="clear" w:color="auto" w:fill="FFFFFF"/>
        <w:spacing w:beforeAutospacing="0" w:afterAutospacing="0" w:line="420" w:lineRule="atLeast"/>
        <w:ind w:firstLine="42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阿坝州马尔康市</w:t>
      </w:r>
      <w:r>
        <w:rPr>
          <w:rFonts w:hint="eastAsia" w:ascii="仿宋_GB2312" w:hAnsi="仿宋_GB2312" w:eastAsia="仿宋_GB2312" w:cs="仿宋_GB2312"/>
          <w:color w:val="333333"/>
          <w:sz w:val="32"/>
          <w:szCs w:val="32"/>
          <w:shd w:val="clear" w:color="auto" w:fill="FFFFFF"/>
          <w:lang w:val="en-US" w:eastAsia="zh-CN"/>
        </w:rPr>
        <w:t>城乡和住房建设局</w:t>
      </w:r>
      <w:r>
        <w:rPr>
          <w:rFonts w:hint="eastAsia" w:ascii="仿宋_GB2312" w:hAnsi="仿宋_GB2312" w:eastAsia="仿宋_GB2312" w:cs="仿宋_GB2312"/>
          <w:color w:val="333333"/>
          <w:sz w:val="32"/>
          <w:szCs w:val="32"/>
          <w:shd w:val="clear" w:color="auto" w:fill="FFFFFF"/>
        </w:rPr>
        <w:t>下属二级单位</w:t>
      </w:r>
      <w:r>
        <w:rPr>
          <w:rFonts w:hint="eastAsia" w:ascii="仿宋_GB2312" w:hAnsi="仿宋_GB2312" w:eastAsia="仿宋_GB2312" w:cs="仿宋_GB2312"/>
          <w:color w:val="333333"/>
          <w:sz w:val="32"/>
          <w:szCs w:val="32"/>
          <w:shd w:val="clear" w:color="auto" w:fill="FFFFFF"/>
          <w:lang w:val="en-US" w:eastAsia="zh-CN"/>
        </w:rPr>
        <w:t>3</w:t>
      </w:r>
      <w:r>
        <w:rPr>
          <w:rFonts w:hint="eastAsia" w:ascii="仿宋_GB2312" w:hAnsi="仿宋_GB2312" w:eastAsia="仿宋_GB2312" w:cs="仿宋_GB2312"/>
          <w:color w:val="333333"/>
          <w:sz w:val="32"/>
          <w:szCs w:val="32"/>
          <w:shd w:val="clear" w:color="auto" w:fill="FFFFFF"/>
        </w:rPr>
        <w:t>个，其中行政单位1个，参照公务员法管理的事业单位0个，其他事业单位</w:t>
      </w: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rPr>
        <w:t>个。</w:t>
      </w:r>
    </w:p>
    <w:p w14:paraId="1D8891DA">
      <w:pPr>
        <w:pStyle w:val="17"/>
        <w:widowControl/>
        <w:shd w:val="clear" w:color="auto" w:fill="FFFFFF"/>
        <w:spacing w:beforeAutospacing="0" w:afterAutospacing="0" w:line="420" w:lineRule="atLeast"/>
        <w:ind w:firstLine="42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纳入阿坝州马尔康市</w:t>
      </w:r>
      <w:r>
        <w:rPr>
          <w:rFonts w:hint="eastAsia" w:ascii="仿宋_GB2312" w:hAnsi="仿宋_GB2312" w:eastAsia="仿宋_GB2312" w:cs="仿宋_GB2312"/>
          <w:color w:val="333333"/>
          <w:sz w:val="32"/>
          <w:szCs w:val="32"/>
          <w:shd w:val="clear" w:color="auto" w:fill="FFFFFF"/>
          <w:lang w:val="en-US" w:eastAsia="zh-CN"/>
        </w:rPr>
        <w:t>住房和城乡建设局</w:t>
      </w:r>
      <w:r>
        <w:rPr>
          <w:rFonts w:hint="eastAsia" w:ascii="仿宋_GB2312" w:hAnsi="仿宋_GB2312" w:eastAsia="仿宋_GB2312" w:cs="仿宋_GB2312"/>
          <w:color w:val="333333"/>
          <w:sz w:val="32"/>
          <w:szCs w:val="32"/>
          <w:shd w:val="clear" w:color="auto" w:fill="FFFFFF"/>
        </w:rPr>
        <w:t>202</w:t>
      </w:r>
      <w:r>
        <w:rPr>
          <w:rFonts w:hint="eastAsia" w:ascii="仿宋_GB2312" w:hAnsi="仿宋_GB2312" w:eastAsia="仿宋_GB2312" w:cs="仿宋_GB2312"/>
          <w:color w:val="333333"/>
          <w:sz w:val="32"/>
          <w:szCs w:val="32"/>
          <w:shd w:val="clear" w:color="auto" w:fill="FFFFFF"/>
          <w:lang w:val="en-US" w:eastAsia="zh-CN"/>
        </w:rPr>
        <w:t>4</w:t>
      </w:r>
      <w:r>
        <w:rPr>
          <w:rFonts w:hint="eastAsia" w:ascii="仿宋_GB2312" w:hAnsi="仿宋_GB2312" w:eastAsia="仿宋_GB2312" w:cs="仿宋_GB2312"/>
          <w:color w:val="333333"/>
          <w:sz w:val="32"/>
          <w:szCs w:val="32"/>
          <w:shd w:val="clear" w:color="auto" w:fill="FFFFFF"/>
        </w:rPr>
        <w:t>年度部门决算编制范围的二级预算单位包括：</w:t>
      </w:r>
    </w:p>
    <w:p w14:paraId="38AB8B09">
      <w:pPr>
        <w:pStyle w:val="17"/>
        <w:widowControl/>
        <w:shd w:val="clear" w:color="auto" w:fill="FFFFFF"/>
        <w:spacing w:beforeAutospacing="0" w:afterAutospacing="0" w:line="420" w:lineRule="atLeast"/>
        <w:ind w:firstLine="42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1.阿坝州马尔康市</w:t>
      </w:r>
      <w:r>
        <w:rPr>
          <w:rFonts w:hint="eastAsia" w:ascii="仿宋_GB2312" w:hAnsi="仿宋_GB2312" w:eastAsia="仿宋_GB2312" w:cs="仿宋_GB2312"/>
          <w:color w:val="333333"/>
          <w:sz w:val="32"/>
          <w:szCs w:val="32"/>
          <w:shd w:val="clear" w:color="auto" w:fill="FFFFFF"/>
          <w:lang w:val="en-US" w:eastAsia="zh-CN"/>
        </w:rPr>
        <w:t>城乡和住房建设</w:t>
      </w:r>
      <w:r>
        <w:rPr>
          <w:rFonts w:hint="eastAsia" w:ascii="仿宋_GB2312" w:hAnsi="仿宋_GB2312" w:eastAsia="仿宋_GB2312" w:cs="仿宋_GB2312"/>
          <w:color w:val="333333"/>
          <w:sz w:val="32"/>
          <w:szCs w:val="32"/>
          <w:shd w:val="clear" w:color="auto" w:fill="FFFFFF"/>
        </w:rPr>
        <w:t>局（本级）</w:t>
      </w:r>
    </w:p>
    <w:p w14:paraId="0BEBA125">
      <w:pPr>
        <w:pStyle w:val="17"/>
        <w:widowControl/>
        <w:shd w:val="clear" w:color="auto" w:fill="FFFFFF"/>
        <w:spacing w:beforeAutospacing="0" w:afterAutospacing="0" w:line="420" w:lineRule="atLeast"/>
        <w:ind w:firstLine="42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2.阿坝州马尔康市</w:t>
      </w:r>
      <w:r>
        <w:rPr>
          <w:rFonts w:hint="eastAsia" w:ascii="仿宋_GB2312" w:hAnsi="仿宋_GB2312" w:eastAsia="仿宋_GB2312" w:cs="仿宋_GB2312"/>
          <w:color w:val="333333"/>
          <w:sz w:val="32"/>
          <w:szCs w:val="32"/>
          <w:shd w:val="clear" w:color="auto" w:fill="FFFFFF"/>
          <w:lang w:val="en-US" w:eastAsia="zh-CN"/>
        </w:rPr>
        <w:t>城乡和住房建设</w:t>
      </w:r>
      <w:r>
        <w:rPr>
          <w:rFonts w:hint="eastAsia" w:ascii="仿宋_GB2312" w:hAnsi="仿宋_GB2312" w:eastAsia="仿宋_GB2312" w:cs="仿宋_GB2312"/>
          <w:color w:val="333333"/>
          <w:sz w:val="32"/>
          <w:szCs w:val="32"/>
          <w:shd w:val="clear" w:color="auto" w:fill="FFFFFF"/>
        </w:rPr>
        <w:t>局（</w:t>
      </w:r>
      <w:r>
        <w:rPr>
          <w:rFonts w:hint="eastAsia" w:ascii="仿宋_GB2312" w:hAnsi="仿宋_GB2312" w:eastAsia="仿宋_GB2312" w:cs="仿宋_GB2312"/>
          <w:color w:val="333333"/>
          <w:sz w:val="32"/>
          <w:szCs w:val="32"/>
          <w:shd w:val="clear" w:color="auto" w:fill="FFFFFF"/>
          <w:lang w:val="en-US" w:eastAsia="zh-CN"/>
        </w:rPr>
        <w:t>事业</w:t>
      </w:r>
      <w:r>
        <w:rPr>
          <w:rFonts w:hint="eastAsia" w:ascii="仿宋_GB2312" w:hAnsi="仿宋_GB2312" w:eastAsia="仿宋_GB2312" w:cs="仿宋_GB2312"/>
          <w:color w:val="333333"/>
          <w:sz w:val="32"/>
          <w:szCs w:val="32"/>
          <w:shd w:val="clear" w:color="auto" w:fill="FFFFFF"/>
        </w:rPr>
        <w:t>）</w:t>
      </w:r>
    </w:p>
    <w:p w14:paraId="3C447E3C">
      <w:pPr>
        <w:pStyle w:val="17"/>
        <w:widowControl/>
        <w:shd w:val="clear" w:color="auto" w:fill="FFFFFF"/>
        <w:spacing w:beforeAutospacing="0" w:afterAutospacing="0" w:line="420" w:lineRule="atLeast"/>
        <w:ind w:firstLine="420"/>
        <w:rPr>
          <w:rFonts w:hint="default"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3.马尔康市公用事业服务中心</w:t>
      </w:r>
    </w:p>
    <w:p w14:paraId="1344D607">
      <w:pPr>
        <w:rPr>
          <w:rFonts w:hint="eastAsia"/>
          <w:lang w:val="en-US" w:eastAsia="zh-CN"/>
        </w:rPr>
      </w:pPr>
    </w:p>
    <w:p w14:paraId="4F5D3F58">
      <w:pPr>
        <w:pStyle w:val="17"/>
        <w:widowControl/>
        <w:shd w:val="clear" w:color="auto" w:fill="FFFFFF"/>
        <w:spacing w:beforeAutospacing="0" w:afterAutospacing="0" w:line="420" w:lineRule="atLeast"/>
        <w:ind w:firstLine="420"/>
        <w:rPr>
          <w:rFonts w:ascii="仿宋_GB2312" w:hAnsi="仿宋_GB2312" w:eastAsia="仿宋_GB2312"/>
          <w:color w:val="333333"/>
          <w:sz w:val="32"/>
          <w:szCs w:val="32"/>
        </w:rPr>
      </w:pPr>
      <w:r>
        <w:rPr>
          <w:rFonts w:hint="eastAsia" w:ascii="仿宋_GB2312" w:hAnsi="仿宋_GB2312" w:eastAsia="仿宋_GB2312" w:cs="仿宋_GB2312"/>
          <w:color w:val="333333"/>
          <w:sz w:val="32"/>
          <w:szCs w:val="32"/>
          <w:shd w:val="clear" w:color="auto" w:fill="FFFFFF"/>
        </w:rPr>
        <w:t>根据上述职责，马尔康</w:t>
      </w:r>
      <w:r>
        <w:rPr>
          <w:rFonts w:hint="eastAsia" w:ascii="仿宋_GB2312" w:hAnsi="仿宋_GB2312" w:eastAsia="仿宋_GB2312" w:cs="仿宋_GB2312"/>
          <w:color w:val="333333"/>
          <w:sz w:val="32"/>
          <w:szCs w:val="32"/>
          <w:shd w:val="clear" w:color="auto" w:fill="FFFFFF"/>
          <w:lang w:val="en-US" w:eastAsia="zh-CN"/>
        </w:rPr>
        <w:t>市住房和城乡建设</w:t>
      </w:r>
      <w:r>
        <w:rPr>
          <w:rFonts w:hint="eastAsia" w:ascii="仿宋_GB2312" w:hAnsi="仿宋_GB2312" w:eastAsia="仿宋_GB2312" w:cs="仿宋_GB2312"/>
          <w:color w:val="333333"/>
          <w:sz w:val="32"/>
          <w:szCs w:val="32"/>
          <w:shd w:val="clear" w:color="auto" w:fill="FFFFFF"/>
        </w:rPr>
        <w:t>局设</w:t>
      </w:r>
      <w:r>
        <w:rPr>
          <w:rFonts w:hint="eastAsia" w:ascii="仿宋_GB2312" w:hAnsi="仿宋_GB2312" w:eastAsia="仿宋_GB2312" w:cs="仿宋_GB2312"/>
          <w:color w:val="333333"/>
          <w:sz w:val="32"/>
          <w:szCs w:val="32"/>
          <w:shd w:val="clear" w:color="auto" w:fill="FFFFFF"/>
          <w:lang w:val="en-US" w:eastAsia="zh-CN"/>
        </w:rPr>
        <w:t>5</w:t>
      </w:r>
      <w:r>
        <w:rPr>
          <w:rFonts w:hint="eastAsia" w:ascii="仿宋_GB2312" w:hAnsi="仿宋_GB2312" w:eastAsia="仿宋_GB2312" w:cs="仿宋_GB2312"/>
          <w:color w:val="333333"/>
          <w:sz w:val="32"/>
          <w:szCs w:val="32"/>
          <w:shd w:val="clear" w:color="auto" w:fill="FFFFFF"/>
        </w:rPr>
        <w:t>个内设股（室）：</w:t>
      </w:r>
    </w:p>
    <w:p w14:paraId="7AD319D0">
      <w:pPr>
        <w:numPr>
          <w:ilvl w:val="0"/>
          <w:numId w:val="0"/>
        </w:numPr>
        <w:ind w:leftChars="0"/>
        <w:rPr>
          <w:rFonts w:hint="eastAsia"/>
          <w:lang w:val="en-US" w:eastAsia="zh-CN"/>
        </w:rPr>
      </w:pPr>
      <w:r>
        <w:rPr>
          <w:rFonts w:hint="eastAsia" w:ascii="仿宋_GB2312" w:hAnsi="仿宋_GB2312" w:eastAsia="仿宋_GB2312" w:cs="仿宋_GB2312"/>
          <w:b w:val="0"/>
          <w:bCs/>
          <w:sz w:val="32"/>
          <w:szCs w:val="32"/>
          <w:lang w:val="en-US" w:eastAsia="zh-CN"/>
        </w:rPr>
        <w:t>（1）综合股（2）城乡建设管理股（3）住房保障股（4）城乡环境综合治理服务中心（5）村镇股。</w:t>
      </w:r>
    </w:p>
    <w:bookmarkEnd w:id="14"/>
    <w:bookmarkEnd w:id="15"/>
    <w:p w14:paraId="21BD57B3">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1D0A18FE">
      <w:pPr>
        <w:pStyle w:val="2"/>
        <w:ind w:right="440"/>
        <w:jc w:val="center"/>
        <w:rPr>
          <w:rStyle w:val="32"/>
          <w:rFonts w:ascii="黑体" w:hAnsi="黑体" w:eastAsia="黑体"/>
          <w:b w:val="0"/>
          <w:bCs/>
          <w:color w:val="auto"/>
          <w:highlight w:val="none"/>
        </w:rPr>
      </w:pPr>
      <w:bookmarkStart w:id="16" w:name="_Toc15377204"/>
      <w:bookmarkStart w:id="1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2024年度</w:t>
      </w:r>
      <w:r>
        <w:rPr>
          <w:rStyle w:val="32"/>
          <w:rFonts w:hint="eastAsia" w:ascii="黑体" w:hAnsi="黑体" w:eastAsia="黑体"/>
          <w:b w:val="0"/>
          <w:bCs/>
          <w:color w:val="auto"/>
          <w:highlight w:val="none"/>
          <w:lang w:eastAsia="zh-CN"/>
        </w:rPr>
        <w:t>单位</w:t>
      </w:r>
      <w:r>
        <w:rPr>
          <w:rStyle w:val="32"/>
          <w:rFonts w:hint="eastAsia" w:ascii="黑体" w:hAnsi="黑体" w:eastAsia="黑体"/>
          <w:b w:val="0"/>
          <w:bCs/>
          <w:color w:val="auto"/>
          <w:highlight w:val="none"/>
        </w:rPr>
        <w:t>决算情况说明</w:t>
      </w:r>
      <w:bookmarkEnd w:id="16"/>
      <w:bookmarkEnd w:id="17"/>
    </w:p>
    <w:p w14:paraId="24237EBB">
      <w:pPr>
        <w:rPr>
          <w:color w:val="auto"/>
          <w:highlight w:val="none"/>
        </w:rPr>
      </w:pPr>
    </w:p>
    <w:p w14:paraId="1DD94305">
      <w:pPr>
        <w:pStyle w:val="31"/>
        <w:numPr>
          <w:ilvl w:val="0"/>
          <w:numId w:val="2"/>
        </w:numPr>
        <w:spacing w:line="600" w:lineRule="exact"/>
        <w:ind w:firstLineChars="0"/>
        <w:outlineLvl w:val="1"/>
        <w:rPr>
          <w:rStyle w:val="33"/>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33"/>
          <w:rFonts w:hint="eastAsia" w:ascii="黑体" w:hAnsi="黑体" w:eastAsia="黑体"/>
          <w:b w:val="0"/>
          <w:color w:val="auto"/>
          <w:highlight w:val="none"/>
        </w:rPr>
        <w:t>入支出决算总体情况说明</w:t>
      </w:r>
      <w:bookmarkEnd w:id="18"/>
      <w:bookmarkEnd w:id="19"/>
    </w:p>
    <w:p w14:paraId="0DEC5DE9">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20600.56</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年收、支总计</w:t>
      </w:r>
      <w:r>
        <w:rPr>
          <w:rFonts w:hint="eastAsia" w:ascii="仿宋" w:hAnsi="仿宋" w:eastAsia="仿宋"/>
          <w:color w:val="auto"/>
          <w:sz w:val="32"/>
          <w:szCs w:val="32"/>
          <w:highlight w:val="none"/>
          <w:lang w:val="en-US" w:eastAsia="zh-CN"/>
        </w:rPr>
        <w:t>29112.53</w:t>
      </w:r>
      <w:r>
        <w:rPr>
          <w:rFonts w:hint="eastAsia" w:ascii="仿宋" w:hAnsi="仿宋" w:eastAsia="仿宋"/>
          <w:color w:val="auto"/>
          <w:sz w:val="32"/>
          <w:szCs w:val="32"/>
          <w:highlight w:val="none"/>
        </w:rPr>
        <w:t>万元相比，收、支总计</w:t>
      </w:r>
      <w:r>
        <w:rPr>
          <w:rFonts w:hint="eastAsia" w:ascii="仿宋" w:hAnsi="仿宋" w:eastAsia="仿宋"/>
          <w:color w:val="auto"/>
          <w:sz w:val="32"/>
          <w:szCs w:val="32"/>
          <w:highlight w:val="none"/>
          <w:lang w:val="en-US" w:eastAsia="zh-CN"/>
        </w:rPr>
        <w:t>各减少8511.97</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减少29.23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项目减少，跨年项目大多支付尾款</w:t>
      </w:r>
      <w:r>
        <w:rPr>
          <w:rFonts w:hint="eastAsia" w:ascii="仿宋" w:hAnsi="仿宋" w:eastAsia="仿宋"/>
          <w:color w:val="auto"/>
          <w:sz w:val="32"/>
          <w:szCs w:val="32"/>
          <w:highlight w:val="none"/>
          <w:lang w:eastAsia="zh-CN"/>
        </w:rPr>
        <w:t>。</w:t>
      </w:r>
    </w:p>
    <w:p w14:paraId="00609F96">
      <w:pPr>
        <w:spacing w:line="240" w:lineRule="auto"/>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drawing>
          <wp:inline distT="0" distB="0" distL="114300" distR="114300">
            <wp:extent cx="4839970" cy="2926080"/>
            <wp:effectExtent l="0" t="0" r="17780" b="762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4839970" cy="2926080"/>
                    </a:xfrm>
                    <a:prstGeom prst="rect">
                      <a:avLst/>
                    </a:prstGeom>
                  </pic:spPr>
                </pic:pic>
              </a:graphicData>
            </a:graphic>
          </wp:inline>
        </w:drawing>
      </w:r>
    </w:p>
    <w:p w14:paraId="05E8825F">
      <w:pPr>
        <w:pStyle w:val="31"/>
        <w:numPr>
          <w:ilvl w:val="0"/>
          <w:numId w:val="2"/>
        </w:numPr>
        <w:spacing w:line="600" w:lineRule="exact"/>
        <w:ind w:firstLineChars="0"/>
        <w:outlineLvl w:val="1"/>
        <w:rPr>
          <w:rStyle w:val="33"/>
          <w:rFonts w:ascii="黑体" w:hAnsi="黑体" w:eastAsia="黑体"/>
          <w:b w:val="0"/>
          <w:color w:val="auto"/>
          <w:highlight w:val="none"/>
        </w:rPr>
      </w:pPr>
      <w:bookmarkStart w:id="20" w:name="_Toc15377206"/>
      <w:bookmarkStart w:id="21" w:name="_Toc15396604"/>
      <w:r>
        <w:rPr>
          <w:rFonts w:hint="eastAsia" w:ascii="黑体" w:hAnsi="黑体" w:eastAsia="黑体"/>
          <w:color w:val="auto"/>
          <w:sz w:val="32"/>
          <w:szCs w:val="32"/>
          <w:highlight w:val="none"/>
        </w:rPr>
        <w:t>收</w:t>
      </w:r>
      <w:r>
        <w:rPr>
          <w:rStyle w:val="33"/>
          <w:rFonts w:hint="eastAsia" w:ascii="黑体" w:hAnsi="黑体" w:eastAsia="黑体"/>
          <w:b w:val="0"/>
          <w:color w:val="auto"/>
          <w:highlight w:val="none"/>
        </w:rPr>
        <w:t>入决算情况说明</w:t>
      </w:r>
      <w:bookmarkEnd w:id="20"/>
      <w:bookmarkEnd w:id="21"/>
    </w:p>
    <w:p w14:paraId="17E1CE2E">
      <w:pPr>
        <w:spacing w:line="600" w:lineRule="exact"/>
        <w:ind w:firstLine="640" w:firstLineChars="200"/>
        <w:outlineLvl w:val="1"/>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20600.56</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20600.56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14:paraId="4B19A615">
      <w:pPr>
        <w:pStyle w:val="14"/>
        <w:rPr>
          <w:rFonts w:hint="eastAsia"/>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0EA1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261" w:type="dxa"/>
          </w:tcPr>
          <w:p w14:paraId="0CAD6480">
            <w:pPr>
              <w:pStyle w:val="11"/>
              <w:rPr>
                <w:rFonts w:hint="default" w:eastAsia="宋体"/>
                <w:sz w:val="28"/>
                <w:szCs w:val="28"/>
                <w:vertAlign w:val="baseline"/>
                <w:lang w:val="en-US" w:eastAsia="zh-CN"/>
              </w:rPr>
            </w:pPr>
            <w:bookmarkStart w:id="22" w:name="OLE_LINK1" w:colFirst="0" w:colLast="1"/>
            <w:r>
              <w:rPr>
                <w:rFonts w:hint="eastAsia"/>
                <w:sz w:val="28"/>
                <w:szCs w:val="28"/>
                <w:vertAlign w:val="baseline"/>
                <w:lang w:val="en-US" w:eastAsia="zh-CN"/>
              </w:rPr>
              <w:t>一般公共预算财政拨款收入</w:t>
            </w:r>
          </w:p>
        </w:tc>
        <w:tc>
          <w:tcPr>
            <w:tcW w:w="4261" w:type="dxa"/>
          </w:tcPr>
          <w:p w14:paraId="008ED8E4">
            <w:pPr>
              <w:pStyle w:val="11"/>
              <w:rPr>
                <w:sz w:val="28"/>
                <w:szCs w:val="28"/>
                <w:vertAlign w:val="baseline"/>
              </w:rPr>
            </w:pPr>
            <w:r>
              <w:rPr>
                <w:rFonts w:hint="eastAsia"/>
                <w:sz w:val="28"/>
                <w:szCs w:val="28"/>
                <w:vertAlign w:val="baseline"/>
                <w:lang w:val="en-US" w:eastAsia="zh-CN"/>
              </w:rPr>
              <w:t>20600.56万元</w:t>
            </w:r>
          </w:p>
        </w:tc>
      </w:tr>
      <w:tr w14:paraId="599FC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7D9468F">
            <w:pPr>
              <w:pStyle w:val="11"/>
              <w:rPr>
                <w:vertAlign w:val="baseline"/>
              </w:rPr>
            </w:pPr>
            <w:r>
              <w:rPr>
                <w:rFonts w:hint="eastAsia" w:ascii="仿宋" w:hAnsi="仿宋" w:eastAsia="仿宋"/>
                <w:color w:val="auto"/>
                <w:sz w:val="28"/>
                <w:szCs w:val="28"/>
                <w:highlight w:val="none"/>
              </w:rPr>
              <w:t>政府性基金预算财政拨款收</w:t>
            </w:r>
            <w:r>
              <w:rPr>
                <w:rFonts w:hint="eastAsia" w:ascii="仿宋" w:hAnsi="仿宋" w:eastAsia="仿宋"/>
                <w:color w:val="auto"/>
                <w:sz w:val="32"/>
                <w:szCs w:val="32"/>
                <w:highlight w:val="none"/>
              </w:rPr>
              <w:t>入</w:t>
            </w:r>
          </w:p>
        </w:tc>
        <w:tc>
          <w:tcPr>
            <w:tcW w:w="4261" w:type="dxa"/>
          </w:tcPr>
          <w:p w14:paraId="011690AE">
            <w:pPr>
              <w:pStyle w:val="11"/>
              <w:rPr>
                <w:rFonts w:hint="default" w:eastAsia="宋体"/>
                <w:vertAlign w:val="baseline"/>
                <w:lang w:val="en-US" w:eastAsia="zh-CN"/>
              </w:rPr>
            </w:pPr>
            <w:r>
              <w:rPr>
                <w:rFonts w:hint="eastAsia"/>
                <w:sz w:val="28"/>
                <w:szCs w:val="28"/>
                <w:vertAlign w:val="baseline"/>
                <w:lang w:val="en-US" w:eastAsia="zh-CN"/>
              </w:rPr>
              <w:t>0万元</w:t>
            </w:r>
          </w:p>
        </w:tc>
      </w:tr>
      <w:tr w14:paraId="58EF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F7062F5">
            <w:pPr>
              <w:pStyle w:val="11"/>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年初结转结余</w:t>
            </w:r>
          </w:p>
        </w:tc>
        <w:tc>
          <w:tcPr>
            <w:tcW w:w="4261" w:type="dxa"/>
          </w:tcPr>
          <w:p w14:paraId="6031ED14">
            <w:pPr>
              <w:pStyle w:val="11"/>
              <w:rPr>
                <w:rFonts w:hint="default"/>
                <w:sz w:val="28"/>
                <w:szCs w:val="28"/>
                <w:vertAlign w:val="baseline"/>
                <w:lang w:val="en-US" w:eastAsia="zh-CN"/>
              </w:rPr>
            </w:pPr>
            <w:r>
              <w:rPr>
                <w:rFonts w:hint="eastAsia"/>
                <w:sz w:val="28"/>
                <w:szCs w:val="28"/>
                <w:vertAlign w:val="baseline"/>
                <w:lang w:val="en-US" w:eastAsia="zh-CN"/>
              </w:rPr>
              <w:t>0万元</w:t>
            </w:r>
          </w:p>
        </w:tc>
      </w:tr>
      <w:bookmarkEnd w:id="22"/>
    </w:tbl>
    <w:p w14:paraId="68336DF2">
      <w:pPr>
        <w:pStyle w:val="11"/>
        <w:rPr>
          <w:rFonts w:hint="eastAsia" w:eastAsia="宋体"/>
          <w:lang w:eastAsia="zh-CN"/>
        </w:rPr>
      </w:pPr>
    </w:p>
    <w:p w14:paraId="47FC3A58">
      <w:pPr>
        <w:rPr>
          <w:rFonts w:hint="eastAsia" w:eastAsia="宋体"/>
          <w:lang w:eastAsia="zh-CN"/>
        </w:rPr>
      </w:pPr>
    </w:p>
    <w:p w14:paraId="36DD3D12">
      <w:pPr>
        <w:pStyle w:val="14"/>
        <w:rPr>
          <w:rFonts w:hint="eastAsia" w:eastAsia="宋体"/>
          <w:lang w:eastAsia="zh-CN"/>
        </w:rPr>
      </w:pPr>
    </w:p>
    <w:p w14:paraId="36BCFD12">
      <w:pPr>
        <w:rPr>
          <w:rFonts w:hint="eastAsia"/>
          <w:lang w:eastAsia="zh-CN"/>
        </w:rPr>
      </w:pPr>
      <w:r>
        <w:rPr>
          <w:rFonts w:hint="eastAsia"/>
          <w:lang w:eastAsia="zh-CN"/>
        </w:rPr>
        <w:drawing>
          <wp:inline distT="0" distB="0" distL="114300" distR="114300">
            <wp:extent cx="4839970" cy="2755265"/>
            <wp:effectExtent l="0" t="0" r="17780" b="6985"/>
            <wp:docPr id="6" name="图片 6"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2"/>
                    <pic:cNvPicPr>
                      <a:picLocks noChangeAspect="1"/>
                    </pic:cNvPicPr>
                  </pic:nvPicPr>
                  <pic:blipFill>
                    <a:blip r:embed="rId7"/>
                    <a:stretch>
                      <a:fillRect/>
                    </a:stretch>
                  </pic:blipFill>
                  <pic:spPr>
                    <a:xfrm>
                      <a:off x="0" y="0"/>
                      <a:ext cx="4839970" cy="2755265"/>
                    </a:xfrm>
                    <a:prstGeom prst="rect">
                      <a:avLst/>
                    </a:prstGeom>
                  </pic:spPr>
                </pic:pic>
              </a:graphicData>
            </a:graphic>
          </wp:inline>
        </w:drawing>
      </w:r>
    </w:p>
    <w:p w14:paraId="63E33822">
      <w:pPr>
        <w:spacing w:line="600" w:lineRule="exact"/>
        <w:ind w:firstLine="640" w:firstLineChars="200"/>
        <w:outlineLvl w:val="1"/>
        <w:rPr>
          <w:rFonts w:ascii="仿宋" w:hAnsi="仿宋" w:eastAsia="仿宋"/>
          <w:color w:val="auto"/>
          <w:sz w:val="32"/>
          <w:szCs w:val="32"/>
          <w:highlight w:val="none"/>
        </w:rPr>
      </w:pPr>
    </w:p>
    <w:p w14:paraId="4D5F4B6F">
      <w:pPr>
        <w:spacing w:line="240" w:lineRule="auto"/>
        <w:ind w:firstLine="640" w:firstLineChars="200"/>
        <w:rPr>
          <w:rFonts w:hint="eastAsia" w:ascii="仿宋_GB2312" w:eastAsia="仿宋_GB2312"/>
          <w:color w:val="auto"/>
          <w:sz w:val="32"/>
          <w:szCs w:val="32"/>
          <w:highlight w:val="none"/>
          <w:lang w:eastAsia="zh-CN"/>
        </w:rPr>
      </w:pPr>
    </w:p>
    <w:p w14:paraId="26CA2623">
      <w:pPr>
        <w:pStyle w:val="31"/>
        <w:numPr>
          <w:ilvl w:val="0"/>
          <w:numId w:val="2"/>
        </w:numPr>
        <w:spacing w:line="600" w:lineRule="exact"/>
        <w:ind w:firstLineChars="0"/>
        <w:outlineLvl w:val="1"/>
        <w:rPr>
          <w:rStyle w:val="33"/>
          <w:rFonts w:ascii="黑体" w:hAnsi="黑体" w:eastAsia="黑体"/>
          <w:b w:val="0"/>
          <w:color w:val="auto"/>
          <w:highlight w:val="none"/>
        </w:rPr>
      </w:pPr>
      <w:bookmarkStart w:id="23" w:name="_Toc15396605"/>
      <w:bookmarkStart w:id="24" w:name="_Toc15377207"/>
      <w:r>
        <w:rPr>
          <w:rFonts w:hint="eastAsia" w:ascii="黑体" w:hAnsi="黑体" w:eastAsia="黑体"/>
          <w:color w:val="auto"/>
          <w:sz w:val="32"/>
          <w:szCs w:val="32"/>
          <w:highlight w:val="none"/>
        </w:rPr>
        <w:t>支</w:t>
      </w:r>
      <w:r>
        <w:rPr>
          <w:rStyle w:val="33"/>
          <w:rFonts w:hint="eastAsia" w:ascii="黑体" w:hAnsi="黑体" w:eastAsia="黑体"/>
          <w:b w:val="0"/>
          <w:color w:val="auto"/>
          <w:highlight w:val="none"/>
        </w:rPr>
        <w:t>出决算情况说明</w:t>
      </w:r>
      <w:bookmarkEnd w:id="23"/>
      <w:bookmarkEnd w:id="24"/>
    </w:p>
    <w:p w14:paraId="466F7732">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20600.56</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1156.61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5.6</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19443.94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94.4</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794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1E8BE96">
            <w:pPr>
              <w:pStyle w:val="11"/>
              <w:rPr>
                <w:rFonts w:hint="default" w:eastAsia="宋体"/>
                <w:sz w:val="28"/>
                <w:szCs w:val="28"/>
                <w:vertAlign w:val="baseline"/>
                <w:lang w:val="en-US" w:eastAsia="zh-CN"/>
              </w:rPr>
            </w:pPr>
            <w:r>
              <w:rPr>
                <w:rFonts w:hint="eastAsia"/>
                <w:sz w:val="28"/>
                <w:szCs w:val="28"/>
                <w:vertAlign w:val="baseline"/>
                <w:lang w:val="en-US" w:eastAsia="zh-CN"/>
              </w:rPr>
              <w:t>基本支出</w:t>
            </w:r>
          </w:p>
        </w:tc>
        <w:tc>
          <w:tcPr>
            <w:tcW w:w="4261" w:type="dxa"/>
          </w:tcPr>
          <w:p w14:paraId="597251CC">
            <w:pPr>
              <w:pStyle w:val="11"/>
              <w:rPr>
                <w:rFonts w:hint="default" w:eastAsia="宋体"/>
                <w:sz w:val="28"/>
                <w:szCs w:val="28"/>
                <w:vertAlign w:val="baseline"/>
                <w:lang w:val="en-US" w:eastAsia="zh-CN"/>
              </w:rPr>
            </w:pPr>
            <w:r>
              <w:rPr>
                <w:rFonts w:hint="eastAsia"/>
                <w:sz w:val="28"/>
                <w:szCs w:val="28"/>
                <w:vertAlign w:val="baseline"/>
                <w:lang w:val="en-US" w:eastAsia="zh-CN"/>
              </w:rPr>
              <w:t>1156.61万元</w:t>
            </w:r>
          </w:p>
        </w:tc>
      </w:tr>
      <w:tr w14:paraId="01E5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E611D10">
            <w:pPr>
              <w:pStyle w:val="11"/>
              <w:rPr>
                <w:rFonts w:hint="eastAsia" w:eastAsia="宋体"/>
                <w:sz w:val="28"/>
                <w:szCs w:val="28"/>
                <w:vertAlign w:val="baseline"/>
                <w:lang w:val="en-US" w:eastAsia="zh-CN"/>
              </w:rPr>
            </w:pPr>
            <w:r>
              <w:rPr>
                <w:rFonts w:hint="eastAsia"/>
                <w:sz w:val="28"/>
                <w:szCs w:val="28"/>
                <w:vertAlign w:val="baseline"/>
                <w:lang w:val="en-US" w:eastAsia="zh-CN"/>
              </w:rPr>
              <w:t>项目支出</w:t>
            </w:r>
          </w:p>
        </w:tc>
        <w:tc>
          <w:tcPr>
            <w:tcW w:w="4261" w:type="dxa"/>
          </w:tcPr>
          <w:p w14:paraId="56AC49DE">
            <w:pPr>
              <w:pStyle w:val="11"/>
              <w:rPr>
                <w:rFonts w:hint="default" w:eastAsia="宋体"/>
                <w:sz w:val="28"/>
                <w:szCs w:val="28"/>
                <w:vertAlign w:val="baseline"/>
                <w:lang w:val="en-US" w:eastAsia="zh-CN"/>
              </w:rPr>
            </w:pPr>
            <w:r>
              <w:rPr>
                <w:rFonts w:hint="eastAsia"/>
                <w:sz w:val="28"/>
                <w:szCs w:val="28"/>
                <w:vertAlign w:val="baseline"/>
                <w:lang w:val="en-US" w:eastAsia="zh-CN"/>
              </w:rPr>
              <w:t>19443.94万元</w:t>
            </w:r>
          </w:p>
        </w:tc>
      </w:tr>
    </w:tbl>
    <w:p w14:paraId="003FBD00">
      <w:pPr>
        <w:pStyle w:val="11"/>
      </w:pPr>
    </w:p>
    <w:p w14:paraId="224F8061"/>
    <w:p w14:paraId="69C3632A">
      <w:pPr>
        <w:pStyle w:val="14"/>
        <w:rPr>
          <w:rFonts w:hint="eastAsia" w:eastAsia="宋体"/>
          <w:lang w:eastAsia="zh-CN"/>
        </w:rPr>
      </w:pPr>
      <w:r>
        <w:rPr>
          <w:rFonts w:hint="eastAsia" w:eastAsia="宋体"/>
          <w:lang w:eastAsia="zh-CN"/>
        </w:rPr>
        <w:drawing>
          <wp:inline distT="0" distB="0" distL="114300" distR="114300">
            <wp:extent cx="4839970" cy="2834640"/>
            <wp:effectExtent l="0" t="0" r="17780" b="0"/>
            <wp:docPr id="7" name="图片 7"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3"/>
                    <pic:cNvPicPr>
                      <a:picLocks noChangeAspect="1"/>
                    </pic:cNvPicPr>
                  </pic:nvPicPr>
                  <pic:blipFill>
                    <a:blip r:embed="rId8"/>
                    <a:stretch>
                      <a:fillRect/>
                    </a:stretch>
                  </pic:blipFill>
                  <pic:spPr>
                    <a:xfrm>
                      <a:off x="0" y="0"/>
                      <a:ext cx="4839970" cy="2834640"/>
                    </a:xfrm>
                    <a:prstGeom prst="rect">
                      <a:avLst/>
                    </a:prstGeom>
                  </pic:spPr>
                </pic:pic>
              </a:graphicData>
            </a:graphic>
          </wp:inline>
        </w:drawing>
      </w:r>
    </w:p>
    <w:p w14:paraId="413FEE2B">
      <w:pPr>
        <w:spacing w:line="240" w:lineRule="auto"/>
        <w:ind w:firstLine="640" w:firstLineChars="200"/>
        <w:outlineLvl w:val="1"/>
        <w:rPr>
          <w:rStyle w:val="33"/>
          <w:rFonts w:ascii="黑体" w:hAnsi="黑体" w:eastAsia="黑体"/>
          <w:b w:val="0"/>
          <w:color w:val="auto"/>
          <w:highlight w:val="none"/>
        </w:rPr>
      </w:pPr>
      <w:bookmarkStart w:id="25" w:name="_Toc15377208"/>
      <w:bookmarkStart w:id="26" w:name="_Toc15396606"/>
      <w:r>
        <w:rPr>
          <w:rFonts w:hint="eastAsia" w:ascii="黑体" w:hAnsi="黑体" w:eastAsia="黑体"/>
          <w:color w:val="auto"/>
          <w:sz w:val="32"/>
          <w:szCs w:val="32"/>
          <w:highlight w:val="none"/>
          <w:lang w:val="en-US" w:eastAsia="zh-CN"/>
        </w:rPr>
        <w:t xml:space="preserve"> </w:t>
      </w:r>
      <w:r>
        <w:rPr>
          <w:rFonts w:hint="eastAsia" w:ascii="黑体" w:hAnsi="黑体" w:eastAsia="黑体"/>
          <w:color w:val="auto"/>
          <w:sz w:val="32"/>
          <w:szCs w:val="32"/>
          <w:highlight w:val="none"/>
        </w:rPr>
        <w:t>四、财</w:t>
      </w:r>
      <w:r>
        <w:rPr>
          <w:rStyle w:val="33"/>
          <w:rFonts w:hint="eastAsia" w:ascii="黑体" w:hAnsi="黑体" w:eastAsia="黑体"/>
          <w:b w:val="0"/>
          <w:color w:val="auto"/>
          <w:highlight w:val="none"/>
        </w:rPr>
        <w:t>政拨款收入支出决算总体情况说明</w:t>
      </w:r>
      <w:bookmarkEnd w:id="25"/>
      <w:bookmarkEnd w:id="26"/>
    </w:p>
    <w:p w14:paraId="074F2509">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20600.56</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29112.53</w:t>
      </w:r>
      <w:r>
        <w:rPr>
          <w:rFonts w:hint="eastAsia" w:ascii="仿宋" w:hAnsi="仿宋" w:eastAsia="仿宋"/>
          <w:color w:val="auto"/>
          <w:sz w:val="32"/>
          <w:szCs w:val="32"/>
          <w:highlight w:val="none"/>
        </w:rPr>
        <w:t>万元相比，财政拨款收、支总计各</w:t>
      </w:r>
      <w:r>
        <w:rPr>
          <w:rFonts w:hint="eastAsia" w:ascii="仿宋" w:hAnsi="仿宋" w:eastAsia="仿宋"/>
          <w:color w:val="auto"/>
          <w:sz w:val="32"/>
          <w:szCs w:val="32"/>
          <w:highlight w:val="none"/>
          <w:lang w:val="en-US" w:eastAsia="zh-CN"/>
        </w:rPr>
        <w:t>减少8511.97</w:t>
      </w:r>
      <w:r>
        <w:rPr>
          <w:rFonts w:hint="eastAsia" w:ascii="仿宋" w:hAnsi="仿宋" w:eastAsia="仿宋"/>
          <w:color w:val="auto"/>
          <w:sz w:val="32"/>
          <w:szCs w:val="32"/>
          <w:highlight w:val="none"/>
        </w:rPr>
        <w:t>万元，增长</w:t>
      </w:r>
      <w:r>
        <w:rPr>
          <w:rFonts w:ascii="仿宋" w:hAnsi="仿宋" w:eastAsia="仿宋"/>
          <w:color w:val="auto"/>
          <w:sz w:val="32"/>
          <w:szCs w:val="32"/>
          <w:highlight w:val="none"/>
        </w:rPr>
        <w:t>/</w:t>
      </w:r>
      <w:r>
        <w:rPr>
          <w:rFonts w:hint="eastAsia" w:ascii="仿宋" w:hAnsi="仿宋" w:eastAsia="仿宋"/>
          <w:color w:val="auto"/>
          <w:sz w:val="32"/>
          <w:szCs w:val="32"/>
          <w:highlight w:val="none"/>
        </w:rPr>
        <w:t>下降</w:t>
      </w:r>
      <w:r>
        <w:rPr>
          <w:rFonts w:hint="eastAsia" w:ascii="仿宋" w:hAnsi="仿宋" w:eastAsia="仿宋"/>
          <w:color w:val="auto"/>
          <w:sz w:val="32"/>
          <w:szCs w:val="32"/>
          <w:highlight w:val="none"/>
          <w:lang w:val="en-US" w:eastAsia="zh-CN"/>
        </w:rPr>
        <w:t>29..23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项目减少，跨年项目支出减少</w:t>
      </w:r>
      <w:r>
        <w:rPr>
          <w:rFonts w:hint="eastAsia" w:ascii="仿宋" w:hAnsi="仿宋" w:eastAsia="仿宋"/>
          <w:color w:val="auto"/>
          <w:sz w:val="32"/>
          <w:szCs w:val="32"/>
          <w:highlight w:val="none"/>
          <w:lang w:eastAsia="zh-CN"/>
        </w:rPr>
        <w:t>。</w:t>
      </w:r>
    </w:p>
    <w:p w14:paraId="19778C3A">
      <w:pPr>
        <w:spacing w:line="240" w:lineRule="auto"/>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267960" cy="2344420"/>
            <wp:effectExtent l="0" t="0" r="8890" b="17780"/>
            <wp:docPr id="8" name="图片 8"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4"/>
                    <pic:cNvPicPr>
                      <a:picLocks noChangeAspect="1"/>
                    </pic:cNvPicPr>
                  </pic:nvPicPr>
                  <pic:blipFill>
                    <a:blip r:embed="rId9"/>
                    <a:stretch>
                      <a:fillRect/>
                    </a:stretch>
                  </pic:blipFill>
                  <pic:spPr>
                    <a:xfrm>
                      <a:off x="0" y="0"/>
                      <a:ext cx="5267960" cy="2344420"/>
                    </a:xfrm>
                    <a:prstGeom prst="rect">
                      <a:avLst/>
                    </a:prstGeom>
                  </pic:spPr>
                </pic:pic>
              </a:graphicData>
            </a:graphic>
          </wp:inline>
        </w:drawing>
      </w:r>
    </w:p>
    <w:p w14:paraId="74B2B94F">
      <w:pPr>
        <w:spacing w:line="600" w:lineRule="exact"/>
        <w:ind w:firstLine="640"/>
        <w:rPr>
          <w:rFonts w:ascii="仿宋" w:hAnsi="仿宋" w:eastAsia="仿宋"/>
          <w:b/>
          <w:color w:val="auto"/>
          <w:sz w:val="32"/>
          <w:szCs w:val="32"/>
          <w:highlight w:val="none"/>
        </w:rPr>
      </w:pPr>
    </w:p>
    <w:p w14:paraId="02278A90">
      <w:pPr>
        <w:spacing w:line="600" w:lineRule="exact"/>
        <w:ind w:firstLine="640" w:firstLineChars="200"/>
        <w:outlineLvl w:val="1"/>
        <w:rPr>
          <w:rStyle w:val="33"/>
          <w:rFonts w:ascii="黑体" w:hAnsi="黑体" w:eastAsia="黑体"/>
          <w:b w:val="0"/>
          <w:color w:val="auto"/>
          <w:highlight w:val="none"/>
        </w:rPr>
      </w:pPr>
      <w:bookmarkStart w:id="27" w:name="_Toc15377209"/>
      <w:bookmarkStart w:id="28"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3"/>
          <w:rFonts w:hint="eastAsia" w:ascii="黑体" w:hAnsi="黑体" w:eastAsia="黑体"/>
          <w:b w:val="0"/>
          <w:color w:val="auto"/>
          <w:highlight w:val="none"/>
        </w:rPr>
        <w:t>般公共预算财政拨款支出决算情况说明</w:t>
      </w:r>
      <w:bookmarkEnd w:id="27"/>
      <w:bookmarkEnd w:id="28"/>
    </w:p>
    <w:p w14:paraId="61EB7F59">
      <w:pPr>
        <w:spacing w:line="600" w:lineRule="exact"/>
        <w:ind w:firstLine="643" w:firstLineChars="200"/>
        <w:outlineLvl w:val="2"/>
        <w:rPr>
          <w:rFonts w:ascii="仿宋" w:hAnsi="仿宋" w:eastAsia="仿宋"/>
          <w:b/>
          <w:color w:val="auto"/>
          <w:sz w:val="32"/>
          <w:szCs w:val="32"/>
          <w:highlight w:val="none"/>
        </w:rPr>
      </w:pPr>
      <w:bookmarkStart w:id="29" w:name="_Toc15377210"/>
      <w:r>
        <w:rPr>
          <w:rFonts w:hint="eastAsia" w:ascii="仿宋" w:hAnsi="仿宋" w:eastAsia="仿宋"/>
          <w:b/>
          <w:color w:val="auto"/>
          <w:sz w:val="32"/>
          <w:szCs w:val="32"/>
          <w:highlight w:val="none"/>
        </w:rPr>
        <w:t>（一）一般公共预算财政拨款支出决算总体情况</w:t>
      </w:r>
      <w:bookmarkEnd w:id="29"/>
    </w:p>
    <w:p w14:paraId="317F657C">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20600.56</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25948.49</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89.13</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lang w:val="en-US" w:eastAsia="zh-CN"/>
        </w:rPr>
        <w:t>减少8511.979</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减少29.23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项目减少，跨年项目支出减少</w:t>
      </w:r>
      <w:r>
        <w:rPr>
          <w:rFonts w:hint="eastAsia" w:ascii="仿宋" w:hAnsi="仿宋" w:eastAsia="仿宋"/>
          <w:color w:val="auto"/>
          <w:sz w:val="32"/>
          <w:szCs w:val="32"/>
          <w:highlight w:val="none"/>
          <w:lang w:eastAsia="zh-CN"/>
        </w:rPr>
        <w:t>。</w:t>
      </w:r>
    </w:p>
    <w:p w14:paraId="066D3D33">
      <w:pPr>
        <w:spacing w:line="600" w:lineRule="exact"/>
        <w:ind w:firstLine="640" w:firstLineChars="200"/>
        <w:rPr>
          <w:rFonts w:ascii="仿宋" w:hAnsi="仿宋" w:eastAsia="仿宋"/>
          <w:color w:val="auto"/>
          <w:sz w:val="32"/>
          <w:szCs w:val="32"/>
          <w:highlight w:val="none"/>
        </w:rPr>
      </w:pPr>
    </w:p>
    <w:p w14:paraId="47F9F809">
      <w:pPr>
        <w:spacing w:line="240" w:lineRule="auto"/>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839970" cy="2840990"/>
            <wp:effectExtent l="0" t="0" r="17780" b="16510"/>
            <wp:docPr id="3" name="图片 3"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5"/>
                    <pic:cNvPicPr>
                      <a:picLocks noChangeAspect="1"/>
                    </pic:cNvPicPr>
                  </pic:nvPicPr>
                  <pic:blipFill>
                    <a:blip r:embed="rId10"/>
                    <a:stretch>
                      <a:fillRect/>
                    </a:stretch>
                  </pic:blipFill>
                  <pic:spPr>
                    <a:xfrm>
                      <a:off x="0" y="0"/>
                      <a:ext cx="4839970" cy="2840990"/>
                    </a:xfrm>
                    <a:prstGeom prst="rect">
                      <a:avLst/>
                    </a:prstGeom>
                  </pic:spPr>
                </pic:pic>
              </a:graphicData>
            </a:graphic>
          </wp:inline>
        </w:drawing>
      </w:r>
    </w:p>
    <w:p w14:paraId="16E6484A">
      <w:pPr>
        <w:spacing w:line="600" w:lineRule="exact"/>
        <w:ind w:firstLine="643" w:firstLineChars="200"/>
        <w:outlineLvl w:val="2"/>
        <w:rPr>
          <w:rFonts w:ascii="仿宋" w:hAnsi="仿宋" w:eastAsia="仿宋"/>
          <w:b/>
          <w:color w:val="auto"/>
          <w:sz w:val="32"/>
          <w:szCs w:val="32"/>
          <w:highlight w:val="none"/>
        </w:rPr>
      </w:pPr>
      <w:bookmarkStart w:id="30" w:name="_Toc15377211"/>
      <w:r>
        <w:rPr>
          <w:rFonts w:hint="eastAsia" w:ascii="仿宋" w:hAnsi="仿宋" w:eastAsia="仿宋"/>
          <w:b/>
          <w:color w:val="auto"/>
          <w:sz w:val="32"/>
          <w:szCs w:val="32"/>
          <w:highlight w:val="none"/>
        </w:rPr>
        <w:t>（二）一般公共预算财政拨款支出决算结构情况</w:t>
      </w:r>
      <w:bookmarkEnd w:id="30"/>
    </w:p>
    <w:p w14:paraId="12ED5B4B">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20600.53</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10.5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教育支出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科学技术</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文化旅游体育与传媒支出</w:t>
      </w:r>
      <w:r>
        <w:rPr>
          <w:rFonts w:hint="eastAsia" w:ascii="仿宋" w:hAnsi="仿宋" w:eastAsia="仿宋"/>
          <w:b/>
          <w:bCs/>
          <w:color w:val="auto"/>
          <w:sz w:val="32"/>
          <w:szCs w:val="32"/>
          <w:highlight w:val="none"/>
          <w:lang w:val="en-US" w:eastAsia="zh-CN"/>
        </w:rPr>
        <w:t>0.5</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0</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145.6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63.95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0.23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Times New Roman"/>
          <w:b/>
          <w:bCs/>
          <w:color w:val="auto"/>
          <w:sz w:val="32"/>
          <w:szCs w:val="32"/>
          <w:highlight w:val="none"/>
          <w:lang w:val="en-US" w:eastAsia="zh-CN"/>
        </w:rPr>
        <w:t>节能环保支出</w:t>
      </w:r>
      <w:r>
        <w:rPr>
          <w:rFonts w:hint="eastAsia" w:ascii="仿宋" w:hAnsi="仿宋" w:eastAsia="仿宋"/>
          <w:color w:val="auto"/>
          <w:sz w:val="32"/>
          <w:szCs w:val="32"/>
          <w:highlight w:val="none"/>
          <w:lang w:val="en-US" w:eastAsia="zh-CN"/>
        </w:rPr>
        <w:t>3464.64万元，占18.85 %；</w:t>
      </w:r>
      <w:r>
        <w:rPr>
          <w:rFonts w:hint="eastAsia" w:ascii="仿宋" w:hAnsi="仿宋" w:eastAsia="仿宋" w:cs="Times New Roman"/>
          <w:b/>
          <w:bCs/>
          <w:color w:val="auto"/>
          <w:sz w:val="32"/>
          <w:szCs w:val="32"/>
          <w:highlight w:val="none"/>
          <w:lang w:val="en-US" w:eastAsia="zh-CN"/>
        </w:rPr>
        <w:t>城乡社区支出</w:t>
      </w:r>
      <w:r>
        <w:rPr>
          <w:rFonts w:hint="eastAsia" w:ascii="仿宋" w:hAnsi="仿宋" w:eastAsia="仿宋"/>
          <w:color w:val="auto"/>
          <w:sz w:val="32"/>
          <w:szCs w:val="32"/>
          <w:highlight w:val="none"/>
          <w:lang w:val="en-US" w:eastAsia="zh-CN"/>
        </w:rPr>
        <w:t>10870.25万元，占6.8%；</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391.03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6.83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Times New Roman"/>
          <w:b/>
          <w:bCs/>
          <w:color w:val="auto"/>
          <w:sz w:val="32"/>
          <w:szCs w:val="32"/>
          <w:highlight w:val="none"/>
          <w:lang w:val="en-US" w:eastAsia="zh-CN"/>
        </w:rPr>
        <w:t>农林水支出</w:t>
      </w:r>
      <w:r>
        <w:rPr>
          <w:rFonts w:hint="eastAsia" w:ascii="仿宋" w:hAnsi="仿宋" w:eastAsia="仿宋"/>
          <w:color w:val="auto"/>
          <w:sz w:val="32"/>
          <w:szCs w:val="32"/>
          <w:highlight w:val="none"/>
          <w:lang w:val="en-US" w:eastAsia="zh-CN"/>
        </w:rPr>
        <w:t>17.64万元，占0.0%；</w:t>
      </w:r>
      <w:r>
        <w:rPr>
          <w:rFonts w:hint="eastAsia" w:ascii="仿宋" w:hAnsi="仿宋" w:eastAsia="仿宋"/>
          <w:b/>
          <w:bCs/>
          <w:color w:val="auto"/>
          <w:sz w:val="32"/>
          <w:szCs w:val="32"/>
          <w:highlight w:val="none"/>
          <w:lang w:val="en-US" w:eastAsia="zh-CN"/>
        </w:rPr>
        <w:t>灾</w:t>
      </w:r>
      <w:r>
        <w:rPr>
          <w:rFonts w:hint="eastAsia" w:ascii="仿宋" w:hAnsi="仿宋" w:eastAsia="仿宋" w:cs="Times New Roman"/>
          <w:b/>
          <w:bCs/>
          <w:color w:val="auto"/>
          <w:sz w:val="32"/>
          <w:szCs w:val="32"/>
          <w:highlight w:val="none"/>
          <w:lang w:val="en-US" w:eastAsia="zh-CN"/>
        </w:rPr>
        <w:t>害防治及应急管理支出0万元</w:t>
      </w:r>
      <w:r>
        <w:rPr>
          <w:rFonts w:hint="eastAsia" w:ascii="仿宋" w:hAnsi="仿宋" w:eastAsia="仿宋"/>
          <w:color w:val="auto"/>
          <w:sz w:val="32"/>
          <w:szCs w:val="32"/>
          <w:highlight w:val="none"/>
          <w:lang w:val="en-US" w:eastAsia="zh-CN"/>
        </w:rPr>
        <w:t>，占0%；</w:t>
      </w:r>
      <w:r>
        <w:rPr>
          <w:rFonts w:hint="eastAsia" w:ascii="仿宋" w:hAnsi="仿宋" w:eastAsia="仿宋"/>
          <w:b/>
          <w:bCs/>
          <w:color w:val="auto"/>
          <w:sz w:val="32"/>
          <w:szCs w:val="32"/>
          <w:highlight w:val="none"/>
          <w:lang w:val="en-US" w:eastAsia="zh-CN"/>
        </w:rPr>
        <w:t>其他支出</w:t>
      </w:r>
      <w:r>
        <w:rPr>
          <w:rFonts w:hint="eastAsia" w:ascii="仿宋" w:hAnsi="仿宋" w:eastAsia="仿宋"/>
          <w:color w:val="auto"/>
          <w:sz w:val="32"/>
          <w:szCs w:val="32"/>
          <w:highlight w:val="none"/>
          <w:lang w:val="en-US" w:eastAsia="zh-CN"/>
        </w:rPr>
        <w:t>5336.45万元，占1.3%</w:t>
      </w:r>
      <w:r>
        <w:rPr>
          <w:rFonts w:hint="eastAsia" w:ascii="仿宋" w:hAnsi="仿宋" w:eastAsia="仿宋"/>
          <w:color w:val="auto"/>
          <w:sz w:val="32"/>
          <w:szCs w:val="32"/>
          <w:highlight w:val="none"/>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454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93E8B2C">
            <w:pPr>
              <w:spacing w:line="600" w:lineRule="exact"/>
              <w:rPr>
                <w:rFonts w:hint="default" w:ascii="仿宋" w:hAnsi="仿宋" w:eastAsia="仿宋"/>
                <w:b/>
                <w:color w:val="auto"/>
                <w:sz w:val="32"/>
                <w:szCs w:val="32"/>
                <w:highlight w:val="none"/>
                <w:vertAlign w:val="baseline"/>
                <w:lang w:val="en-US" w:eastAsia="zh-CN"/>
              </w:rPr>
            </w:pPr>
            <w:bookmarkStart w:id="31" w:name="OLE_LINK2" w:colFirst="0" w:colLast="1"/>
            <w:bookmarkStart w:id="32" w:name="OLE_LINK4" w:colFirst="0" w:colLast="1"/>
            <w:r>
              <w:rPr>
                <w:rFonts w:hint="eastAsia" w:ascii="仿宋" w:hAnsi="仿宋" w:eastAsia="仿宋"/>
                <w:b/>
                <w:color w:val="auto"/>
                <w:sz w:val="32"/>
                <w:szCs w:val="32"/>
                <w:highlight w:val="none"/>
                <w:lang w:val="en-US" w:eastAsia="zh-CN"/>
              </w:rPr>
              <w:t>一般公共服务支出</w:t>
            </w:r>
          </w:p>
        </w:tc>
        <w:tc>
          <w:tcPr>
            <w:tcW w:w="4261" w:type="dxa"/>
          </w:tcPr>
          <w:p w14:paraId="6A9B18C3">
            <w:pPr>
              <w:spacing w:line="600" w:lineRule="exact"/>
              <w:rPr>
                <w:rFonts w:hint="eastAsia" w:ascii="仿宋" w:hAnsi="仿宋" w:eastAsia="仿宋"/>
                <w:b/>
                <w:color w:val="auto"/>
                <w:sz w:val="32"/>
                <w:szCs w:val="32"/>
                <w:highlight w:val="none"/>
                <w:vertAlign w:val="baseline"/>
              </w:rPr>
            </w:pPr>
            <w:r>
              <w:rPr>
                <w:rFonts w:hint="eastAsia" w:ascii="仿宋" w:hAnsi="仿宋" w:eastAsia="仿宋"/>
                <w:color w:val="auto"/>
                <w:sz w:val="32"/>
                <w:szCs w:val="32"/>
                <w:highlight w:val="none"/>
                <w:lang w:val="en-US" w:eastAsia="zh-CN"/>
              </w:rPr>
              <w:t>10.5</w:t>
            </w:r>
            <w:r>
              <w:rPr>
                <w:rFonts w:hint="eastAsia" w:ascii="仿宋" w:hAnsi="仿宋" w:eastAsia="仿宋"/>
                <w:color w:val="auto"/>
                <w:sz w:val="32"/>
                <w:szCs w:val="32"/>
                <w:highlight w:val="none"/>
              </w:rPr>
              <w:t>万元</w:t>
            </w:r>
          </w:p>
        </w:tc>
      </w:tr>
      <w:tr w14:paraId="0F56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A41EC44">
            <w:pPr>
              <w:spacing w:line="600" w:lineRule="exact"/>
              <w:rPr>
                <w:rFonts w:hint="default" w:ascii="仿宋" w:hAnsi="仿宋" w:eastAsia="仿宋"/>
                <w:b/>
                <w:color w:val="auto"/>
                <w:sz w:val="32"/>
                <w:szCs w:val="32"/>
                <w:highlight w:val="none"/>
                <w:vertAlign w:val="baseline"/>
                <w:lang w:val="en-US" w:eastAsia="zh-CN"/>
              </w:rPr>
            </w:pPr>
            <w:r>
              <w:rPr>
                <w:rFonts w:hint="eastAsia" w:ascii="仿宋" w:hAnsi="仿宋" w:eastAsia="仿宋"/>
                <w:b/>
                <w:bCs/>
                <w:color w:val="auto"/>
                <w:sz w:val="32"/>
                <w:szCs w:val="32"/>
                <w:highlight w:val="none"/>
              </w:rPr>
              <w:t>文化旅游体育与传媒支出</w:t>
            </w:r>
          </w:p>
        </w:tc>
        <w:tc>
          <w:tcPr>
            <w:tcW w:w="4261" w:type="dxa"/>
          </w:tcPr>
          <w:p w14:paraId="13B312F2">
            <w:pPr>
              <w:spacing w:line="600" w:lineRule="exact"/>
              <w:rPr>
                <w:rFonts w:hint="eastAsia" w:ascii="仿宋" w:hAnsi="仿宋" w:eastAsia="仿宋"/>
                <w:b/>
                <w:color w:val="auto"/>
                <w:sz w:val="32"/>
                <w:szCs w:val="32"/>
                <w:highlight w:val="none"/>
                <w:vertAlign w:val="baseline"/>
              </w:rPr>
            </w:pPr>
            <w:r>
              <w:rPr>
                <w:rFonts w:hint="eastAsia" w:ascii="仿宋" w:hAnsi="仿宋" w:eastAsia="仿宋"/>
                <w:color w:val="auto"/>
                <w:sz w:val="32"/>
                <w:szCs w:val="32"/>
                <w:highlight w:val="none"/>
                <w:lang w:val="en-US" w:eastAsia="zh-CN"/>
              </w:rPr>
              <w:t>0.5</w:t>
            </w:r>
            <w:r>
              <w:rPr>
                <w:rFonts w:hint="eastAsia" w:ascii="仿宋" w:hAnsi="仿宋" w:eastAsia="仿宋"/>
                <w:color w:val="auto"/>
                <w:sz w:val="32"/>
                <w:szCs w:val="32"/>
                <w:highlight w:val="none"/>
              </w:rPr>
              <w:t>万元</w:t>
            </w:r>
          </w:p>
        </w:tc>
      </w:tr>
      <w:tr w14:paraId="53BA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vAlign w:val="top"/>
          </w:tcPr>
          <w:p w14:paraId="6607AC88">
            <w:pPr>
              <w:spacing w:line="600" w:lineRule="exact"/>
              <w:rPr>
                <w:rFonts w:hint="eastAsia" w:ascii="仿宋" w:hAnsi="仿宋" w:eastAsia="仿宋" w:cs="Times New Roman"/>
                <w:b/>
                <w:color w:val="auto"/>
                <w:kern w:val="2"/>
                <w:sz w:val="32"/>
                <w:szCs w:val="32"/>
                <w:highlight w:val="none"/>
                <w:vertAlign w:val="baseline"/>
                <w:lang w:val="en-US" w:eastAsia="zh-CN" w:bidi="ar-SA"/>
              </w:rPr>
            </w:pP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p>
        </w:tc>
        <w:tc>
          <w:tcPr>
            <w:tcW w:w="4261" w:type="dxa"/>
            <w:shd w:val="clear" w:color="auto" w:fill="auto"/>
            <w:vAlign w:val="top"/>
          </w:tcPr>
          <w:p w14:paraId="1A5D7FBD">
            <w:pPr>
              <w:spacing w:line="600" w:lineRule="exact"/>
              <w:rPr>
                <w:rFonts w:hint="eastAsia" w:ascii="仿宋" w:hAnsi="仿宋" w:eastAsia="仿宋" w:cs="Times New Roman"/>
                <w:b/>
                <w:color w:val="auto"/>
                <w:kern w:val="2"/>
                <w:sz w:val="32"/>
                <w:szCs w:val="32"/>
                <w:highlight w:val="none"/>
                <w:vertAlign w:val="baseline"/>
                <w:lang w:val="en-US" w:eastAsia="zh-CN" w:bidi="ar-SA"/>
              </w:rPr>
            </w:pPr>
            <w:r>
              <w:rPr>
                <w:rFonts w:hint="eastAsia" w:ascii="仿宋" w:hAnsi="仿宋" w:eastAsia="仿宋"/>
                <w:color w:val="auto"/>
                <w:sz w:val="32"/>
                <w:szCs w:val="32"/>
                <w:highlight w:val="none"/>
                <w:lang w:val="en-US" w:eastAsia="zh-CN"/>
              </w:rPr>
              <w:t>145.6</w:t>
            </w:r>
            <w:r>
              <w:rPr>
                <w:rFonts w:hint="eastAsia" w:ascii="仿宋" w:hAnsi="仿宋" w:eastAsia="仿宋"/>
                <w:color w:val="auto"/>
                <w:sz w:val="32"/>
                <w:szCs w:val="32"/>
                <w:highlight w:val="none"/>
              </w:rPr>
              <w:t>万元</w:t>
            </w:r>
          </w:p>
        </w:tc>
      </w:tr>
      <w:tr w14:paraId="63478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vAlign w:val="top"/>
          </w:tcPr>
          <w:p w14:paraId="73E96BDE">
            <w:pPr>
              <w:spacing w:line="600" w:lineRule="exact"/>
              <w:rPr>
                <w:rFonts w:hint="eastAsia" w:ascii="仿宋" w:hAnsi="仿宋" w:eastAsia="仿宋" w:cs="Times New Roman"/>
                <w:b/>
                <w:color w:val="auto"/>
                <w:kern w:val="2"/>
                <w:sz w:val="32"/>
                <w:szCs w:val="32"/>
                <w:highlight w:val="none"/>
                <w:vertAlign w:val="baseline"/>
                <w:lang w:val="en-US" w:eastAsia="zh-CN" w:bidi="ar-SA"/>
              </w:rPr>
            </w:pPr>
            <w:r>
              <w:rPr>
                <w:rFonts w:hint="eastAsia" w:ascii="仿宋" w:hAnsi="仿宋" w:eastAsia="仿宋"/>
                <w:b/>
                <w:bCs/>
                <w:color w:val="auto"/>
                <w:sz w:val="32"/>
                <w:szCs w:val="32"/>
                <w:highlight w:val="none"/>
              </w:rPr>
              <w:t>卫生健康支出</w:t>
            </w:r>
          </w:p>
        </w:tc>
        <w:tc>
          <w:tcPr>
            <w:tcW w:w="4261" w:type="dxa"/>
            <w:shd w:val="clear" w:color="auto" w:fill="auto"/>
            <w:vAlign w:val="top"/>
          </w:tcPr>
          <w:p w14:paraId="72283907">
            <w:pPr>
              <w:spacing w:line="600" w:lineRule="exact"/>
              <w:rPr>
                <w:rFonts w:hint="eastAsia" w:ascii="仿宋" w:hAnsi="仿宋" w:eastAsia="仿宋" w:cs="Times New Roman"/>
                <w:b/>
                <w:color w:val="auto"/>
                <w:kern w:val="2"/>
                <w:sz w:val="32"/>
                <w:szCs w:val="32"/>
                <w:highlight w:val="none"/>
                <w:vertAlign w:val="baseline"/>
                <w:lang w:val="en-US" w:eastAsia="zh-CN" w:bidi="ar-SA"/>
              </w:rPr>
            </w:pPr>
            <w:r>
              <w:rPr>
                <w:rFonts w:hint="eastAsia" w:ascii="仿宋" w:hAnsi="仿宋" w:eastAsia="仿宋"/>
                <w:color w:val="auto"/>
                <w:sz w:val="32"/>
                <w:szCs w:val="32"/>
                <w:highlight w:val="none"/>
                <w:lang w:val="en-US" w:eastAsia="zh-CN"/>
              </w:rPr>
              <w:t>63.95</w:t>
            </w:r>
            <w:r>
              <w:rPr>
                <w:rFonts w:hint="eastAsia" w:ascii="仿宋" w:hAnsi="仿宋" w:eastAsia="仿宋"/>
                <w:color w:val="auto"/>
                <w:sz w:val="32"/>
                <w:szCs w:val="32"/>
                <w:highlight w:val="none"/>
              </w:rPr>
              <w:t>万元</w:t>
            </w:r>
          </w:p>
        </w:tc>
      </w:tr>
      <w:tr w14:paraId="1400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vAlign w:val="top"/>
          </w:tcPr>
          <w:p w14:paraId="170B8E69">
            <w:pPr>
              <w:spacing w:line="600" w:lineRule="exact"/>
              <w:rPr>
                <w:rFonts w:hint="eastAsia" w:ascii="仿宋" w:hAnsi="仿宋" w:eastAsia="仿宋" w:cs="Times New Roman"/>
                <w:b/>
                <w:color w:val="auto"/>
                <w:kern w:val="2"/>
                <w:sz w:val="32"/>
                <w:szCs w:val="32"/>
                <w:highlight w:val="none"/>
                <w:vertAlign w:val="baseline"/>
                <w:lang w:val="en-US" w:eastAsia="zh-CN" w:bidi="ar-SA"/>
              </w:rPr>
            </w:pPr>
            <w:r>
              <w:rPr>
                <w:rFonts w:hint="eastAsia" w:ascii="仿宋" w:hAnsi="仿宋" w:eastAsia="仿宋" w:cs="Times New Roman"/>
                <w:b/>
                <w:bCs/>
                <w:color w:val="auto"/>
                <w:sz w:val="32"/>
                <w:szCs w:val="32"/>
                <w:highlight w:val="none"/>
                <w:lang w:val="en-US" w:eastAsia="zh-CN"/>
              </w:rPr>
              <w:t>节能环保支出</w:t>
            </w:r>
          </w:p>
        </w:tc>
        <w:tc>
          <w:tcPr>
            <w:tcW w:w="4261" w:type="dxa"/>
            <w:shd w:val="clear" w:color="auto" w:fill="auto"/>
            <w:vAlign w:val="top"/>
          </w:tcPr>
          <w:p w14:paraId="6027F61B">
            <w:pPr>
              <w:spacing w:line="600" w:lineRule="exact"/>
              <w:rPr>
                <w:rFonts w:hint="eastAsia" w:ascii="仿宋" w:hAnsi="仿宋" w:eastAsia="仿宋" w:cs="Times New Roman"/>
                <w:b/>
                <w:color w:val="auto"/>
                <w:kern w:val="2"/>
                <w:sz w:val="32"/>
                <w:szCs w:val="32"/>
                <w:highlight w:val="none"/>
                <w:vertAlign w:val="baseline"/>
                <w:lang w:val="en-US" w:eastAsia="zh-CN" w:bidi="ar-SA"/>
              </w:rPr>
            </w:pPr>
            <w:r>
              <w:rPr>
                <w:rFonts w:hint="eastAsia" w:ascii="仿宋" w:hAnsi="仿宋" w:eastAsia="仿宋"/>
                <w:color w:val="auto"/>
                <w:sz w:val="32"/>
                <w:szCs w:val="32"/>
                <w:highlight w:val="none"/>
                <w:lang w:val="en-US" w:eastAsia="zh-CN"/>
              </w:rPr>
              <w:t>3464.64万元</w:t>
            </w:r>
          </w:p>
        </w:tc>
      </w:tr>
      <w:bookmarkEnd w:id="31"/>
      <w:tr w14:paraId="48DB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vAlign w:val="top"/>
          </w:tcPr>
          <w:p w14:paraId="60A2D8C3">
            <w:pPr>
              <w:spacing w:line="600" w:lineRule="exact"/>
              <w:rPr>
                <w:rFonts w:hint="eastAsia" w:ascii="仿宋" w:hAnsi="仿宋" w:eastAsia="仿宋" w:cs="Times New Roman"/>
                <w:b/>
                <w:color w:val="auto"/>
                <w:kern w:val="2"/>
                <w:sz w:val="32"/>
                <w:szCs w:val="32"/>
                <w:highlight w:val="none"/>
                <w:vertAlign w:val="baseline"/>
                <w:lang w:val="en-US" w:eastAsia="zh-CN" w:bidi="ar-SA"/>
              </w:rPr>
            </w:pPr>
            <w:bookmarkStart w:id="33" w:name="OLE_LINK3" w:colFirst="0" w:colLast="1"/>
            <w:r>
              <w:rPr>
                <w:rFonts w:hint="eastAsia" w:ascii="仿宋" w:hAnsi="仿宋" w:eastAsia="仿宋" w:cs="Times New Roman"/>
                <w:b/>
                <w:bCs/>
                <w:color w:val="auto"/>
                <w:sz w:val="32"/>
                <w:szCs w:val="32"/>
                <w:highlight w:val="none"/>
                <w:lang w:val="en-US" w:eastAsia="zh-CN"/>
              </w:rPr>
              <w:t>城乡社区支出</w:t>
            </w:r>
          </w:p>
        </w:tc>
        <w:tc>
          <w:tcPr>
            <w:tcW w:w="4261" w:type="dxa"/>
            <w:shd w:val="clear" w:color="auto" w:fill="auto"/>
            <w:vAlign w:val="top"/>
          </w:tcPr>
          <w:p w14:paraId="766B1DBE">
            <w:pPr>
              <w:spacing w:line="600" w:lineRule="exact"/>
              <w:rPr>
                <w:rFonts w:hint="default" w:ascii="仿宋" w:hAnsi="仿宋" w:eastAsia="仿宋" w:cs="Times New Roman"/>
                <w:b/>
                <w:color w:val="auto"/>
                <w:kern w:val="2"/>
                <w:sz w:val="32"/>
                <w:szCs w:val="32"/>
                <w:highlight w:val="none"/>
                <w:vertAlign w:val="baseline"/>
                <w:lang w:val="en-US" w:eastAsia="zh-CN" w:bidi="ar-SA"/>
              </w:rPr>
            </w:pPr>
            <w:r>
              <w:rPr>
                <w:rFonts w:hint="eastAsia" w:ascii="仿宋" w:hAnsi="仿宋" w:eastAsia="仿宋"/>
                <w:color w:val="auto"/>
                <w:sz w:val="32"/>
                <w:szCs w:val="32"/>
                <w:highlight w:val="none"/>
                <w:lang w:val="en-US" w:eastAsia="zh-CN"/>
              </w:rPr>
              <w:t>10870.25万元</w:t>
            </w:r>
          </w:p>
        </w:tc>
      </w:tr>
      <w:tr w14:paraId="71F2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vAlign w:val="top"/>
          </w:tcPr>
          <w:p w14:paraId="23A8F818">
            <w:pPr>
              <w:spacing w:line="600" w:lineRule="exact"/>
              <w:rPr>
                <w:rFonts w:hint="eastAsia" w:ascii="仿宋" w:hAnsi="仿宋" w:eastAsia="仿宋" w:cs="Times New Roman"/>
                <w:b/>
                <w:bCs/>
                <w:color w:val="auto"/>
                <w:kern w:val="2"/>
                <w:sz w:val="32"/>
                <w:szCs w:val="32"/>
                <w:highlight w:val="none"/>
                <w:lang w:val="en-US" w:eastAsia="zh-CN" w:bidi="ar-SA"/>
              </w:rPr>
            </w:pPr>
            <w:r>
              <w:rPr>
                <w:rFonts w:hint="eastAsia" w:ascii="仿宋" w:hAnsi="仿宋" w:eastAsia="仿宋"/>
                <w:b/>
                <w:bCs/>
                <w:color w:val="auto"/>
                <w:sz w:val="32"/>
                <w:szCs w:val="32"/>
                <w:highlight w:val="none"/>
              </w:rPr>
              <w:t>住房保障支出</w:t>
            </w:r>
          </w:p>
        </w:tc>
        <w:tc>
          <w:tcPr>
            <w:tcW w:w="4261" w:type="dxa"/>
            <w:shd w:val="clear" w:color="auto" w:fill="auto"/>
            <w:vAlign w:val="top"/>
          </w:tcPr>
          <w:p w14:paraId="1B1E285B">
            <w:pPr>
              <w:spacing w:line="600" w:lineRule="exact"/>
              <w:rPr>
                <w:rFonts w:hint="default" w:ascii="仿宋" w:hAnsi="仿宋" w:eastAsia="仿宋" w:cs="Times New Roman"/>
                <w:color w:val="auto"/>
                <w:kern w:val="2"/>
                <w:sz w:val="32"/>
                <w:szCs w:val="32"/>
                <w:highlight w:val="none"/>
                <w:lang w:val="en-US" w:eastAsia="zh-CN" w:bidi="ar-SA"/>
              </w:rPr>
            </w:pPr>
            <w:r>
              <w:rPr>
                <w:rFonts w:hint="eastAsia" w:ascii="仿宋" w:hAnsi="仿宋" w:eastAsia="仿宋"/>
                <w:color w:val="auto"/>
                <w:sz w:val="32"/>
                <w:szCs w:val="32"/>
                <w:highlight w:val="none"/>
                <w:lang w:val="en-US" w:eastAsia="zh-CN"/>
              </w:rPr>
              <w:t>391.03</w:t>
            </w:r>
            <w:r>
              <w:rPr>
                <w:rFonts w:hint="eastAsia" w:ascii="仿宋" w:hAnsi="仿宋" w:eastAsia="仿宋"/>
                <w:color w:val="auto"/>
                <w:sz w:val="32"/>
                <w:szCs w:val="32"/>
                <w:highlight w:val="none"/>
              </w:rPr>
              <w:t>万元</w:t>
            </w:r>
          </w:p>
        </w:tc>
      </w:tr>
      <w:tr w14:paraId="230D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3588C21">
            <w:pPr>
              <w:spacing w:line="600" w:lineRule="exact"/>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lang w:val="en-US" w:eastAsia="zh-CN"/>
              </w:rPr>
              <w:t>其他支出</w:t>
            </w:r>
          </w:p>
        </w:tc>
        <w:tc>
          <w:tcPr>
            <w:tcW w:w="4261" w:type="dxa"/>
          </w:tcPr>
          <w:p w14:paraId="3FBC45B5">
            <w:pPr>
              <w:spacing w:line="600" w:lineRule="exact"/>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5336.45万元</w:t>
            </w:r>
          </w:p>
        </w:tc>
      </w:tr>
      <w:tr w14:paraId="5840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0938D61">
            <w:pPr>
              <w:spacing w:line="600" w:lineRule="exact"/>
              <w:rPr>
                <w:rFonts w:hint="default" w:ascii="仿宋" w:hAnsi="仿宋" w:eastAsia="仿宋"/>
                <w:b/>
                <w:bCs/>
                <w:color w:val="auto"/>
                <w:sz w:val="32"/>
                <w:szCs w:val="32"/>
                <w:highlight w:val="none"/>
                <w:lang w:val="en-US" w:eastAsia="zh-CN"/>
              </w:rPr>
            </w:pPr>
            <w:r>
              <w:rPr>
                <w:rFonts w:hint="eastAsia" w:ascii="仿宋" w:hAnsi="仿宋" w:eastAsia="仿宋"/>
                <w:b/>
                <w:bCs/>
                <w:color w:val="auto"/>
                <w:sz w:val="32"/>
                <w:szCs w:val="32"/>
                <w:highlight w:val="none"/>
                <w:lang w:val="en-US" w:eastAsia="zh-CN"/>
              </w:rPr>
              <w:t>农林水支出</w:t>
            </w:r>
          </w:p>
        </w:tc>
        <w:tc>
          <w:tcPr>
            <w:tcW w:w="4261" w:type="dxa"/>
          </w:tcPr>
          <w:p w14:paraId="52F35CE8">
            <w:pPr>
              <w:spacing w:line="600" w:lineRule="exact"/>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17.64</w:t>
            </w:r>
          </w:p>
        </w:tc>
      </w:tr>
      <w:bookmarkEnd w:id="32"/>
      <w:bookmarkEnd w:id="33"/>
    </w:tbl>
    <w:p w14:paraId="3F1F4CEE">
      <w:pPr>
        <w:spacing w:line="600" w:lineRule="exact"/>
        <w:ind w:firstLine="640"/>
        <w:rPr>
          <w:rFonts w:hint="eastAsia" w:ascii="仿宋" w:hAnsi="仿宋" w:eastAsia="仿宋"/>
          <w:b/>
          <w:color w:val="auto"/>
          <w:sz w:val="32"/>
          <w:szCs w:val="32"/>
          <w:highlight w:val="none"/>
        </w:rPr>
      </w:pPr>
    </w:p>
    <w:p w14:paraId="217A20DF">
      <w:pPr>
        <w:spacing w:line="600" w:lineRule="exact"/>
        <w:ind w:firstLine="640"/>
        <w:rPr>
          <w:rFonts w:ascii="仿宋" w:hAnsi="仿宋" w:eastAsia="仿宋"/>
          <w:color w:val="auto"/>
          <w:sz w:val="32"/>
          <w:szCs w:val="32"/>
          <w:highlight w:val="none"/>
        </w:rPr>
      </w:pPr>
    </w:p>
    <w:p w14:paraId="72AD47E9">
      <w:pPr>
        <w:spacing w:line="240" w:lineRule="auto"/>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839970" cy="2926080"/>
            <wp:effectExtent l="0" t="0" r="17780" b="7620"/>
            <wp:docPr id="10" name="图片 10"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片6"/>
                    <pic:cNvPicPr>
                      <a:picLocks noChangeAspect="1"/>
                    </pic:cNvPicPr>
                  </pic:nvPicPr>
                  <pic:blipFill>
                    <a:blip r:embed="rId11"/>
                    <a:stretch>
                      <a:fillRect/>
                    </a:stretch>
                  </pic:blipFill>
                  <pic:spPr>
                    <a:xfrm>
                      <a:off x="0" y="0"/>
                      <a:ext cx="4839970" cy="2926080"/>
                    </a:xfrm>
                    <a:prstGeom prst="rect">
                      <a:avLst/>
                    </a:prstGeom>
                  </pic:spPr>
                </pic:pic>
              </a:graphicData>
            </a:graphic>
          </wp:inline>
        </w:drawing>
      </w:r>
    </w:p>
    <w:p w14:paraId="4E5F0114">
      <w:pPr>
        <w:spacing w:line="600" w:lineRule="exact"/>
        <w:ind w:firstLine="643" w:firstLineChars="200"/>
        <w:outlineLvl w:val="2"/>
        <w:rPr>
          <w:rFonts w:ascii="仿宋" w:hAnsi="仿宋" w:eastAsia="仿宋"/>
          <w:b/>
          <w:color w:val="auto"/>
          <w:sz w:val="32"/>
          <w:szCs w:val="32"/>
          <w:highlight w:val="none"/>
        </w:rPr>
      </w:pPr>
      <w:bookmarkStart w:id="34" w:name="_Toc15377212"/>
      <w:r>
        <w:rPr>
          <w:rFonts w:hint="eastAsia" w:ascii="仿宋" w:hAnsi="仿宋" w:eastAsia="仿宋"/>
          <w:b/>
          <w:color w:val="auto"/>
          <w:sz w:val="32"/>
          <w:szCs w:val="32"/>
          <w:highlight w:val="none"/>
        </w:rPr>
        <w:t>（三）一般公共预算财政拨款支出决算具体情况</w:t>
      </w:r>
      <w:bookmarkEnd w:id="34"/>
    </w:p>
    <w:p w14:paraId="756287D6">
      <w:pPr>
        <w:spacing w:line="600" w:lineRule="exact"/>
        <w:ind w:firstLine="643" w:firstLineChars="200"/>
        <w:outlineLvl w:val="2"/>
        <w:rPr>
          <w:rFonts w:ascii="仿宋" w:hAnsi="仿宋" w:eastAsia="仿宋"/>
          <w:color w:val="auto"/>
          <w:sz w:val="32"/>
          <w:szCs w:val="32"/>
          <w:highlight w:val="none"/>
        </w:rPr>
      </w:pPr>
      <w:bookmarkStart w:id="35" w:name="_Toc15377213"/>
      <w:bookmarkStart w:id="36" w:name="_Toc15378460"/>
      <w:bookmarkStart w:id="37"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20600.56万元</w:t>
      </w:r>
      <w:r>
        <w:rPr>
          <w:rFonts w:hint="eastAsia" w:ascii="仿宋" w:hAnsi="仿宋" w:eastAsia="仿宋"/>
          <w:color w:val="auto"/>
          <w:sz w:val="32"/>
          <w:szCs w:val="32"/>
          <w:highlight w:val="none"/>
        </w:rPr>
        <w:t>，</w:t>
      </w:r>
      <w:r>
        <w:rPr>
          <w:rStyle w:val="22"/>
          <w:rFonts w:hint="eastAsia" w:ascii="仿宋" w:hAnsi="仿宋" w:eastAsia="仿宋"/>
          <w:bCs/>
          <w:color w:val="auto"/>
          <w:sz w:val="32"/>
          <w:szCs w:val="32"/>
          <w:highlight w:val="none"/>
        </w:rPr>
        <w:t>完成预算</w:t>
      </w:r>
      <w:r>
        <w:rPr>
          <w:rStyle w:val="22"/>
          <w:rFonts w:hint="eastAsia" w:ascii="仿宋" w:hAnsi="仿宋" w:eastAsia="仿宋"/>
          <w:bCs/>
          <w:color w:val="auto"/>
          <w:sz w:val="32"/>
          <w:szCs w:val="32"/>
          <w:highlight w:val="none"/>
          <w:lang w:val="en-US" w:eastAsia="zh-CN"/>
        </w:rPr>
        <w:t>100</w:t>
      </w:r>
      <w:r>
        <w:rPr>
          <w:rStyle w:val="22"/>
          <w:rFonts w:ascii="仿宋" w:hAnsi="仿宋" w:eastAsia="仿宋"/>
          <w:bCs/>
          <w:color w:val="auto"/>
          <w:sz w:val="32"/>
          <w:szCs w:val="32"/>
          <w:highlight w:val="none"/>
        </w:rPr>
        <w:t>%</w:t>
      </w:r>
      <w:r>
        <w:rPr>
          <w:rStyle w:val="22"/>
          <w:rFonts w:hint="eastAsia" w:ascii="仿宋" w:hAnsi="仿宋" w:eastAsia="仿宋"/>
          <w:bCs/>
          <w:color w:val="auto"/>
          <w:sz w:val="32"/>
          <w:szCs w:val="32"/>
          <w:highlight w:val="none"/>
        </w:rPr>
        <w:t>。其中：</w:t>
      </w:r>
      <w:bookmarkEnd w:id="35"/>
      <w:bookmarkEnd w:id="36"/>
      <w:bookmarkEnd w:id="37"/>
    </w:p>
    <w:p w14:paraId="55F86587">
      <w:pPr>
        <w:numPr>
          <w:ilvl w:val="0"/>
          <w:numId w:val="0"/>
        </w:numPr>
        <w:spacing w:line="600" w:lineRule="exact"/>
        <w:ind w:left="-13" w:leftChars="0" w:firstLine="643" w:firstLineChars="0"/>
        <w:rPr>
          <w:rStyle w:val="22"/>
          <w:rFonts w:hint="eastAsia" w:ascii="仿宋" w:hAnsi="仿宋" w:eastAsia="仿宋"/>
          <w:b w:val="0"/>
          <w:bCs/>
          <w:color w:val="auto"/>
          <w:sz w:val="32"/>
          <w:szCs w:val="32"/>
          <w:highlight w:val="none"/>
        </w:rPr>
      </w:pPr>
      <w:r>
        <w:rPr>
          <w:rStyle w:val="22"/>
          <w:rFonts w:hint="eastAsia" w:ascii="仿宋" w:hAnsi="仿宋" w:eastAsia="仿宋" w:cstheme="minorBidi"/>
          <w:bCs/>
          <w:color w:val="auto"/>
          <w:sz w:val="32"/>
          <w:szCs w:val="32"/>
          <w:highlight w:val="none"/>
          <w:lang w:val="en-US" w:eastAsia="zh-CN"/>
        </w:rPr>
        <w:t>1.</w:t>
      </w:r>
      <w:r>
        <w:rPr>
          <w:rStyle w:val="22"/>
          <w:rFonts w:hint="eastAsia" w:ascii="仿宋" w:hAnsi="仿宋" w:eastAsia="仿宋"/>
          <w:bCs/>
          <w:color w:val="auto"/>
          <w:sz w:val="32"/>
          <w:szCs w:val="32"/>
          <w:highlight w:val="none"/>
        </w:rPr>
        <w:t>社会保障和就业（类）</w:t>
      </w:r>
      <w:r>
        <w:rPr>
          <w:rStyle w:val="22"/>
          <w:rFonts w:hint="eastAsia" w:ascii="仿宋" w:hAnsi="仿宋" w:eastAsia="仿宋"/>
          <w:bCs/>
          <w:color w:val="auto"/>
          <w:sz w:val="32"/>
          <w:szCs w:val="32"/>
          <w:highlight w:val="none"/>
          <w:lang w:val="en-US" w:eastAsia="zh-CN"/>
        </w:rPr>
        <w:t>208</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val="en-US" w:eastAsia="zh-CN"/>
        </w:rPr>
        <w:t>05</w:t>
      </w:r>
      <w:r>
        <w:rPr>
          <w:rStyle w:val="22"/>
          <w:rFonts w:hint="eastAsia" w:ascii="仿宋" w:hAnsi="仿宋" w:eastAsia="仿宋"/>
          <w:bCs/>
          <w:color w:val="auto"/>
          <w:sz w:val="32"/>
          <w:szCs w:val="32"/>
          <w:highlight w:val="none"/>
        </w:rPr>
        <w:t>（项）</w:t>
      </w:r>
      <w:r>
        <w:rPr>
          <w:rStyle w:val="22"/>
          <w:rFonts w:hint="eastAsia" w:ascii="仿宋" w:hAnsi="仿宋" w:eastAsia="仿宋"/>
          <w:bCs/>
          <w:color w:val="auto"/>
          <w:sz w:val="32"/>
          <w:szCs w:val="32"/>
          <w:highlight w:val="none"/>
          <w:lang w:val="en-US" w:eastAsia="zh-CN"/>
        </w:rPr>
        <w:t>/208</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val="en-US" w:eastAsia="zh-CN"/>
        </w:rPr>
        <w:t>06</w:t>
      </w:r>
      <w:r>
        <w:rPr>
          <w:rStyle w:val="22"/>
          <w:rFonts w:hint="eastAsia" w:ascii="仿宋" w:hAnsi="仿宋" w:eastAsia="仿宋"/>
          <w:bCs/>
          <w:color w:val="auto"/>
          <w:sz w:val="32"/>
          <w:szCs w:val="32"/>
          <w:highlight w:val="none"/>
        </w:rPr>
        <w:t>（项）</w:t>
      </w:r>
      <w:r>
        <w:rPr>
          <w:rStyle w:val="22"/>
          <w:rFonts w:ascii="仿宋" w:hAnsi="仿宋" w:eastAsia="仿宋"/>
          <w:bCs/>
          <w:color w:val="auto"/>
          <w:sz w:val="32"/>
          <w:szCs w:val="32"/>
          <w:highlight w:val="none"/>
        </w:rPr>
        <w:t>:</w:t>
      </w:r>
      <w:r>
        <w:rPr>
          <w:rStyle w:val="22"/>
          <w:rFonts w:ascii="仿宋" w:hAnsi="仿宋" w:eastAsia="仿宋"/>
          <w:b w:val="0"/>
          <w:bCs/>
          <w:color w:val="auto"/>
          <w:sz w:val="32"/>
          <w:szCs w:val="32"/>
          <w:highlight w:val="none"/>
        </w:rPr>
        <w:t xml:space="preserve"> </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145.6</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0.7</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C23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9538DD6">
            <w:pPr>
              <w:pStyle w:val="11"/>
              <w:numPr>
                <w:ilvl w:val="0"/>
                <w:numId w:val="0"/>
              </w:numPr>
              <w:rPr>
                <w:rFonts w:hint="default" w:eastAsia="宋体"/>
                <w:sz w:val="28"/>
                <w:szCs w:val="28"/>
                <w:vertAlign w:val="baseline"/>
                <w:lang w:val="en-US" w:eastAsia="zh-CN"/>
              </w:rPr>
            </w:pPr>
            <w:r>
              <w:rPr>
                <w:rFonts w:hint="eastAsia"/>
                <w:sz w:val="28"/>
                <w:szCs w:val="28"/>
                <w:vertAlign w:val="baseline"/>
                <w:lang w:val="en-US" w:eastAsia="zh-CN"/>
              </w:rPr>
              <w:t>2080505-机关事业单位基本养老保险缴费支出</w:t>
            </w:r>
          </w:p>
        </w:tc>
        <w:tc>
          <w:tcPr>
            <w:tcW w:w="4261" w:type="dxa"/>
          </w:tcPr>
          <w:p w14:paraId="21880B9A">
            <w:pPr>
              <w:pStyle w:val="11"/>
              <w:numPr>
                <w:ilvl w:val="0"/>
                <w:numId w:val="0"/>
              </w:numPr>
              <w:rPr>
                <w:rFonts w:hint="default" w:eastAsia="宋体"/>
                <w:sz w:val="28"/>
                <w:szCs w:val="28"/>
                <w:vertAlign w:val="baseline"/>
                <w:lang w:val="en-US" w:eastAsia="zh-CN"/>
              </w:rPr>
            </w:pPr>
            <w:r>
              <w:rPr>
                <w:rFonts w:hint="eastAsia"/>
                <w:sz w:val="28"/>
                <w:szCs w:val="28"/>
                <w:vertAlign w:val="baseline"/>
                <w:lang w:val="en-US" w:eastAsia="zh-CN"/>
              </w:rPr>
              <w:t>98.45万元</w:t>
            </w:r>
          </w:p>
        </w:tc>
      </w:tr>
      <w:tr w14:paraId="3E8C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91C662D">
            <w:pPr>
              <w:pStyle w:val="11"/>
              <w:numPr>
                <w:ilvl w:val="0"/>
                <w:numId w:val="0"/>
              </w:numPr>
              <w:rPr>
                <w:rFonts w:hint="default" w:eastAsia="宋体"/>
                <w:sz w:val="28"/>
                <w:szCs w:val="28"/>
                <w:vertAlign w:val="baseline"/>
                <w:lang w:val="en-US" w:eastAsia="zh-CN"/>
              </w:rPr>
            </w:pPr>
            <w:r>
              <w:rPr>
                <w:rFonts w:hint="eastAsia"/>
                <w:sz w:val="28"/>
                <w:szCs w:val="28"/>
                <w:vertAlign w:val="baseline"/>
                <w:lang w:val="en-US" w:eastAsia="zh-CN"/>
              </w:rPr>
              <w:t>2080506-机关事业单位职业年金缴费支出</w:t>
            </w:r>
          </w:p>
        </w:tc>
        <w:tc>
          <w:tcPr>
            <w:tcW w:w="4261" w:type="dxa"/>
          </w:tcPr>
          <w:p w14:paraId="4B86D5E3">
            <w:pPr>
              <w:pStyle w:val="11"/>
              <w:numPr>
                <w:ilvl w:val="0"/>
                <w:numId w:val="0"/>
              </w:numPr>
              <w:rPr>
                <w:rFonts w:hint="default" w:eastAsia="宋体"/>
                <w:sz w:val="28"/>
                <w:szCs w:val="28"/>
                <w:vertAlign w:val="baseline"/>
                <w:lang w:val="en-US" w:eastAsia="zh-CN"/>
              </w:rPr>
            </w:pPr>
            <w:r>
              <w:rPr>
                <w:rFonts w:hint="eastAsia"/>
                <w:sz w:val="28"/>
                <w:szCs w:val="28"/>
                <w:vertAlign w:val="baseline"/>
                <w:lang w:val="en-US" w:eastAsia="zh-CN"/>
              </w:rPr>
              <w:t>47.14万元</w:t>
            </w:r>
          </w:p>
        </w:tc>
      </w:tr>
    </w:tbl>
    <w:p w14:paraId="79C8E29D">
      <w:pPr>
        <w:pStyle w:val="11"/>
        <w:numPr>
          <w:ilvl w:val="0"/>
          <w:numId w:val="0"/>
        </w:numPr>
      </w:pPr>
    </w:p>
    <w:p w14:paraId="796A59C0">
      <w:pPr>
        <w:numPr>
          <w:ilvl w:val="0"/>
          <w:numId w:val="0"/>
        </w:numPr>
        <w:spacing w:line="600" w:lineRule="exact"/>
        <w:ind w:firstLine="643" w:firstLineChars="200"/>
        <w:rPr>
          <w:rStyle w:val="22"/>
          <w:rFonts w:hint="eastAsia" w:ascii="仿宋" w:hAnsi="仿宋" w:eastAsia="仿宋"/>
          <w:b w:val="0"/>
          <w:bCs/>
          <w:color w:val="auto"/>
          <w:sz w:val="32"/>
          <w:szCs w:val="32"/>
          <w:highlight w:val="none"/>
          <w:lang w:eastAsia="zh-CN"/>
        </w:rPr>
      </w:pPr>
      <w:r>
        <w:rPr>
          <w:rFonts w:hint="eastAsia" w:ascii="仿宋" w:hAnsi="仿宋" w:eastAsia="仿宋"/>
          <w:b/>
          <w:bCs/>
          <w:color w:val="auto"/>
          <w:sz w:val="32"/>
          <w:szCs w:val="32"/>
          <w:highlight w:val="none"/>
          <w:lang w:val="en-US" w:eastAsia="zh-CN"/>
        </w:rPr>
        <w:t>2.</w:t>
      </w:r>
      <w:r>
        <w:rPr>
          <w:rFonts w:hint="eastAsia" w:ascii="仿宋" w:hAnsi="仿宋" w:eastAsia="仿宋"/>
          <w:b/>
          <w:bCs/>
          <w:color w:val="auto"/>
          <w:sz w:val="32"/>
          <w:szCs w:val="32"/>
          <w:highlight w:val="none"/>
        </w:rPr>
        <w:t>卫生健康</w:t>
      </w:r>
      <w:r>
        <w:rPr>
          <w:rStyle w:val="22"/>
          <w:rFonts w:hint="eastAsia" w:ascii="仿宋" w:hAnsi="仿宋" w:eastAsia="仿宋"/>
          <w:bCs/>
          <w:color w:val="auto"/>
          <w:sz w:val="32"/>
          <w:szCs w:val="32"/>
          <w:highlight w:val="none"/>
        </w:rPr>
        <w:t>（类）</w:t>
      </w:r>
      <w:r>
        <w:rPr>
          <w:rStyle w:val="22"/>
          <w:rFonts w:hint="eastAsia" w:ascii="仿宋" w:hAnsi="仿宋" w:eastAsia="仿宋"/>
          <w:bCs/>
          <w:color w:val="auto"/>
          <w:sz w:val="32"/>
          <w:szCs w:val="32"/>
          <w:highlight w:val="none"/>
          <w:lang w:val="en-US" w:eastAsia="zh-CN"/>
        </w:rPr>
        <w:t>210</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val="en-US" w:eastAsia="zh-CN"/>
        </w:rPr>
        <w:t>01</w:t>
      </w:r>
      <w:r>
        <w:rPr>
          <w:rStyle w:val="22"/>
          <w:rFonts w:hint="eastAsia" w:ascii="仿宋" w:hAnsi="仿宋" w:eastAsia="仿宋"/>
          <w:bCs/>
          <w:color w:val="auto"/>
          <w:sz w:val="32"/>
          <w:szCs w:val="32"/>
          <w:highlight w:val="none"/>
        </w:rPr>
        <w:t>（项）</w:t>
      </w:r>
      <w:r>
        <w:rPr>
          <w:rStyle w:val="22"/>
          <w:rFonts w:ascii="仿宋" w:hAnsi="仿宋" w:eastAsia="仿宋"/>
          <w:bCs/>
          <w:color w:val="auto"/>
          <w:sz w:val="32"/>
          <w:szCs w:val="32"/>
          <w:highlight w:val="none"/>
        </w:rPr>
        <w:t>:</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63.95</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0.31</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15F7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8647855">
            <w:pPr>
              <w:pStyle w:val="11"/>
              <w:rPr>
                <w:rFonts w:hint="default"/>
                <w:sz w:val="28"/>
                <w:szCs w:val="28"/>
                <w:vertAlign w:val="baseline"/>
                <w:lang w:val="en-US" w:eastAsia="zh-CN"/>
              </w:rPr>
            </w:pPr>
            <w:r>
              <w:rPr>
                <w:rFonts w:hint="eastAsia"/>
                <w:sz w:val="28"/>
                <w:szCs w:val="28"/>
                <w:vertAlign w:val="baseline"/>
                <w:lang w:val="en-US" w:eastAsia="zh-CN"/>
              </w:rPr>
              <w:t>2101102-事业单位医疗</w:t>
            </w:r>
          </w:p>
        </w:tc>
        <w:tc>
          <w:tcPr>
            <w:tcW w:w="4261" w:type="dxa"/>
          </w:tcPr>
          <w:p w14:paraId="6DD61D92">
            <w:pPr>
              <w:pStyle w:val="11"/>
              <w:rPr>
                <w:rFonts w:hint="default"/>
                <w:sz w:val="28"/>
                <w:szCs w:val="28"/>
                <w:lang w:val="en-US" w:eastAsia="zh-CN"/>
              </w:rPr>
            </w:pPr>
            <w:r>
              <w:rPr>
                <w:rFonts w:hint="eastAsia"/>
                <w:sz w:val="28"/>
                <w:szCs w:val="28"/>
                <w:lang w:val="en-US" w:eastAsia="zh-CN"/>
              </w:rPr>
              <w:t>34.49万元</w:t>
            </w:r>
          </w:p>
        </w:tc>
      </w:tr>
      <w:tr w14:paraId="6F0C9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E7222C5">
            <w:pPr>
              <w:pStyle w:val="11"/>
              <w:rPr>
                <w:rFonts w:hint="default"/>
                <w:sz w:val="28"/>
                <w:szCs w:val="28"/>
                <w:lang w:val="en-US" w:eastAsia="zh-CN"/>
              </w:rPr>
            </w:pPr>
            <w:r>
              <w:rPr>
                <w:rFonts w:hint="eastAsia"/>
                <w:sz w:val="28"/>
                <w:szCs w:val="28"/>
                <w:lang w:val="en-US" w:eastAsia="zh-CN"/>
              </w:rPr>
              <w:t>2101101-行政单位医疗</w:t>
            </w:r>
          </w:p>
        </w:tc>
        <w:tc>
          <w:tcPr>
            <w:tcW w:w="4261" w:type="dxa"/>
          </w:tcPr>
          <w:p w14:paraId="4374690C">
            <w:pPr>
              <w:pStyle w:val="11"/>
              <w:rPr>
                <w:rFonts w:hint="default"/>
                <w:sz w:val="28"/>
                <w:szCs w:val="28"/>
                <w:vertAlign w:val="baseline"/>
                <w:lang w:val="en-US" w:eastAsia="zh-CN"/>
              </w:rPr>
            </w:pPr>
            <w:r>
              <w:rPr>
                <w:rFonts w:hint="eastAsia"/>
                <w:sz w:val="28"/>
                <w:szCs w:val="28"/>
                <w:vertAlign w:val="baseline"/>
                <w:lang w:val="en-US" w:eastAsia="zh-CN"/>
              </w:rPr>
              <w:t>11.03万元</w:t>
            </w:r>
          </w:p>
        </w:tc>
      </w:tr>
      <w:tr w14:paraId="156A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BF37D0C">
            <w:pPr>
              <w:pStyle w:val="11"/>
              <w:rPr>
                <w:rFonts w:hint="default"/>
                <w:sz w:val="28"/>
                <w:szCs w:val="28"/>
                <w:vertAlign w:val="baseline"/>
                <w:lang w:val="en-US" w:eastAsia="zh-CN"/>
              </w:rPr>
            </w:pPr>
            <w:r>
              <w:rPr>
                <w:rFonts w:hint="eastAsia"/>
                <w:sz w:val="28"/>
                <w:szCs w:val="28"/>
                <w:vertAlign w:val="baseline"/>
                <w:lang w:val="en-US" w:eastAsia="zh-CN"/>
              </w:rPr>
              <w:t>2101103-公务员医疗补助</w:t>
            </w:r>
          </w:p>
        </w:tc>
        <w:tc>
          <w:tcPr>
            <w:tcW w:w="4261" w:type="dxa"/>
          </w:tcPr>
          <w:p w14:paraId="3543A020">
            <w:pPr>
              <w:pStyle w:val="11"/>
              <w:rPr>
                <w:rFonts w:hint="default"/>
                <w:sz w:val="28"/>
                <w:szCs w:val="28"/>
                <w:vertAlign w:val="baseline"/>
                <w:lang w:val="en-US" w:eastAsia="zh-CN"/>
              </w:rPr>
            </w:pPr>
            <w:r>
              <w:rPr>
                <w:rFonts w:hint="eastAsia"/>
                <w:sz w:val="28"/>
                <w:szCs w:val="28"/>
                <w:vertAlign w:val="baseline"/>
                <w:lang w:val="en-US" w:eastAsia="zh-CN"/>
              </w:rPr>
              <w:t>4.15万元</w:t>
            </w:r>
          </w:p>
        </w:tc>
      </w:tr>
      <w:tr w14:paraId="284B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2C7413F">
            <w:pPr>
              <w:pStyle w:val="11"/>
              <w:rPr>
                <w:rFonts w:hint="default"/>
                <w:sz w:val="28"/>
                <w:szCs w:val="28"/>
                <w:vertAlign w:val="baseline"/>
                <w:lang w:val="en-US" w:eastAsia="zh-CN"/>
              </w:rPr>
            </w:pPr>
            <w:r>
              <w:rPr>
                <w:rFonts w:hint="eastAsia"/>
                <w:sz w:val="28"/>
                <w:szCs w:val="28"/>
                <w:vertAlign w:val="baseline"/>
                <w:lang w:val="en-US" w:eastAsia="zh-CN"/>
              </w:rPr>
              <w:t>2101199-其他行政事业单位医疗支出</w:t>
            </w:r>
          </w:p>
        </w:tc>
        <w:tc>
          <w:tcPr>
            <w:tcW w:w="4261" w:type="dxa"/>
          </w:tcPr>
          <w:p w14:paraId="5F035E63">
            <w:pPr>
              <w:pStyle w:val="11"/>
              <w:rPr>
                <w:rFonts w:hint="default"/>
                <w:sz w:val="28"/>
                <w:szCs w:val="28"/>
                <w:vertAlign w:val="baseline"/>
                <w:lang w:val="en-US" w:eastAsia="zh-CN"/>
              </w:rPr>
            </w:pPr>
            <w:r>
              <w:rPr>
                <w:rFonts w:hint="eastAsia"/>
                <w:sz w:val="28"/>
                <w:szCs w:val="28"/>
                <w:vertAlign w:val="baseline"/>
                <w:lang w:val="en-US" w:eastAsia="zh-CN"/>
              </w:rPr>
              <w:t>14.28万元</w:t>
            </w:r>
          </w:p>
        </w:tc>
      </w:tr>
    </w:tbl>
    <w:p w14:paraId="66D39FE8">
      <w:pPr>
        <w:numPr>
          <w:ilvl w:val="0"/>
          <w:numId w:val="0"/>
        </w:numPr>
        <w:spacing w:line="600" w:lineRule="exact"/>
        <w:ind w:firstLine="643" w:firstLineChars="200"/>
        <w:rPr>
          <w:rStyle w:val="22"/>
          <w:rFonts w:hint="eastAsia" w:ascii="仿宋" w:hAnsi="仿宋" w:eastAsia="仿宋"/>
          <w:b w:val="0"/>
          <w:bCs/>
          <w:color w:val="auto"/>
          <w:sz w:val="32"/>
          <w:szCs w:val="32"/>
          <w:highlight w:val="none"/>
          <w:lang w:eastAsia="zh-CN"/>
        </w:rPr>
      </w:pPr>
      <w:r>
        <w:rPr>
          <w:rFonts w:hint="eastAsia" w:ascii="仿宋" w:hAnsi="仿宋" w:eastAsia="仿宋"/>
          <w:b/>
          <w:bCs/>
          <w:color w:val="auto"/>
          <w:sz w:val="32"/>
          <w:szCs w:val="32"/>
          <w:highlight w:val="none"/>
          <w:lang w:val="en-US" w:eastAsia="zh-CN"/>
        </w:rPr>
        <w:t>3.节能环保</w:t>
      </w:r>
      <w:r>
        <w:rPr>
          <w:rStyle w:val="22"/>
          <w:rFonts w:hint="eastAsia" w:ascii="仿宋" w:hAnsi="仿宋" w:eastAsia="仿宋"/>
          <w:bCs/>
          <w:color w:val="auto"/>
          <w:sz w:val="32"/>
          <w:szCs w:val="32"/>
          <w:highlight w:val="none"/>
        </w:rPr>
        <w:t>（类）</w:t>
      </w:r>
      <w:r>
        <w:rPr>
          <w:rStyle w:val="22"/>
          <w:rFonts w:hint="eastAsia" w:ascii="仿宋" w:hAnsi="仿宋" w:eastAsia="仿宋"/>
          <w:bCs/>
          <w:color w:val="auto"/>
          <w:sz w:val="32"/>
          <w:szCs w:val="32"/>
          <w:highlight w:val="none"/>
          <w:lang w:val="en-US" w:eastAsia="zh-CN"/>
        </w:rPr>
        <w:t>211</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val="en-US" w:eastAsia="zh-CN"/>
        </w:rPr>
        <w:t>01</w:t>
      </w:r>
      <w:r>
        <w:rPr>
          <w:rStyle w:val="22"/>
          <w:rFonts w:hint="eastAsia" w:ascii="仿宋" w:hAnsi="仿宋" w:eastAsia="仿宋"/>
          <w:bCs/>
          <w:color w:val="auto"/>
          <w:sz w:val="32"/>
          <w:szCs w:val="32"/>
          <w:highlight w:val="none"/>
        </w:rPr>
        <w:t>（项）</w:t>
      </w:r>
      <w:r>
        <w:rPr>
          <w:rStyle w:val="22"/>
          <w:rFonts w:hint="eastAsia" w:ascii="仿宋" w:hAnsi="仿宋" w:eastAsia="仿宋"/>
          <w:bCs/>
          <w:color w:val="auto"/>
          <w:sz w:val="32"/>
          <w:szCs w:val="32"/>
          <w:highlight w:val="none"/>
          <w:lang w:val="en-US" w:eastAsia="zh-CN"/>
        </w:rPr>
        <w:t>/211</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val="en-US" w:eastAsia="zh-CN"/>
        </w:rPr>
        <w:t>04</w:t>
      </w:r>
      <w:r>
        <w:rPr>
          <w:rStyle w:val="22"/>
          <w:rFonts w:hint="eastAsia" w:ascii="仿宋" w:hAnsi="仿宋" w:eastAsia="仿宋"/>
          <w:bCs/>
          <w:color w:val="auto"/>
          <w:sz w:val="32"/>
          <w:szCs w:val="32"/>
          <w:highlight w:val="none"/>
        </w:rPr>
        <w:t>（项）</w:t>
      </w:r>
      <w:r>
        <w:rPr>
          <w:rStyle w:val="22"/>
          <w:rFonts w:hint="eastAsia" w:ascii="仿宋" w:hAnsi="仿宋" w:eastAsia="仿宋"/>
          <w:bCs/>
          <w:color w:val="auto"/>
          <w:sz w:val="32"/>
          <w:szCs w:val="32"/>
          <w:highlight w:val="none"/>
          <w:lang w:val="en-US" w:eastAsia="zh-CN"/>
        </w:rPr>
        <w:t>/211</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val="en-US" w:eastAsia="zh-CN"/>
        </w:rPr>
        <w:t>99</w:t>
      </w:r>
      <w:r>
        <w:rPr>
          <w:rStyle w:val="22"/>
          <w:rFonts w:hint="eastAsia" w:ascii="仿宋" w:hAnsi="仿宋" w:eastAsia="仿宋"/>
          <w:bCs/>
          <w:color w:val="auto"/>
          <w:sz w:val="32"/>
          <w:szCs w:val="32"/>
          <w:highlight w:val="none"/>
        </w:rPr>
        <w:t>（项）</w:t>
      </w:r>
      <w:r>
        <w:rPr>
          <w:rStyle w:val="22"/>
          <w:rFonts w:ascii="仿宋" w:hAnsi="仿宋" w:eastAsia="仿宋"/>
          <w:bCs/>
          <w:color w:val="auto"/>
          <w:sz w:val="32"/>
          <w:szCs w:val="32"/>
          <w:highlight w:val="none"/>
        </w:rPr>
        <w:t>:</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3764.64</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18.27</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70C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132D301">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2110199-其他环境保护管理事务支出</w:t>
            </w:r>
          </w:p>
        </w:tc>
        <w:tc>
          <w:tcPr>
            <w:tcW w:w="4261" w:type="dxa"/>
          </w:tcPr>
          <w:p w14:paraId="791C803D">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1330.49万元</w:t>
            </w:r>
          </w:p>
        </w:tc>
      </w:tr>
      <w:tr w14:paraId="040E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9961E08">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2110401-生态保护</w:t>
            </w:r>
          </w:p>
        </w:tc>
        <w:tc>
          <w:tcPr>
            <w:tcW w:w="4261" w:type="dxa"/>
          </w:tcPr>
          <w:p w14:paraId="5233A875">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2309.69万元</w:t>
            </w:r>
          </w:p>
        </w:tc>
      </w:tr>
      <w:tr w14:paraId="6965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6D9E979">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2119999-其他节能环保支出</w:t>
            </w:r>
          </w:p>
        </w:tc>
        <w:tc>
          <w:tcPr>
            <w:tcW w:w="4261" w:type="dxa"/>
          </w:tcPr>
          <w:p w14:paraId="45B3CFAD">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124.46万元</w:t>
            </w:r>
          </w:p>
        </w:tc>
      </w:tr>
    </w:tbl>
    <w:p w14:paraId="72A4EB76">
      <w:pPr>
        <w:pStyle w:val="11"/>
        <w:numPr>
          <w:ilvl w:val="0"/>
          <w:numId w:val="0"/>
        </w:numPr>
        <w:rPr>
          <w:rFonts w:hint="eastAsia"/>
          <w:lang w:eastAsia="zh-CN"/>
        </w:rPr>
      </w:pPr>
    </w:p>
    <w:p w14:paraId="7005BB7E">
      <w:pPr>
        <w:pStyle w:val="11"/>
        <w:numPr>
          <w:ilvl w:val="0"/>
          <w:numId w:val="0"/>
        </w:numPr>
        <w:ind w:left="0" w:leftChars="0" w:firstLine="643" w:firstLineChars="200"/>
        <w:jc w:val="left"/>
        <w:rPr>
          <w:rFonts w:hint="default"/>
          <w:vertAlign w:val="baseline"/>
          <w:lang w:val="en-US" w:eastAsia="zh-CN"/>
        </w:rPr>
      </w:pPr>
      <w:r>
        <w:rPr>
          <w:rStyle w:val="22"/>
          <w:rFonts w:hint="eastAsia" w:ascii="仿宋" w:hAnsi="仿宋" w:eastAsia="仿宋" w:cstheme="minorBidi"/>
          <w:bCs/>
          <w:color w:val="auto"/>
          <w:kern w:val="2"/>
          <w:sz w:val="32"/>
          <w:szCs w:val="32"/>
          <w:highlight w:val="none"/>
          <w:lang w:val="en-US" w:eastAsia="zh-CN" w:bidi="ar-SA"/>
        </w:rPr>
        <w:t>4.城乡社区（类）212（款）01（项）/212（款）02（项）/212（款）03（项）/212（款）05（项）/212（款）99（项）:支出决算为10870.25万元，完成预算52.77</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F7B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C309F06">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2120101-行政运行</w:t>
            </w:r>
          </w:p>
        </w:tc>
        <w:tc>
          <w:tcPr>
            <w:tcW w:w="4261" w:type="dxa"/>
          </w:tcPr>
          <w:p w14:paraId="40565E4B">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239.5万元</w:t>
            </w:r>
          </w:p>
        </w:tc>
      </w:tr>
      <w:tr w14:paraId="4F2A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252A19C">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2120102-一般行政管理事务</w:t>
            </w:r>
          </w:p>
        </w:tc>
        <w:tc>
          <w:tcPr>
            <w:tcW w:w="4261" w:type="dxa"/>
          </w:tcPr>
          <w:p w14:paraId="4FD77FF9">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1万元</w:t>
            </w:r>
          </w:p>
        </w:tc>
      </w:tr>
      <w:tr w14:paraId="45E3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9547C95">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2120103-机关服务</w:t>
            </w:r>
          </w:p>
        </w:tc>
        <w:tc>
          <w:tcPr>
            <w:tcW w:w="4261" w:type="dxa"/>
          </w:tcPr>
          <w:p w14:paraId="03FA4DD2">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200.53万元</w:t>
            </w:r>
          </w:p>
        </w:tc>
      </w:tr>
      <w:tr w14:paraId="5100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0A0AE56">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2120199-其他城乡社区管理事务支出</w:t>
            </w:r>
          </w:p>
        </w:tc>
        <w:tc>
          <w:tcPr>
            <w:tcW w:w="4261" w:type="dxa"/>
          </w:tcPr>
          <w:p w14:paraId="24E909C4">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531.9万元</w:t>
            </w:r>
          </w:p>
        </w:tc>
      </w:tr>
      <w:tr w14:paraId="219D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E1A6750">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2120201-城乡社区规划与管理</w:t>
            </w:r>
          </w:p>
        </w:tc>
        <w:tc>
          <w:tcPr>
            <w:tcW w:w="4261" w:type="dxa"/>
          </w:tcPr>
          <w:p w14:paraId="665345F5">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105.29万元</w:t>
            </w:r>
          </w:p>
        </w:tc>
      </w:tr>
      <w:tr w14:paraId="4EAA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36F00AF">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2120303-小城镇基础设施建设</w:t>
            </w:r>
          </w:p>
        </w:tc>
        <w:tc>
          <w:tcPr>
            <w:tcW w:w="4261" w:type="dxa"/>
          </w:tcPr>
          <w:p w14:paraId="1DC231E1">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308.05万元</w:t>
            </w:r>
          </w:p>
        </w:tc>
      </w:tr>
      <w:tr w14:paraId="41EC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022B24B">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2120399-其他城乡社区公共设施支出</w:t>
            </w:r>
          </w:p>
        </w:tc>
        <w:tc>
          <w:tcPr>
            <w:tcW w:w="4261" w:type="dxa"/>
          </w:tcPr>
          <w:p w14:paraId="66FD71DF">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4613.19万元</w:t>
            </w:r>
          </w:p>
        </w:tc>
      </w:tr>
      <w:tr w14:paraId="14CE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9F36FA1">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2120501-城乡社区环境卫生</w:t>
            </w:r>
          </w:p>
        </w:tc>
        <w:tc>
          <w:tcPr>
            <w:tcW w:w="4261" w:type="dxa"/>
          </w:tcPr>
          <w:p w14:paraId="0CA8816F">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1120.65万元</w:t>
            </w:r>
          </w:p>
        </w:tc>
      </w:tr>
      <w:tr w14:paraId="7A12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FB4B202">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2129999-其他城乡社区支出</w:t>
            </w:r>
          </w:p>
        </w:tc>
        <w:tc>
          <w:tcPr>
            <w:tcW w:w="4261" w:type="dxa"/>
          </w:tcPr>
          <w:p w14:paraId="53867F5E">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3750.16万元</w:t>
            </w:r>
          </w:p>
        </w:tc>
      </w:tr>
    </w:tbl>
    <w:p w14:paraId="6D1859DA">
      <w:pPr>
        <w:pStyle w:val="11"/>
        <w:numPr>
          <w:ilvl w:val="0"/>
          <w:numId w:val="0"/>
        </w:numPr>
        <w:ind w:left="630" w:leftChars="0"/>
        <w:rPr>
          <w:rFonts w:hint="default"/>
          <w:lang w:val="en-US" w:eastAsia="zh-CN"/>
        </w:rPr>
      </w:pPr>
    </w:p>
    <w:p w14:paraId="3DE05C6A">
      <w:pPr>
        <w:pStyle w:val="11"/>
        <w:numPr>
          <w:ilvl w:val="0"/>
          <w:numId w:val="0"/>
        </w:numPr>
        <w:ind w:left="0" w:leftChars="0" w:firstLine="643" w:firstLineChars="200"/>
        <w:rPr>
          <w:rFonts w:hint="default"/>
          <w:lang w:val="en-US" w:eastAsia="zh-CN"/>
        </w:rPr>
      </w:pPr>
      <w:r>
        <w:rPr>
          <w:rFonts w:hint="eastAsia" w:ascii="仿宋" w:hAnsi="仿宋" w:eastAsia="仿宋"/>
          <w:b/>
          <w:bCs/>
          <w:color w:val="auto"/>
          <w:sz w:val="32"/>
          <w:szCs w:val="32"/>
          <w:highlight w:val="none"/>
          <w:lang w:val="en-US" w:eastAsia="zh-CN"/>
        </w:rPr>
        <w:t>5.农林水支出</w:t>
      </w:r>
      <w:r>
        <w:rPr>
          <w:rStyle w:val="22"/>
          <w:rFonts w:hint="eastAsia" w:ascii="仿宋" w:hAnsi="仿宋" w:eastAsia="仿宋"/>
          <w:bCs/>
          <w:color w:val="auto"/>
          <w:sz w:val="32"/>
          <w:szCs w:val="32"/>
          <w:highlight w:val="none"/>
        </w:rPr>
        <w:t>（类）</w:t>
      </w:r>
      <w:r>
        <w:rPr>
          <w:rStyle w:val="22"/>
          <w:rFonts w:hint="eastAsia" w:ascii="仿宋" w:hAnsi="仿宋" w:eastAsia="仿宋"/>
          <w:bCs/>
          <w:color w:val="auto"/>
          <w:sz w:val="32"/>
          <w:szCs w:val="32"/>
          <w:highlight w:val="none"/>
          <w:lang w:val="en-US" w:eastAsia="zh-CN"/>
        </w:rPr>
        <w:t>213</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val="en-US" w:eastAsia="zh-CN"/>
        </w:rPr>
        <w:t>01</w:t>
      </w:r>
      <w:r>
        <w:rPr>
          <w:rStyle w:val="22"/>
          <w:rFonts w:hint="eastAsia" w:ascii="仿宋" w:hAnsi="仿宋" w:eastAsia="仿宋"/>
          <w:bCs/>
          <w:color w:val="auto"/>
          <w:sz w:val="32"/>
          <w:szCs w:val="32"/>
          <w:highlight w:val="none"/>
        </w:rPr>
        <w:t>（项）</w:t>
      </w:r>
      <w:r>
        <w:rPr>
          <w:rStyle w:val="22"/>
          <w:rFonts w:ascii="仿宋" w:hAnsi="仿宋" w:eastAsia="仿宋"/>
          <w:bCs/>
          <w:color w:val="auto"/>
          <w:sz w:val="32"/>
          <w:szCs w:val="32"/>
          <w:highlight w:val="none"/>
        </w:rPr>
        <w:t>:</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17.64</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0</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B060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268AF6C">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2130199-其他农业农村支出</w:t>
            </w:r>
          </w:p>
        </w:tc>
        <w:tc>
          <w:tcPr>
            <w:tcW w:w="4261" w:type="dxa"/>
          </w:tcPr>
          <w:p w14:paraId="22BA995E">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17.64万元</w:t>
            </w:r>
          </w:p>
        </w:tc>
      </w:tr>
    </w:tbl>
    <w:p w14:paraId="7ACB664D">
      <w:pPr>
        <w:pStyle w:val="11"/>
        <w:numPr>
          <w:ilvl w:val="0"/>
          <w:numId w:val="0"/>
        </w:numPr>
        <w:ind w:left="0" w:leftChars="0" w:firstLine="643" w:firstLineChars="200"/>
        <w:rPr>
          <w:rFonts w:hint="default"/>
          <w:lang w:val="en-US" w:eastAsia="zh-CN"/>
        </w:rPr>
      </w:pPr>
      <w:r>
        <w:rPr>
          <w:rFonts w:hint="eastAsia" w:ascii="仿宋" w:hAnsi="仿宋" w:eastAsia="仿宋"/>
          <w:b/>
          <w:bCs/>
          <w:color w:val="auto"/>
          <w:sz w:val="32"/>
          <w:szCs w:val="32"/>
          <w:highlight w:val="none"/>
          <w:lang w:val="en-US" w:eastAsia="zh-CN"/>
        </w:rPr>
        <w:t>6.住房保障支出</w:t>
      </w:r>
      <w:r>
        <w:rPr>
          <w:rStyle w:val="22"/>
          <w:rFonts w:hint="eastAsia" w:ascii="仿宋" w:hAnsi="仿宋" w:eastAsia="仿宋"/>
          <w:bCs/>
          <w:color w:val="auto"/>
          <w:sz w:val="32"/>
          <w:szCs w:val="32"/>
          <w:highlight w:val="none"/>
        </w:rPr>
        <w:t>（类）</w:t>
      </w:r>
      <w:r>
        <w:rPr>
          <w:rStyle w:val="22"/>
          <w:rFonts w:hint="eastAsia" w:ascii="仿宋" w:hAnsi="仿宋" w:eastAsia="仿宋"/>
          <w:bCs/>
          <w:color w:val="auto"/>
          <w:sz w:val="32"/>
          <w:szCs w:val="32"/>
          <w:highlight w:val="none"/>
          <w:lang w:val="en-US" w:eastAsia="zh-CN"/>
        </w:rPr>
        <w:t>221</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val="en-US" w:eastAsia="zh-CN"/>
        </w:rPr>
        <w:t>01</w:t>
      </w:r>
      <w:r>
        <w:rPr>
          <w:rStyle w:val="22"/>
          <w:rFonts w:hint="eastAsia" w:ascii="仿宋" w:hAnsi="仿宋" w:eastAsia="仿宋"/>
          <w:bCs/>
          <w:color w:val="auto"/>
          <w:sz w:val="32"/>
          <w:szCs w:val="32"/>
          <w:highlight w:val="none"/>
        </w:rPr>
        <w:t>（项）</w:t>
      </w:r>
      <w:r>
        <w:rPr>
          <w:rStyle w:val="22"/>
          <w:rFonts w:hint="eastAsia" w:ascii="仿宋" w:hAnsi="仿宋" w:eastAsia="仿宋"/>
          <w:bCs/>
          <w:color w:val="auto"/>
          <w:sz w:val="32"/>
          <w:szCs w:val="32"/>
          <w:highlight w:val="none"/>
          <w:lang w:val="en-US" w:eastAsia="zh-CN"/>
        </w:rPr>
        <w:t>/221</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val="en-US" w:eastAsia="zh-CN"/>
        </w:rPr>
        <w:t>02</w:t>
      </w:r>
      <w:r>
        <w:rPr>
          <w:rStyle w:val="22"/>
          <w:rFonts w:hint="eastAsia" w:ascii="仿宋" w:hAnsi="仿宋" w:eastAsia="仿宋"/>
          <w:bCs/>
          <w:color w:val="auto"/>
          <w:sz w:val="32"/>
          <w:szCs w:val="32"/>
          <w:highlight w:val="none"/>
        </w:rPr>
        <w:t>（项）</w:t>
      </w:r>
      <w:r>
        <w:rPr>
          <w:rStyle w:val="22"/>
          <w:rFonts w:hint="eastAsia" w:ascii="仿宋" w:hAnsi="仿宋" w:eastAsia="仿宋"/>
          <w:bCs/>
          <w:color w:val="auto"/>
          <w:sz w:val="32"/>
          <w:szCs w:val="32"/>
          <w:highlight w:val="none"/>
          <w:lang w:val="en-US" w:eastAsia="zh-CN"/>
        </w:rPr>
        <w:t>/221</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val="en-US" w:eastAsia="zh-CN"/>
        </w:rPr>
        <w:t>03</w:t>
      </w:r>
      <w:r>
        <w:rPr>
          <w:rStyle w:val="22"/>
          <w:rFonts w:hint="eastAsia" w:ascii="仿宋" w:hAnsi="仿宋" w:eastAsia="仿宋"/>
          <w:bCs/>
          <w:color w:val="auto"/>
          <w:sz w:val="32"/>
          <w:szCs w:val="32"/>
          <w:highlight w:val="none"/>
        </w:rPr>
        <w:t>（项）</w:t>
      </w:r>
      <w:r>
        <w:rPr>
          <w:rStyle w:val="22"/>
          <w:rFonts w:ascii="仿宋" w:hAnsi="仿宋" w:eastAsia="仿宋"/>
          <w:bCs/>
          <w:color w:val="auto"/>
          <w:sz w:val="32"/>
          <w:szCs w:val="32"/>
          <w:highlight w:val="none"/>
        </w:rPr>
        <w:t>:</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391.03</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1.9</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29C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471223F">
            <w:pPr>
              <w:numPr>
                <w:ilvl w:val="0"/>
                <w:numId w:val="0"/>
              </w:numPr>
              <w:spacing w:line="600" w:lineRule="exact"/>
              <w:rPr>
                <w:rFonts w:hint="default" w:ascii="仿宋" w:hAnsi="仿宋" w:eastAsia="仿宋"/>
                <w:b w:val="0"/>
                <w:bCs/>
                <w:color w:val="auto"/>
                <w:sz w:val="28"/>
                <w:szCs w:val="28"/>
                <w:highlight w:val="none"/>
                <w:vertAlign w:val="baseline"/>
                <w:lang w:val="en-US" w:eastAsia="zh-CN"/>
              </w:rPr>
            </w:pPr>
            <w:r>
              <w:rPr>
                <w:rFonts w:hint="eastAsia" w:ascii="仿宋" w:hAnsi="仿宋" w:eastAsia="仿宋"/>
                <w:b w:val="0"/>
                <w:bCs/>
                <w:color w:val="auto"/>
                <w:sz w:val="28"/>
                <w:szCs w:val="28"/>
                <w:highlight w:val="none"/>
                <w:vertAlign w:val="baseline"/>
                <w:lang w:val="en-US" w:eastAsia="zh-CN"/>
              </w:rPr>
              <w:t>2210105-农村危房改造</w:t>
            </w:r>
          </w:p>
        </w:tc>
        <w:tc>
          <w:tcPr>
            <w:tcW w:w="4261" w:type="dxa"/>
          </w:tcPr>
          <w:p w14:paraId="68838EA1">
            <w:pPr>
              <w:numPr>
                <w:ilvl w:val="0"/>
                <w:numId w:val="0"/>
              </w:numPr>
              <w:spacing w:line="600" w:lineRule="exact"/>
              <w:rPr>
                <w:rFonts w:hint="default" w:ascii="仿宋" w:hAnsi="仿宋" w:eastAsia="仿宋"/>
                <w:b w:val="0"/>
                <w:bCs/>
                <w:color w:val="auto"/>
                <w:sz w:val="28"/>
                <w:szCs w:val="28"/>
                <w:highlight w:val="none"/>
                <w:vertAlign w:val="baseline"/>
                <w:lang w:val="en-US" w:eastAsia="zh-CN"/>
              </w:rPr>
            </w:pPr>
            <w:r>
              <w:rPr>
                <w:rFonts w:hint="eastAsia" w:ascii="仿宋" w:hAnsi="仿宋" w:eastAsia="仿宋"/>
                <w:b w:val="0"/>
                <w:bCs/>
                <w:color w:val="auto"/>
                <w:sz w:val="28"/>
                <w:szCs w:val="28"/>
                <w:highlight w:val="none"/>
                <w:vertAlign w:val="baseline"/>
                <w:lang w:val="en-US" w:eastAsia="zh-CN"/>
              </w:rPr>
              <w:t>139.5万元</w:t>
            </w:r>
          </w:p>
        </w:tc>
      </w:tr>
      <w:tr w14:paraId="799D4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10D6673">
            <w:pPr>
              <w:numPr>
                <w:ilvl w:val="0"/>
                <w:numId w:val="0"/>
              </w:numPr>
              <w:spacing w:line="600" w:lineRule="exact"/>
              <w:rPr>
                <w:rFonts w:hint="default" w:ascii="仿宋" w:hAnsi="仿宋" w:eastAsia="仿宋"/>
                <w:b w:val="0"/>
                <w:bCs/>
                <w:color w:val="auto"/>
                <w:sz w:val="28"/>
                <w:szCs w:val="28"/>
                <w:highlight w:val="none"/>
                <w:vertAlign w:val="baseline"/>
                <w:lang w:val="en-US" w:eastAsia="zh-CN"/>
              </w:rPr>
            </w:pPr>
            <w:r>
              <w:rPr>
                <w:rFonts w:hint="eastAsia" w:ascii="仿宋" w:hAnsi="仿宋" w:eastAsia="仿宋"/>
                <w:b w:val="0"/>
                <w:bCs/>
                <w:color w:val="auto"/>
                <w:sz w:val="28"/>
                <w:szCs w:val="28"/>
                <w:highlight w:val="none"/>
                <w:vertAlign w:val="baseline"/>
                <w:lang w:val="en-US" w:eastAsia="zh-CN"/>
              </w:rPr>
              <w:t>2210108-老旧小区改造</w:t>
            </w:r>
          </w:p>
        </w:tc>
        <w:tc>
          <w:tcPr>
            <w:tcW w:w="4261" w:type="dxa"/>
          </w:tcPr>
          <w:p w14:paraId="5EBA1CF7">
            <w:pPr>
              <w:numPr>
                <w:ilvl w:val="0"/>
                <w:numId w:val="0"/>
              </w:numPr>
              <w:spacing w:line="600" w:lineRule="exact"/>
              <w:rPr>
                <w:rFonts w:hint="default" w:ascii="仿宋" w:hAnsi="仿宋" w:eastAsia="仿宋"/>
                <w:b w:val="0"/>
                <w:bCs/>
                <w:color w:val="auto"/>
                <w:sz w:val="28"/>
                <w:szCs w:val="28"/>
                <w:highlight w:val="none"/>
                <w:vertAlign w:val="baseline"/>
                <w:lang w:val="en-US" w:eastAsia="zh-CN"/>
              </w:rPr>
            </w:pPr>
            <w:r>
              <w:rPr>
                <w:rFonts w:hint="eastAsia" w:ascii="仿宋" w:hAnsi="仿宋" w:eastAsia="仿宋"/>
                <w:b w:val="0"/>
                <w:bCs/>
                <w:color w:val="auto"/>
                <w:sz w:val="28"/>
                <w:szCs w:val="28"/>
                <w:highlight w:val="none"/>
                <w:vertAlign w:val="baseline"/>
                <w:lang w:val="en-US" w:eastAsia="zh-CN"/>
              </w:rPr>
              <w:t>167.99万元</w:t>
            </w:r>
          </w:p>
        </w:tc>
      </w:tr>
      <w:tr w14:paraId="59966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7C2A559">
            <w:pPr>
              <w:numPr>
                <w:ilvl w:val="0"/>
                <w:numId w:val="0"/>
              </w:numPr>
              <w:spacing w:line="600" w:lineRule="exact"/>
              <w:rPr>
                <w:rFonts w:hint="default" w:ascii="仿宋" w:hAnsi="仿宋" w:eastAsia="仿宋"/>
                <w:b w:val="0"/>
                <w:bCs/>
                <w:color w:val="auto"/>
                <w:sz w:val="28"/>
                <w:szCs w:val="28"/>
                <w:highlight w:val="none"/>
                <w:vertAlign w:val="baseline"/>
                <w:lang w:val="en-US" w:eastAsia="zh-CN"/>
              </w:rPr>
            </w:pPr>
            <w:r>
              <w:rPr>
                <w:rFonts w:hint="eastAsia" w:ascii="仿宋" w:hAnsi="仿宋" w:eastAsia="仿宋"/>
                <w:b w:val="0"/>
                <w:bCs/>
                <w:color w:val="auto"/>
                <w:sz w:val="28"/>
                <w:szCs w:val="28"/>
                <w:highlight w:val="none"/>
                <w:vertAlign w:val="baseline"/>
                <w:lang w:val="en-US" w:eastAsia="zh-CN"/>
              </w:rPr>
              <w:t>2210203-购房补贴</w:t>
            </w:r>
          </w:p>
        </w:tc>
        <w:tc>
          <w:tcPr>
            <w:tcW w:w="4261" w:type="dxa"/>
          </w:tcPr>
          <w:p w14:paraId="08EDD9C8">
            <w:pPr>
              <w:numPr>
                <w:ilvl w:val="0"/>
                <w:numId w:val="0"/>
              </w:numPr>
              <w:spacing w:line="600" w:lineRule="exact"/>
              <w:rPr>
                <w:rFonts w:hint="default" w:ascii="仿宋" w:hAnsi="仿宋" w:eastAsia="仿宋"/>
                <w:b w:val="0"/>
                <w:bCs/>
                <w:color w:val="auto"/>
                <w:sz w:val="28"/>
                <w:szCs w:val="28"/>
                <w:highlight w:val="none"/>
                <w:vertAlign w:val="baseline"/>
                <w:lang w:val="en-US" w:eastAsia="zh-CN"/>
              </w:rPr>
            </w:pPr>
            <w:r>
              <w:rPr>
                <w:rFonts w:hint="eastAsia" w:ascii="仿宋" w:hAnsi="仿宋" w:eastAsia="仿宋"/>
                <w:b w:val="0"/>
                <w:bCs/>
                <w:color w:val="auto"/>
                <w:sz w:val="28"/>
                <w:szCs w:val="28"/>
                <w:highlight w:val="none"/>
                <w:vertAlign w:val="baseline"/>
                <w:lang w:val="en-US" w:eastAsia="zh-CN"/>
              </w:rPr>
              <w:t>1万元</w:t>
            </w:r>
          </w:p>
        </w:tc>
      </w:tr>
      <w:tr w14:paraId="31A10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6C5F445">
            <w:pPr>
              <w:numPr>
                <w:ilvl w:val="0"/>
                <w:numId w:val="0"/>
              </w:numPr>
              <w:spacing w:line="600" w:lineRule="exact"/>
              <w:rPr>
                <w:rFonts w:hint="default" w:ascii="仿宋" w:hAnsi="仿宋" w:eastAsia="仿宋"/>
                <w:b w:val="0"/>
                <w:bCs/>
                <w:color w:val="auto"/>
                <w:sz w:val="28"/>
                <w:szCs w:val="28"/>
                <w:highlight w:val="none"/>
                <w:vertAlign w:val="baseline"/>
                <w:lang w:val="en-US" w:eastAsia="zh-CN"/>
              </w:rPr>
            </w:pPr>
            <w:r>
              <w:rPr>
                <w:rFonts w:hint="eastAsia" w:ascii="仿宋" w:hAnsi="仿宋" w:eastAsia="仿宋"/>
                <w:b w:val="0"/>
                <w:bCs/>
                <w:color w:val="auto"/>
                <w:sz w:val="28"/>
                <w:szCs w:val="28"/>
                <w:highlight w:val="none"/>
                <w:vertAlign w:val="baseline"/>
                <w:lang w:val="en-US" w:eastAsia="zh-CN"/>
              </w:rPr>
              <w:t>2210201-住房公积金</w:t>
            </w:r>
          </w:p>
        </w:tc>
        <w:tc>
          <w:tcPr>
            <w:tcW w:w="4261" w:type="dxa"/>
          </w:tcPr>
          <w:p w14:paraId="15AD4C67">
            <w:pPr>
              <w:numPr>
                <w:ilvl w:val="0"/>
                <w:numId w:val="0"/>
              </w:numPr>
              <w:spacing w:line="600" w:lineRule="exact"/>
              <w:rPr>
                <w:rFonts w:hint="default" w:ascii="仿宋" w:hAnsi="仿宋" w:eastAsia="仿宋"/>
                <w:b w:val="0"/>
                <w:bCs/>
                <w:color w:val="auto"/>
                <w:sz w:val="28"/>
                <w:szCs w:val="28"/>
                <w:highlight w:val="none"/>
                <w:vertAlign w:val="baseline"/>
                <w:lang w:val="en-US" w:eastAsia="zh-CN"/>
              </w:rPr>
            </w:pPr>
            <w:r>
              <w:rPr>
                <w:rFonts w:hint="eastAsia" w:ascii="仿宋" w:hAnsi="仿宋" w:eastAsia="仿宋"/>
                <w:b w:val="0"/>
                <w:bCs/>
                <w:color w:val="auto"/>
                <w:sz w:val="28"/>
                <w:szCs w:val="28"/>
                <w:highlight w:val="none"/>
                <w:vertAlign w:val="baseline"/>
                <w:lang w:val="en-US" w:eastAsia="zh-CN"/>
              </w:rPr>
              <w:t>75.83万元</w:t>
            </w:r>
          </w:p>
        </w:tc>
      </w:tr>
      <w:tr w14:paraId="5831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588A859">
            <w:pPr>
              <w:numPr>
                <w:ilvl w:val="0"/>
                <w:numId w:val="0"/>
              </w:numPr>
              <w:spacing w:line="600" w:lineRule="exact"/>
              <w:rPr>
                <w:rFonts w:hint="default" w:ascii="仿宋" w:hAnsi="仿宋" w:eastAsia="仿宋"/>
                <w:b w:val="0"/>
                <w:bCs/>
                <w:color w:val="auto"/>
                <w:sz w:val="28"/>
                <w:szCs w:val="28"/>
                <w:highlight w:val="none"/>
                <w:vertAlign w:val="baseline"/>
                <w:lang w:val="en-US" w:eastAsia="zh-CN"/>
              </w:rPr>
            </w:pPr>
            <w:r>
              <w:rPr>
                <w:rFonts w:hint="eastAsia" w:ascii="仿宋" w:hAnsi="仿宋" w:eastAsia="仿宋"/>
                <w:b w:val="0"/>
                <w:bCs/>
                <w:color w:val="auto"/>
                <w:sz w:val="28"/>
                <w:szCs w:val="28"/>
                <w:highlight w:val="none"/>
                <w:vertAlign w:val="baseline"/>
                <w:lang w:val="en-US" w:eastAsia="zh-CN"/>
              </w:rPr>
              <w:t>2210399-其他城乡社区住宅支出</w:t>
            </w:r>
          </w:p>
        </w:tc>
        <w:tc>
          <w:tcPr>
            <w:tcW w:w="4261" w:type="dxa"/>
          </w:tcPr>
          <w:p w14:paraId="2744DC66">
            <w:pPr>
              <w:numPr>
                <w:ilvl w:val="0"/>
                <w:numId w:val="0"/>
              </w:numPr>
              <w:spacing w:line="600" w:lineRule="exact"/>
              <w:rPr>
                <w:rFonts w:hint="default" w:ascii="仿宋" w:hAnsi="仿宋" w:eastAsia="仿宋"/>
                <w:b w:val="0"/>
                <w:bCs/>
                <w:color w:val="auto"/>
                <w:sz w:val="28"/>
                <w:szCs w:val="28"/>
                <w:highlight w:val="none"/>
                <w:vertAlign w:val="baseline"/>
                <w:lang w:val="en-US" w:eastAsia="zh-CN"/>
              </w:rPr>
            </w:pPr>
            <w:r>
              <w:rPr>
                <w:rFonts w:hint="eastAsia" w:ascii="仿宋" w:hAnsi="仿宋" w:eastAsia="仿宋"/>
                <w:b w:val="0"/>
                <w:bCs/>
                <w:color w:val="auto"/>
                <w:sz w:val="28"/>
                <w:szCs w:val="28"/>
                <w:highlight w:val="none"/>
                <w:vertAlign w:val="baseline"/>
                <w:lang w:val="en-US" w:eastAsia="zh-CN"/>
              </w:rPr>
              <w:t>6.71万元</w:t>
            </w:r>
          </w:p>
        </w:tc>
      </w:tr>
    </w:tbl>
    <w:p w14:paraId="7B982C76">
      <w:pPr>
        <w:numPr>
          <w:ilvl w:val="0"/>
          <w:numId w:val="0"/>
        </w:numPr>
        <w:spacing w:line="600" w:lineRule="exact"/>
        <w:ind w:firstLine="643" w:firstLineChars="200"/>
        <w:rPr>
          <w:rStyle w:val="22"/>
          <w:rFonts w:hint="eastAsia" w:ascii="仿宋" w:hAnsi="仿宋" w:eastAsia="仿宋"/>
          <w:b w:val="0"/>
          <w:bCs/>
          <w:color w:val="auto"/>
          <w:sz w:val="32"/>
          <w:szCs w:val="32"/>
          <w:highlight w:val="none"/>
          <w:vertAlign w:val="baseline"/>
          <w:lang w:eastAsia="zh-CN"/>
        </w:rPr>
      </w:pPr>
      <w:r>
        <w:rPr>
          <w:rFonts w:hint="eastAsia" w:ascii="仿宋" w:hAnsi="仿宋" w:eastAsia="仿宋"/>
          <w:b/>
          <w:bCs/>
          <w:color w:val="auto"/>
          <w:sz w:val="32"/>
          <w:szCs w:val="32"/>
          <w:highlight w:val="none"/>
          <w:lang w:val="en-US" w:eastAsia="zh-CN"/>
        </w:rPr>
        <w:t>7.一般公共服务支出</w:t>
      </w:r>
      <w:r>
        <w:rPr>
          <w:rStyle w:val="22"/>
          <w:rFonts w:hint="eastAsia" w:ascii="仿宋" w:hAnsi="仿宋" w:eastAsia="仿宋"/>
          <w:bCs/>
          <w:color w:val="auto"/>
          <w:sz w:val="32"/>
          <w:szCs w:val="32"/>
          <w:highlight w:val="none"/>
        </w:rPr>
        <w:t>（类）</w:t>
      </w:r>
      <w:r>
        <w:rPr>
          <w:rStyle w:val="22"/>
          <w:rFonts w:hint="eastAsia" w:ascii="仿宋" w:hAnsi="仿宋" w:eastAsia="仿宋"/>
          <w:bCs/>
          <w:color w:val="auto"/>
          <w:sz w:val="32"/>
          <w:szCs w:val="32"/>
          <w:highlight w:val="none"/>
          <w:lang w:val="en-US" w:eastAsia="zh-CN"/>
        </w:rPr>
        <w:t>201</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val="en-US" w:eastAsia="zh-CN"/>
        </w:rPr>
        <w:t>03</w:t>
      </w:r>
      <w:r>
        <w:rPr>
          <w:rStyle w:val="22"/>
          <w:rFonts w:hint="eastAsia" w:ascii="仿宋" w:hAnsi="仿宋" w:eastAsia="仿宋"/>
          <w:bCs/>
          <w:color w:val="auto"/>
          <w:sz w:val="32"/>
          <w:szCs w:val="32"/>
          <w:highlight w:val="none"/>
        </w:rPr>
        <w:t>（项）</w:t>
      </w:r>
      <w:r>
        <w:rPr>
          <w:rStyle w:val="22"/>
          <w:rFonts w:hint="eastAsia" w:ascii="仿宋" w:hAnsi="仿宋" w:eastAsia="仿宋"/>
          <w:bCs/>
          <w:color w:val="auto"/>
          <w:sz w:val="32"/>
          <w:szCs w:val="32"/>
          <w:highlight w:val="none"/>
          <w:lang w:val="en-US" w:eastAsia="zh-CN"/>
        </w:rPr>
        <w:t>/201</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val="en-US" w:eastAsia="zh-CN"/>
        </w:rPr>
        <w:t>99</w:t>
      </w:r>
      <w:r>
        <w:rPr>
          <w:rStyle w:val="22"/>
          <w:rFonts w:hint="eastAsia" w:ascii="仿宋" w:hAnsi="仿宋" w:eastAsia="仿宋"/>
          <w:bCs/>
          <w:color w:val="auto"/>
          <w:sz w:val="32"/>
          <w:szCs w:val="32"/>
          <w:highlight w:val="none"/>
        </w:rPr>
        <w:t>（项）</w:t>
      </w:r>
      <w:r>
        <w:rPr>
          <w:rStyle w:val="22"/>
          <w:rFonts w:ascii="仿宋" w:hAnsi="仿宋" w:eastAsia="仿宋"/>
          <w:bCs/>
          <w:color w:val="auto"/>
          <w:sz w:val="32"/>
          <w:szCs w:val="32"/>
          <w:highlight w:val="none"/>
        </w:rPr>
        <w:t>:</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10.5</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0</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650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AAB7F04">
            <w:pPr>
              <w:numPr>
                <w:ilvl w:val="0"/>
                <w:numId w:val="0"/>
              </w:numPr>
              <w:spacing w:line="600" w:lineRule="exact"/>
              <w:rPr>
                <w:rStyle w:val="22"/>
                <w:rFonts w:hint="default" w:ascii="仿宋" w:hAnsi="仿宋" w:eastAsia="仿宋"/>
                <w:b w:val="0"/>
                <w:bCs/>
                <w:color w:val="auto"/>
                <w:sz w:val="32"/>
                <w:szCs w:val="32"/>
                <w:highlight w:val="none"/>
                <w:vertAlign w:val="baseline"/>
                <w:lang w:val="en-US" w:eastAsia="zh-CN"/>
              </w:rPr>
            </w:pPr>
            <w:r>
              <w:rPr>
                <w:rStyle w:val="22"/>
                <w:rFonts w:hint="eastAsia" w:ascii="仿宋" w:hAnsi="仿宋" w:eastAsia="仿宋"/>
                <w:b w:val="0"/>
                <w:bCs/>
                <w:color w:val="auto"/>
                <w:sz w:val="32"/>
                <w:szCs w:val="32"/>
                <w:highlight w:val="none"/>
                <w:vertAlign w:val="baseline"/>
                <w:lang w:val="en-US" w:eastAsia="zh-CN"/>
              </w:rPr>
              <w:t>2010399-其他政府办公厅（室）及相关机构事务支出</w:t>
            </w:r>
          </w:p>
        </w:tc>
        <w:tc>
          <w:tcPr>
            <w:tcW w:w="4261" w:type="dxa"/>
          </w:tcPr>
          <w:p w14:paraId="5ED0CB11">
            <w:pPr>
              <w:numPr>
                <w:ilvl w:val="0"/>
                <w:numId w:val="0"/>
              </w:numPr>
              <w:spacing w:line="600" w:lineRule="exact"/>
              <w:rPr>
                <w:rStyle w:val="22"/>
                <w:rFonts w:hint="default" w:ascii="仿宋" w:hAnsi="仿宋" w:eastAsia="仿宋"/>
                <w:b w:val="0"/>
                <w:bCs/>
                <w:color w:val="auto"/>
                <w:sz w:val="32"/>
                <w:szCs w:val="32"/>
                <w:highlight w:val="none"/>
                <w:vertAlign w:val="baseline"/>
                <w:lang w:val="en-US" w:eastAsia="zh-CN"/>
              </w:rPr>
            </w:pPr>
            <w:r>
              <w:rPr>
                <w:rStyle w:val="22"/>
                <w:rFonts w:hint="eastAsia" w:ascii="仿宋" w:hAnsi="仿宋" w:eastAsia="仿宋"/>
                <w:b w:val="0"/>
                <w:bCs/>
                <w:color w:val="auto"/>
                <w:sz w:val="32"/>
                <w:szCs w:val="32"/>
                <w:highlight w:val="none"/>
                <w:vertAlign w:val="baseline"/>
                <w:lang w:val="en-US" w:eastAsia="zh-CN"/>
              </w:rPr>
              <w:t>7.04万元</w:t>
            </w:r>
          </w:p>
        </w:tc>
      </w:tr>
      <w:tr w14:paraId="45C6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FFED0D3">
            <w:pPr>
              <w:numPr>
                <w:ilvl w:val="0"/>
                <w:numId w:val="0"/>
              </w:numPr>
              <w:spacing w:line="600" w:lineRule="exact"/>
              <w:rPr>
                <w:rStyle w:val="22"/>
                <w:rFonts w:hint="default" w:ascii="仿宋" w:hAnsi="仿宋" w:eastAsia="仿宋"/>
                <w:b w:val="0"/>
                <w:bCs/>
                <w:color w:val="auto"/>
                <w:sz w:val="32"/>
                <w:szCs w:val="32"/>
                <w:highlight w:val="none"/>
                <w:vertAlign w:val="baseline"/>
                <w:lang w:val="en-US" w:eastAsia="zh-CN"/>
              </w:rPr>
            </w:pPr>
            <w:r>
              <w:rPr>
                <w:rStyle w:val="22"/>
                <w:rFonts w:hint="eastAsia" w:ascii="仿宋" w:hAnsi="仿宋" w:eastAsia="仿宋"/>
                <w:b w:val="0"/>
                <w:bCs/>
                <w:color w:val="auto"/>
                <w:sz w:val="32"/>
                <w:szCs w:val="32"/>
                <w:highlight w:val="none"/>
                <w:vertAlign w:val="baseline"/>
                <w:lang w:val="en-US" w:eastAsia="zh-CN"/>
              </w:rPr>
              <w:t>2019901-国家赔偿费用支出</w:t>
            </w:r>
          </w:p>
        </w:tc>
        <w:tc>
          <w:tcPr>
            <w:tcW w:w="4261" w:type="dxa"/>
          </w:tcPr>
          <w:p w14:paraId="627618ED">
            <w:pPr>
              <w:numPr>
                <w:ilvl w:val="0"/>
                <w:numId w:val="0"/>
              </w:numPr>
              <w:spacing w:line="600" w:lineRule="exact"/>
              <w:rPr>
                <w:rStyle w:val="22"/>
                <w:rFonts w:hint="default" w:ascii="仿宋" w:hAnsi="仿宋" w:eastAsia="仿宋"/>
                <w:b w:val="0"/>
                <w:bCs/>
                <w:color w:val="auto"/>
                <w:sz w:val="32"/>
                <w:szCs w:val="32"/>
                <w:highlight w:val="none"/>
                <w:vertAlign w:val="baseline"/>
                <w:lang w:val="en-US" w:eastAsia="zh-CN"/>
              </w:rPr>
            </w:pPr>
            <w:r>
              <w:rPr>
                <w:rStyle w:val="22"/>
                <w:rFonts w:hint="eastAsia" w:ascii="仿宋" w:hAnsi="仿宋" w:eastAsia="仿宋"/>
                <w:b w:val="0"/>
                <w:bCs/>
                <w:color w:val="auto"/>
                <w:sz w:val="32"/>
                <w:szCs w:val="32"/>
                <w:highlight w:val="none"/>
                <w:vertAlign w:val="baseline"/>
                <w:lang w:val="en-US" w:eastAsia="zh-CN"/>
              </w:rPr>
              <w:t>3.46</w:t>
            </w:r>
          </w:p>
        </w:tc>
      </w:tr>
    </w:tbl>
    <w:p w14:paraId="48825C53">
      <w:pPr>
        <w:numPr>
          <w:ilvl w:val="0"/>
          <w:numId w:val="0"/>
        </w:numPr>
        <w:spacing w:line="600" w:lineRule="exact"/>
        <w:ind w:firstLine="643" w:firstLineChars="200"/>
        <w:rPr>
          <w:rStyle w:val="22"/>
          <w:rFonts w:hint="eastAsia" w:ascii="仿宋" w:hAnsi="仿宋" w:eastAsia="仿宋"/>
          <w:b w:val="0"/>
          <w:bCs/>
          <w:color w:val="auto"/>
          <w:sz w:val="32"/>
          <w:szCs w:val="32"/>
          <w:highlight w:val="none"/>
          <w:vertAlign w:val="baseline"/>
          <w:lang w:eastAsia="zh-CN"/>
        </w:rPr>
      </w:pPr>
      <w:r>
        <w:rPr>
          <w:rFonts w:hint="eastAsia" w:ascii="仿宋" w:hAnsi="仿宋" w:eastAsia="仿宋"/>
          <w:b/>
          <w:bCs/>
          <w:color w:val="auto"/>
          <w:sz w:val="32"/>
          <w:szCs w:val="32"/>
          <w:highlight w:val="none"/>
          <w:lang w:val="en-US" w:eastAsia="zh-CN"/>
        </w:rPr>
        <w:t>8.其他支出</w:t>
      </w:r>
      <w:r>
        <w:rPr>
          <w:rStyle w:val="22"/>
          <w:rFonts w:hint="eastAsia" w:ascii="仿宋" w:hAnsi="仿宋" w:eastAsia="仿宋"/>
          <w:bCs/>
          <w:color w:val="auto"/>
          <w:sz w:val="32"/>
          <w:szCs w:val="32"/>
          <w:highlight w:val="none"/>
        </w:rPr>
        <w:t>（类）</w:t>
      </w:r>
      <w:r>
        <w:rPr>
          <w:rStyle w:val="22"/>
          <w:rFonts w:hint="eastAsia" w:ascii="仿宋" w:hAnsi="仿宋" w:eastAsia="仿宋"/>
          <w:bCs/>
          <w:color w:val="auto"/>
          <w:sz w:val="32"/>
          <w:szCs w:val="32"/>
          <w:highlight w:val="none"/>
          <w:lang w:val="en-US" w:eastAsia="zh-CN"/>
        </w:rPr>
        <w:t>229</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val="en-US" w:eastAsia="zh-CN"/>
        </w:rPr>
        <w:t>99</w:t>
      </w:r>
      <w:r>
        <w:rPr>
          <w:rStyle w:val="22"/>
          <w:rFonts w:hint="eastAsia" w:ascii="仿宋" w:hAnsi="仿宋" w:eastAsia="仿宋"/>
          <w:bCs/>
          <w:color w:val="auto"/>
          <w:sz w:val="32"/>
          <w:szCs w:val="32"/>
          <w:highlight w:val="none"/>
        </w:rPr>
        <w:t>（项）</w:t>
      </w:r>
      <w:r>
        <w:rPr>
          <w:rStyle w:val="22"/>
          <w:rFonts w:ascii="仿宋" w:hAnsi="仿宋" w:eastAsia="仿宋"/>
          <w:bCs/>
          <w:color w:val="auto"/>
          <w:sz w:val="32"/>
          <w:szCs w:val="32"/>
          <w:highlight w:val="none"/>
        </w:rPr>
        <w:t>:</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5336.45</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25.9</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DDD5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C73F9FF">
            <w:pPr>
              <w:numPr>
                <w:ilvl w:val="0"/>
                <w:numId w:val="0"/>
              </w:numPr>
              <w:spacing w:line="600" w:lineRule="exact"/>
              <w:rPr>
                <w:rStyle w:val="22"/>
                <w:rFonts w:hint="default" w:ascii="仿宋" w:hAnsi="仿宋" w:eastAsia="仿宋"/>
                <w:b w:val="0"/>
                <w:bCs/>
                <w:color w:val="auto"/>
                <w:sz w:val="32"/>
                <w:szCs w:val="32"/>
                <w:highlight w:val="none"/>
                <w:vertAlign w:val="baseline"/>
                <w:lang w:val="en-US" w:eastAsia="zh-CN"/>
              </w:rPr>
            </w:pPr>
            <w:r>
              <w:rPr>
                <w:rStyle w:val="22"/>
                <w:rFonts w:hint="eastAsia" w:ascii="仿宋" w:hAnsi="仿宋" w:eastAsia="仿宋"/>
                <w:b w:val="0"/>
                <w:bCs/>
                <w:color w:val="auto"/>
                <w:sz w:val="32"/>
                <w:szCs w:val="32"/>
                <w:highlight w:val="none"/>
                <w:vertAlign w:val="baseline"/>
                <w:lang w:val="en-US" w:eastAsia="zh-CN"/>
              </w:rPr>
              <w:t>2299999-其他支出</w:t>
            </w:r>
          </w:p>
        </w:tc>
        <w:tc>
          <w:tcPr>
            <w:tcW w:w="4261" w:type="dxa"/>
          </w:tcPr>
          <w:p w14:paraId="5E211EC0">
            <w:pPr>
              <w:numPr>
                <w:ilvl w:val="0"/>
                <w:numId w:val="0"/>
              </w:numPr>
              <w:spacing w:line="600" w:lineRule="exact"/>
              <w:rPr>
                <w:rStyle w:val="22"/>
                <w:rFonts w:hint="default" w:ascii="仿宋" w:hAnsi="仿宋" w:eastAsia="仿宋"/>
                <w:b w:val="0"/>
                <w:bCs/>
                <w:color w:val="auto"/>
                <w:sz w:val="32"/>
                <w:szCs w:val="32"/>
                <w:highlight w:val="none"/>
                <w:vertAlign w:val="baseline"/>
                <w:lang w:val="en-US" w:eastAsia="zh-CN"/>
              </w:rPr>
            </w:pPr>
            <w:r>
              <w:rPr>
                <w:rStyle w:val="22"/>
                <w:rFonts w:hint="eastAsia" w:ascii="仿宋" w:hAnsi="仿宋" w:eastAsia="仿宋"/>
                <w:b w:val="0"/>
                <w:bCs/>
                <w:color w:val="auto"/>
                <w:sz w:val="32"/>
                <w:szCs w:val="32"/>
                <w:highlight w:val="none"/>
                <w:vertAlign w:val="baseline"/>
                <w:lang w:val="en-US" w:eastAsia="zh-CN"/>
              </w:rPr>
              <w:t>5336.45万元</w:t>
            </w:r>
          </w:p>
        </w:tc>
      </w:tr>
    </w:tbl>
    <w:p w14:paraId="20DA92E0">
      <w:pPr>
        <w:numPr>
          <w:ilvl w:val="0"/>
          <w:numId w:val="0"/>
        </w:numPr>
        <w:spacing w:line="600" w:lineRule="exact"/>
        <w:ind w:firstLine="643" w:firstLineChars="200"/>
        <w:rPr>
          <w:rStyle w:val="22"/>
          <w:rFonts w:hint="eastAsia" w:ascii="仿宋" w:hAnsi="仿宋" w:eastAsia="仿宋"/>
          <w:b w:val="0"/>
          <w:bCs/>
          <w:color w:val="auto"/>
          <w:sz w:val="32"/>
          <w:szCs w:val="32"/>
          <w:highlight w:val="none"/>
          <w:vertAlign w:val="baseline"/>
          <w:lang w:eastAsia="zh-CN"/>
        </w:rPr>
      </w:pPr>
      <w:r>
        <w:rPr>
          <w:rFonts w:hint="eastAsia" w:ascii="仿宋" w:hAnsi="仿宋" w:eastAsia="仿宋"/>
          <w:b/>
          <w:bCs/>
          <w:color w:val="auto"/>
          <w:sz w:val="32"/>
          <w:szCs w:val="32"/>
          <w:highlight w:val="none"/>
          <w:lang w:val="en-US" w:eastAsia="zh-CN"/>
        </w:rPr>
        <w:t>9.文化旅游体育与传媒支出</w:t>
      </w:r>
      <w:r>
        <w:rPr>
          <w:rStyle w:val="22"/>
          <w:rFonts w:hint="eastAsia" w:ascii="仿宋" w:hAnsi="仿宋" w:eastAsia="仿宋"/>
          <w:bCs/>
          <w:color w:val="auto"/>
          <w:sz w:val="32"/>
          <w:szCs w:val="32"/>
          <w:highlight w:val="none"/>
        </w:rPr>
        <w:t>（类）</w:t>
      </w:r>
      <w:r>
        <w:rPr>
          <w:rStyle w:val="22"/>
          <w:rFonts w:hint="eastAsia" w:ascii="仿宋" w:hAnsi="仿宋" w:eastAsia="仿宋"/>
          <w:bCs/>
          <w:color w:val="auto"/>
          <w:sz w:val="32"/>
          <w:szCs w:val="32"/>
          <w:highlight w:val="none"/>
          <w:lang w:val="en-US" w:eastAsia="zh-CN"/>
        </w:rPr>
        <w:t>207</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val="en-US" w:eastAsia="zh-CN"/>
        </w:rPr>
        <w:t>01</w:t>
      </w:r>
      <w:r>
        <w:rPr>
          <w:rStyle w:val="22"/>
          <w:rFonts w:hint="eastAsia" w:ascii="仿宋" w:hAnsi="仿宋" w:eastAsia="仿宋"/>
          <w:bCs/>
          <w:color w:val="auto"/>
          <w:sz w:val="32"/>
          <w:szCs w:val="32"/>
          <w:highlight w:val="none"/>
        </w:rPr>
        <w:t>（项）</w:t>
      </w:r>
      <w:r>
        <w:rPr>
          <w:rStyle w:val="22"/>
          <w:rFonts w:ascii="仿宋" w:hAnsi="仿宋" w:eastAsia="仿宋"/>
          <w:bCs/>
          <w:color w:val="auto"/>
          <w:sz w:val="32"/>
          <w:szCs w:val="32"/>
          <w:highlight w:val="none"/>
        </w:rPr>
        <w:t>:</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0.5</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0</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BCF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2409A8B">
            <w:pPr>
              <w:numPr>
                <w:ilvl w:val="0"/>
                <w:numId w:val="0"/>
              </w:numPr>
              <w:spacing w:line="600" w:lineRule="exact"/>
              <w:rPr>
                <w:rStyle w:val="22"/>
                <w:rFonts w:hint="default" w:ascii="仿宋" w:hAnsi="仿宋" w:eastAsia="仿宋"/>
                <w:b w:val="0"/>
                <w:bCs/>
                <w:color w:val="auto"/>
                <w:sz w:val="32"/>
                <w:szCs w:val="32"/>
                <w:highlight w:val="none"/>
                <w:vertAlign w:val="baseline"/>
                <w:lang w:val="en-US" w:eastAsia="zh-CN"/>
              </w:rPr>
            </w:pPr>
            <w:r>
              <w:rPr>
                <w:rStyle w:val="22"/>
                <w:rFonts w:hint="eastAsia" w:ascii="仿宋" w:hAnsi="仿宋" w:eastAsia="仿宋"/>
                <w:b w:val="0"/>
                <w:bCs/>
                <w:color w:val="auto"/>
                <w:sz w:val="32"/>
                <w:szCs w:val="32"/>
                <w:highlight w:val="none"/>
                <w:vertAlign w:val="baseline"/>
                <w:lang w:val="en-US" w:eastAsia="zh-CN"/>
              </w:rPr>
              <w:t>2070114-文化和旅游管理事务</w:t>
            </w:r>
          </w:p>
        </w:tc>
        <w:tc>
          <w:tcPr>
            <w:tcW w:w="4261" w:type="dxa"/>
          </w:tcPr>
          <w:p w14:paraId="1376C69B">
            <w:pPr>
              <w:numPr>
                <w:ilvl w:val="0"/>
                <w:numId w:val="0"/>
              </w:numPr>
              <w:spacing w:line="600" w:lineRule="exact"/>
              <w:rPr>
                <w:rStyle w:val="22"/>
                <w:rFonts w:hint="default" w:ascii="仿宋" w:hAnsi="仿宋" w:eastAsia="仿宋"/>
                <w:b w:val="0"/>
                <w:bCs/>
                <w:color w:val="auto"/>
                <w:sz w:val="32"/>
                <w:szCs w:val="32"/>
                <w:highlight w:val="none"/>
                <w:vertAlign w:val="baseline"/>
                <w:lang w:val="en-US" w:eastAsia="zh-CN"/>
              </w:rPr>
            </w:pPr>
            <w:r>
              <w:rPr>
                <w:rStyle w:val="22"/>
                <w:rFonts w:hint="eastAsia" w:ascii="仿宋" w:hAnsi="仿宋" w:eastAsia="仿宋"/>
                <w:b w:val="0"/>
                <w:bCs/>
                <w:color w:val="auto"/>
                <w:sz w:val="32"/>
                <w:szCs w:val="32"/>
                <w:highlight w:val="none"/>
                <w:vertAlign w:val="baseline"/>
                <w:lang w:val="en-US" w:eastAsia="zh-CN"/>
              </w:rPr>
              <w:t>0.5万元</w:t>
            </w:r>
          </w:p>
        </w:tc>
      </w:tr>
    </w:tbl>
    <w:p w14:paraId="64055BD7">
      <w:pPr>
        <w:spacing w:line="600" w:lineRule="exact"/>
        <w:rPr>
          <w:rFonts w:ascii="仿宋" w:hAnsi="仿宋" w:eastAsia="仿宋"/>
          <w:b/>
          <w:color w:val="auto"/>
          <w:sz w:val="32"/>
          <w:szCs w:val="32"/>
          <w:highlight w:val="none"/>
        </w:rPr>
      </w:pPr>
    </w:p>
    <w:p w14:paraId="60DDFE48">
      <w:pPr>
        <w:tabs>
          <w:tab w:val="right" w:pos="8306"/>
        </w:tabs>
        <w:spacing w:line="600" w:lineRule="exact"/>
        <w:ind w:firstLine="640"/>
        <w:outlineLvl w:val="1"/>
        <w:rPr>
          <w:rStyle w:val="33"/>
          <w:color w:val="auto"/>
          <w:highlight w:val="none"/>
        </w:rPr>
      </w:pPr>
      <w:bookmarkStart w:id="38" w:name="_Toc15377214"/>
      <w:bookmarkStart w:id="39"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3"/>
          <w:rFonts w:hint="eastAsia" w:ascii="黑体" w:hAnsi="黑体" w:eastAsia="黑体"/>
          <w:b w:val="0"/>
          <w:color w:val="auto"/>
          <w:highlight w:val="none"/>
        </w:rPr>
        <w:t>般公共预算财政拨款基本支出决算情况说明</w:t>
      </w:r>
      <w:bookmarkEnd w:id="38"/>
      <w:bookmarkEnd w:id="39"/>
      <w:r>
        <w:rPr>
          <w:rStyle w:val="33"/>
          <w:rFonts w:ascii="黑体" w:hAnsi="黑体" w:eastAsia="黑体"/>
          <w:b w:val="0"/>
          <w:color w:val="auto"/>
          <w:highlight w:val="none"/>
        </w:rPr>
        <w:tab/>
      </w:r>
    </w:p>
    <w:p w14:paraId="4A6DBE0D">
      <w:pPr>
        <w:spacing w:line="600" w:lineRule="exact"/>
        <w:ind w:firstLine="645"/>
        <w:rPr>
          <w:rFonts w:ascii="仿宋" w:hAnsi="仿宋" w:eastAsia="仿宋"/>
          <w:color w:val="auto"/>
          <w:sz w:val="32"/>
          <w:szCs w:val="32"/>
          <w:highlight w:val="none"/>
          <w:vertAlign w:val="baseli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1156.61</w:t>
      </w:r>
      <w:r>
        <w:rPr>
          <w:rFonts w:hint="eastAsia" w:ascii="仿宋" w:hAnsi="仿宋" w:eastAsia="仿宋"/>
          <w:color w:val="auto"/>
          <w:sz w:val="32"/>
          <w:szCs w:val="32"/>
          <w:highlight w:val="none"/>
        </w:rPr>
        <w:t>万元，其中：人员经费</w:t>
      </w:r>
      <w:r>
        <w:rPr>
          <w:rFonts w:hint="eastAsia" w:ascii="仿宋" w:hAnsi="仿宋" w:eastAsia="仿宋"/>
          <w:color w:val="auto"/>
          <w:sz w:val="32"/>
          <w:szCs w:val="32"/>
          <w:highlight w:val="none"/>
          <w:lang w:val="en-US" w:eastAsia="zh-CN"/>
        </w:rPr>
        <w:t>1104.18</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CF4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058876C">
            <w:pPr>
              <w:spacing w:line="600" w:lineRule="exact"/>
              <w:rPr>
                <w:rFonts w:hint="eastAsia"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基本工资</w:t>
            </w:r>
          </w:p>
        </w:tc>
        <w:tc>
          <w:tcPr>
            <w:tcW w:w="4261" w:type="dxa"/>
          </w:tcPr>
          <w:p w14:paraId="5B14010D">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191.99万元</w:t>
            </w:r>
          </w:p>
        </w:tc>
      </w:tr>
      <w:tr w14:paraId="123E7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E330183">
            <w:pPr>
              <w:spacing w:line="600" w:lineRule="exact"/>
              <w:rPr>
                <w:rFonts w:hint="eastAsia"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津贴补贴</w:t>
            </w:r>
          </w:p>
        </w:tc>
        <w:tc>
          <w:tcPr>
            <w:tcW w:w="4261" w:type="dxa"/>
          </w:tcPr>
          <w:p w14:paraId="0E63175F">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150.58万元</w:t>
            </w:r>
          </w:p>
        </w:tc>
      </w:tr>
      <w:tr w14:paraId="743A0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3FF3BCC">
            <w:pPr>
              <w:spacing w:line="600" w:lineRule="exact"/>
              <w:rPr>
                <w:rFonts w:hint="eastAsia"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奖金</w:t>
            </w:r>
          </w:p>
        </w:tc>
        <w:tc>
          <w:tcPr>
            <w:tcW w:w="4261" w:type="dxa"/>
          </w:tcPr>
          <w:p w14:paraId="32885FE2">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248.72万元</w:t>
            </w:r>
          </w:p>
        </w:tc>
      </w:tr>
      <w:tr w14:paraId="2478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A84DF64">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绩效工资</w:t>
            </w:r>
          </w:p>
        </w:tc>
        <w:tc>
          <w:tcPr>
            <w:tcW w:w="4261" w:type="dxa"/>
          </w:tcPr>
          <w:p w14:paraId="03CC08D9">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109.63万元</w:t>
            </w:r>
          </w:p>
        </w:tc>
      </w:tr>
      <w:tr w14:paraId="3754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1681BF1">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机关事业单位基本养老保险缴费</w:t>
            </w:r>
          </w:p>
        </w:tc>
        <w:tc>
          <w:tcPr>
            <w:tcW w:w="4261" w:type="dxa"/>
          </w:tcPr>
          <w:p w14:paraId="3970CA34">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98.45万元</w:t>
            </w:r>
          </w:p>
        </w:tc>
      </w:tr>
      <w:tr w14:paraId="4B31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2376FF7">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职业年金缴费</w:t>
            </w:r>
          </w:p>
        </w:tc>
        <w:tc>
          <w:tcPr>
            <w:tcW w:w="4261" w:type="dxa"/>
          </w:tcPr>
          <w:p w14:paraId="1162D13C">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47.14万元</w:t>
            </w:r>
          </w:p>
        </w:tc>
      </w:tr>
      <w:tr w14:paraId="3C4D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AF5E6C4">
            <w:pPr>
              <w:spacing w:line="600" w:lineRule="exact"/>
              <w:rPr>
                <w:rFonts w:hint="eastAsia"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职工基本医疗保险</w:t>
            </w:r>
          </w:p>
        </w:tc>
        <w:tc>
          <w:tcPr>
            <w:tcW w:w="4261" w:type="dxa"/>
          </w:tcPr>
          <w:p w14:paraId="0B7258E0">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45.52万元</w:t>
            </w:r>
          </w:p>
        </w:tc>
      </w:tr>
      <w:tr w14:paraId="724A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22DA170">
            <w:pPr>
              <w:spacing w:line="600" w:lineRule="exact"/>
              <w:rPr>
                <w:rFonts w:hint="eastAsia"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公务员医疗补助</w:t>
            </w:r>
          </w:p>
        </w:tc>
        <w:tc>
          <w:tcPr>
            <w:tcW w:w="4261" w:type="dxa"/>
          </w:tcPr>
          <w:p w14:paraId="68EA1185">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4.15万元</w:t>
            </w:r>
          </w:p>
        </w:tc>
      </w:tr>
      <w:tr w14:paraId="77BFC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D879EE1">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其他社会保障缴费</w:t>
            </w:r>
          </w:p>
        </w:tc>
        <w:tc>
          <w:tcPr>
            <w:tcW w:w="4261" w:type="dxa"/>
          </w:tcPr>
          <w:p w14:paraId="6C8DA764">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18.75万元</w:t>
            </w:r>
          </w:p>
        </w:tc>
      </w:tr>
      <w:tr w14:paraId="4DF8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69985A6">
            <w:pPr>
              <w:spacing w:line="600" w:lineRule="exact"/>
              <w:rPr>
                <w:rFonts w:hint="eastAsia"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住房公积金</w:t>
            </w:r>
          </w:p>
        </w:tc>
        <w:tc>
          <w:tcPr>
            <w:tcW w:w="4261" w:type="dxa"/>
          </w:tcPr>
          <w:p w14:paraId="3D87FB86">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77.88万元</w:t>
            </w:r>
          </w:p>
        </w:tc>
      </w:tr>
      <w:tr w14:paraId="2E92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324F316">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医疗费</w:t>
            </w:r>
          </w:p>
        </w:tc>
        <w:tc>
          <w:tcPr>
            <w:tcW w:w="4261" w:type="dxa"/>
          </w:tcPr>
          <w:p w14:paraId="0996EEDC">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14.28万元</w:t>
            </w:r>
          </w:p>
        </w:tc>
      </w:tr>
      <w:tr w14:paraId="656C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10C3D44">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其他工资福利支出</w:t>
            </w:r>
          </w:p>
        </w:tc>
        <w:tc>
          <w:tcPr>
            <w:tcW w:w="4261" w:type="dxa"/>
          </w:tcPr>
          <w:p w14:paraId="166BAD77">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30.73万元</w:t>
            </w:r>
          </w:p>
        </w:tc>
      </w:tr>
      <w:tr w14:paraId="7C0E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0002E0A">
            <w:pPr>
              <w:spacing w:line="600" w:lineRule="exact"/>
              <w:rPr>
                <w:rFonts w:hint="eastAsia"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生活补助</w:t>
            </w:r>
          </w:p>
        </w:tc>
        <w:tc>
          <w:tcPr>
            <w:tcW w:w="4261" w:type="dxa"/>
          </w:tcPr>
          <w:p w14:paraId="56F889D9">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32.49万元</w:t>
            </w:r>
          </w:p>
        </w:tc>
      </w:tr>
      <w:tr w14:paraId="0A37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E6ED7F1">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抚恤金</w:t>
            </w:r>
          </w:p>
        </w:tc>
        <w:tc>
          <w:tcPr>
            <w:tcW w:w="4261" w:type="dxa"/>
          </w:tcPr>
          <w:p w14:paraId="23494DB5">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24.91万元</w:t>
            </w:r>
          </w:p>
        </w:tc>
      </w:tr>
      <w:tr w14:paraId="69BC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621CD8B">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奖励金</w:t>
            </w:r>
          </w:p>
        </w:tc>
        <w:tc>
          <w:tcPr>
            <w:tcW w:w="4261" w:type="dxa"/>
          </w:tcPr>
          <w:p w14:paraId="2B15DAB2">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0.01万元</w:t>
            </w:r>
          </w:p>
        </w:tc>
      </w:tr>
      <w:tr w14:paraId="4F93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8A06960">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其他对个人和家庭补助</w:t>
            </w:r>
          </w:p>
        </w:tc>
        <w:tc>
          <w:tcPr>
            <w:tcW w:w="4261" w:type="dxa"/>
          </w:tcPr>
          <w:p w14:paraId="7AC1D359">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8.95</w:t>
            </w:r>
          </w:p>
        </w:tc>
      </w:tr>
    </w:tbl>
    <w:p w14:paraId="63CD07F9">
      <w:pPr>
        <w:spacing w:line="600" w:lineRule="exact"/>
        <w:ind w:firstLine="645"/>
        <w:rPr>
          <w:rFonts w:hint="eastAsia" w:ascii="仿宋" w:hAnsi="仿宋" w:eastAsia="仿宋"/>
          <w:color w:val="auto"/>
          <w:sz w:val="32"/>
          <w:szCs w:val="32"/>
          <w:highlight w:val="none"/>
          <w:lang w:eastAsia="zh-CN"/>
        </w:rPr>
      </w:pPr>
    </w:p>
    <w:p w14:paraId="6FB86457">
      <w:pPr>
        <w:spacing w:line="600" w:lineRule="exact"/>
        <w:ind w:firstLine="645"/>
        <w:rPr>
          <w:rFonts w:ascii="仿宋" w:hAnsi="仿宋" w:eastAsia="仿宋"/>
          <w:color w:val="auto"/>
          <w:sz w:val="32"/>
          <w:szCs w:val="32"/>
          <w:highlight w:val="none"/>
          <w:vertAlign w:val="baseline"/>
        </w:rPr>
      </w:pP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52.43</w:t>
      </w:r>
      <w:r>
        <w:rPr>
          <w:rFonts w:hint="eastAsia" w:ascii="仿宋" w:hAnsi="仿宋" w:eastAsia="仿宋"/>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D1E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1BDE022">
            <w:pPr>
              <w:spacing w:line="600" w:lineRule="exact"/>
              <w:rPr>
                <w:rFonts w:hint="eastAsia"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办公费</w:t>
            </w:r>
          </w:p>
        </w:tc>
        <w:tc>
          <w:tcPr>
            <w:tcW w:w="4261" w:type="dxa"/>
          </w:tcPr>
          <w:p w14:paraId="29953FAD">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26.1万元</w:t>
            </w:r>
          </w:p>
        </w:tc>
      </w:tr>
      <w:tr w14:paraId="47FB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554CFF6">
            <w:pPr>
              <w:spacing w:line="600" w:lineRule="exact"/>
              <w:rPr>
                <w:rFonts w:hint="eastAsia"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水费</w:t>
            </w:r>
          </w:p>
        </w:tc>
        <w:tc>
          <w:tcPr>
            <w:tcW w:w="4261" w:type="dxa"/>
          </w:tcPr>
          <w:p w14:paraId="5C9EA6EF">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0.4万元</w:t>
            </w:r>
          </w:p>
        </w:tc>
      </w:tr>
      <w:tr w14:paraId="1444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66AEC79">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电费</w:t>
            </w:r>
          </w:p>
        </w:tc>
        <w:tc>
          <w:tcPr>
            <w:tcW w:w="4261" w:type="dxa"/>
          </w:tcPr>
          <w:p w14:paraId="2BB1729B">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3.15万元</w:t>
            </w:r>
          </w:p>
        </w:tc>
      </w:tr>
      <w:tr w14:paraId="147F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91CC171">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邮电费</w:t>
            </w:r>
          </w:p>
        </w:tc>
        <w:tc>
          <w:tcPr>
            <w:tcW w:w="4261" w:type="dxa"/>
          </w:tcPr>
          <w:p w14:paraId="01A888E7">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3.89万元</w:t>
            </w:r>
          </w:p>
        </w:tc>
      </w:tr>
      <w:tr w14:paraId="3F7A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00C81E1">
            <w:pPr>
              <w:spacing w:line="600" w:lineRule="exact"/>
              <w:rPr>
                <w:rFonts w:hint="eastAsia"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差旅费</w:t>
            </w:r>
          </w:p>
        </w:tc>
        <w:tc>
          <w:tcPr>
            <w:tcW w:w="4261" w:type="dxa"/>
          </w:tcPr>
          <w:p w14:paraId="4B405A5F">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9.51万元</w:t>
            </w:r>
          </w:p>
        </w:tc>
      </w:tr>
      <w:tr w14:paraId="68D2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E38A8AF">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公务用车运行维护费</w:t>
            </w:r>
          </w:p>
        </w:tc>
        <w:tc>
          <w:tcPr>
            <w:tcW w:w="4261" w:type="dxa"/>
          </w:tcPr>
          <w:p w14:paraId="606781E5">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5.91万元</w:t>
            </w:r>
          </w:p>
        </w:tc>
      </w:tr>
    </w:tbl>
    <w:p w14:paraId="24D58A4E">
      <w:pPr>
        <w:spacing w:line="600" w:lineRule="exact"/>
        <w:rPr>
          <w:rFonts w:ascii="仿宋" w:hAnsi="仿宋" w:eastAsia="仿宋"/>
          <w:color w:val="auto"/>
          <w:sz w:val="32"/>
          <w:szCs w:val="32"/>
          <w:highlight w:val="none"/>
        </w:rPr>
      </w:pPr>
    </w:p>
    <w:p w14:paraId="1A85793A">
      <w:pPr>
        <w:spacing w:line="600" w:lineRule="exact"/>
        <w:ind w:firstLine="640"/>
        <w:outlineLvl w:val="1"/>
        <w:rPr>
          <w:rStyle w:val="33"/>
          <w:rFonts w:ascii="黑体" w:hAnsi="黑体" w:eastAsia="黑体"/>
          <w:b w:val="0"/>
          <w:color w:val="auto"/>
          <w:highlight w:val="none"/>
        </w:rPr>
      </w:pPr>
      <w:bookmarkStart w:id="40" w:name="_Toc15377215"/>
      <w:bookmarkStart w:id="41" w:name="_Toc15396609"/>
      <w:r>
        <w:rPr>
          <w:rFonts w:hint="eastAsia" w:ascii="黑体" w:eastAsia="黑体"/>
          <w:color w:val="auto"/>
          <w:sz w:val="32"/>
          <w:szCs w:val="32"/>
          <w:highlight w:val="none"/>
        </w:rPr>
        <w:t>七、</w:t>
      </w:r>
      <w:r>
        <w:rPr>
          <w:rStyle w:val="33"/>
          <w:rFonts w:hint="eastAsia" w:ascii="黑体" w:hAnsi="黑体" w:eastAsia="黑体"/>
          <w:b w:val="0"/>
          <w:color w:val="auto"/>
          <w:highlight w:val="none"/>
        </w:rPr>
        <w:t>财政拨款</w:t>
      </w:r>
      <w:r>
        <w:rPr>
          <w:rStyle w:val="33"/>
          <w:rFonts w:hint="eastAsia" w:ascii="黑体" w:hAnsi="黑体" w:eastAsia="黑体"/>
          <w:color w:val="auto"/>
          <w:highlight w:val="none"/>
        </w:rPr>
        <w:t>“</w:t>
      </w:r>
      <w:r>
        <w:rPr>
          <w:rStyle w:val="33"/>
          <w:rFonts w:hint="eastAsia" w:ascii="黑体" w:hAnsi="黑体" w:eastAsia="黑体"/>
          <w:b w:val="0"/>
          <w:color w:val="auto"/>
          <w:highlight w:val="none"/>
        </w:rPr>
        <w:t>三公”经费支出决算情况说明</w:t>
      </w:r>
      <w:bookmarkEnd w:id="40"/>
      <w:bookmarkEnd w:id="41"/>
    </w:p>
    <w:p w14:paraId="26D20061">
      <w:pPr>
        <w:spacing w:line="600" w:lineRule="exact"/>
        <w:ind w:firstLine="640"/>
        <w:outlineLvl w:val="2"/>
        <w:rPr>
          <w:rFonts w:ascii="仿宋" w:hAnsi="仿宋" w:eastAsia="仿宋"/>
          <w:b/>
          <w:color w:val="auto"/>
          <w:sz w:val="32"/>
          <w:szCs w:val="32"/>
          <w:highlight w:val="none"/>
        </w:rPr>
      </w:pPr>
      <w:bookmarkStart w:id="42" w:name="_Toc15377216"/>
      <w:r>
        <w:rPr>
          <w:rFonts w:hint="eastAsia" w:ascii="仿宋" w:hAnsi="仿宋" w:eastAsia="仿宋"/>
          <w:b/>
          <w:color w:val="auto"/>
          <w:sz w:val="32"/>
          <w:szCs w:val="32"/>
          <w:highlight w:val="none"/>
        </w:rPr>
        <w:t>（一）“三公”经费财政拨款支出决算总体情况说明</w:t>
      </w:r>
      <w:bookmarkEnd w:id="42"/>
    </w:p>
    <w:p w14:paraId="2875B2FB">
      <w:pP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5.91</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减少0.64万元，下降9.77%。</w:t>
      </w:r>
    </w:p>
    <w:p w14:paraId="7A8BF65F">
      <w:pPr>
        <w:spacing w:line="600" w:lineRule="exact"/>
        <w:ind w:firstLine="640"/>
        <w:outlineLvl w:val="2"/>
        <w:rPr>
          <w:rFonts w:ascii="仿宋" w:hAnsi="仿宋" w:eastAsia="仿宋"/>
          <w:b/>
          <w:color w:val="auto"/>
          <w:sz w:val="32"/>
          <w:szCs w:val="32"/>
          <w:highlight w:val="none"/>
        </w:rPr>
      </w:pPr>
      <w:bookmarkStart w:id="43" w:name="_Toc15377217"/>
      <w:r>
        <w:rPr>
          <w:rFonts w:hint="eastAsia" w:ascii="仿宋" w:hAnsi="仿宋" w:eastAsia="仿宋"/>
          <w:b/>
          <w:color w:val="auto"/>
          <w:sz w:val="32"/>
          <w:szCs w:val="32"/>
          <w:highlight w:val="none"/>
        </w:rPr>
        <w:t>（二）“三公”经费财政拨款支出决算具体情况说明</w:t>
      </w:r>
      <w:bookmarkEnd w:id="43"/>
    </w:p>
    <w:p w14:paraId="38CF1855">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5.91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7A543D10">
      <w:pPr>
        <w:pStyle w:val="11"/>
        <w:rPr>
          <w:rFonts w:hint="eastAsia" w:eastAsia="仿宋"/>
          <w:lang w:eastAsia="zh-CN"/>
        </w:rPr>
      </w:pPr>
    </w:p>
    <w:p w14:paraId="4371FDBA">
      <w:pPr>
        <w:rPr>
          <w:rFonts w:hint="eastAsia"/>
          <w:lang w:eastAsia="zh-CN"/>
        </w:rPr>
      </w:pPr>
      <w:r>
        <w:rPr>
          <w:rFonts w:hint="eastAsia"/>
          <w:lang w:eastAsia="zh-CN"/>
        </w:rPr>
        <w:drawing>
          <wp:inline distT="0" distB="0" distL="114300" distR="114300">
            <wp:extent cx="4839970" cy="2834640"/>
            <wp:effectExtent l="0" t="0" r="17780" b="0"/>
            <wp:docPr id="11" name="图片 11"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7"/>
                    <pic:cNvPicPr>
                      <a:picLocks noChangeAspect="1"/>
                    </pic:cNvPicPr>
                  </pic:nvPicPr>
                  <pic:blipFill>
                    <a:blip r:embed="rId12"/>
                    <a:stretch>
                      <a:fillRect/>
                    </a:stretch>
                  </pic:blipFill>
                  <pic:spPr>
                    <a:xfrm>
                      <a:off x="0" y="0"/>
                      <a:ext cx="4839970" cy="2834640"/>
                    </a:xfrm>
                    <a:prstGeom prst="rect">
                      <a:avLst/>
                    </a:prstGeom>
                  </pic:spPr>
                </pic:pic>
              </a:graphicData>
            </a:graphic>
          </wp:inline>
        </w:drawing>
      </w:r>
    </w:p>
    <w:p w14:paraId="67AEAFFA">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22"/>
          <w:rFonts w:hint="eastAsia" w:ascii="仿宋" w:hAnsi="仿宋" w:eastAsia="仿宋"/>
          <w:b w:val="0"/>
          <w:bCs/>
          <w:color w:val="auto"/>
          <w:sz w:val="32"/>
          <w:szCs w:val="32"/>
          <w:highlight w:val="none"/>
        </w:rPr>
        <w:t>完成预算</w:t>
      </w:r>
      <w:r>
        <w:rPr>
          <w:rStyle w:val="22"/>
          <w:rFonts w:hint="eastAsia" w:ascii="仿宋" w:hAnsi="仿宋" w:eastAsia="仿宋"/>
          <w:b w:val="0"/>
          <w:bCs/>
          <w:color w:val="auto"/>
          <w:sz w:val="32"/>
          <w:szCs w:val="32"/>
          <w:highlight w:val="none"/>
          <w:lang w:val="en-US" w:eastAsia="zh-CN"/>
        </w:rPr>
        <w:t>0</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57DA82D5">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5.91</w:t>
      </w:r>
      <w:r>
        <w:rPr>
          <w:rFonts w:hint="eastAsia" w:ascii="仿宋_GB2312" w:eastAsia="仿宋_GB2312"/>
          <w:color w:val="auto"/>
          <w:sz w:val="32"/>
          <w:szCs w:val="32"/>
          <w:highlight w:val="none"/>
        </w:rPr>
        <w:t>万元,</w:t>
      </w:r>
      <w:r>
        <w:rPr>
          <w:rStyle w:val="22"/>
          <w:rFonts w:hint="eastAsia" w:ascii="仿宋" w:hAnsi="仿宋" w:eastAsia="仿宋"/>
          <w:b w:val="0"/>
          <w:bCs/>
          <w:color w:val="auto"/>
          <w:sz w:val="32"/>
          <w:szCs w:val="32"/>
          <w:highlight w:val="none"/>
        </w:rPr>
        <w:t>完成预算</w:t>
      </w:r>
      <w:r>
        <w:rPr>
          <w:rStyle w:val="22"/>
          <w:rFonts w:hint="eastAsia" w:ascii="仿宋" w:hAnsi="仿宋" w:eastAsia="仿宋"/>
          <w:b w:val="0"/>
          <w:bCs/>
          <w:color w:val="auto"/>
          <w:sz w:val="32"/>
          <w:szCs w:val="32"/>
          <w:highlight w:val="none"/>
          <w:lang w:val="en-US" w:eastAsia="zh-CN"/>
        </w:rPr>
        <w:t>100</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0.64</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9.77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三公经费控制</w:t>
      </w:r>
      <w:r>
        <w:rPr>
          <w:rFonts w:hint="eastAsia" w:ascii="仿宋_GB2312" w:eastAsia="仿宋_GB2312"/>
          <w:color w:val="auto"/>
          <w:sz w:val="32"/>
          <w:szCs w:val="32"/>
          <w:highlight w:val="none"/>
        </w:rPr>
        <w:t>。</w:t>
      </w:r>
    </w:p>
    <w:p w14:paraId="1A135791">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其中公务用车购置费0万元，比上年下降0万元，主要原因2023年未购买车辆；公务用车运行维护费支出5.91万元，比上年下降0万元，主要原因，2024年三公经费控制。公务用车运行维护费主要用于下乡出差等所需的公务用车燃料费、维修费、过路过</w:t>
      </w:r>
      <w:r>
        <w:rPr>
          <w:rFonts w:hint="eastAsia" w:ascii="仿宋_GB2312" w:eastAsia="仿宋_GB2312"/>
          <w:color w:val="auto"/>
          <w:sz w:val="32"/>
          <w:szCs w:val="32"/>
          <w:highlight w:val="none"/>
        </w:rPr>
        <w:t>桥费、保险费等支出。</w:t>
      </w:r>
    </w:p>
    <w:p w14:paraId="5B421245">
      <w:pPr>
        <w:numPr>
          <w:ilvl w:val="0"/>
          <w:numId w:val="3"/>
        </w:num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22"/>
          <w:rFonts w:hint="eastAsia" w:ascii="仿宋" w:hAnsi="仿宋" w:eastAsia="仿宋"/>
          <w:b w:val="0"/>
          <w:bCs/>
          <w:color w:val="auto"/>
          <w:sz w:val="32"/>
          <w:szCs w:val="32"/>
          <w:highlight w:val="none"/>
        </w:rPr>
        <w:t>完成预算</w:t>
      </w:r>
      <w:r>
        <w:rPr>
          <w:rStyle w:val="22"/>
          <w:rFonts w:hint="eastAsia" w:ascii="仿宋" w:hAnsi="仿宋" w:eastAsia="仿宋"/>
          <w:b w:val="0"/>
          <w:bCs/>
          <w:color w:val="auto"/>
          <w:sz w:val="32"/>
          <w:szCs w:val="32"/>
          <w:highlight w:val="none"/>
          <w:lang w:val="en-US" w:eastAsia="zh-CN"/>
        </w:rPr>
        <w:t>0</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2232EAAA">
      <w:pPr>
        <w:numPr>
          <w:ilvl w:val="0"/>
          <w:numId w:val="0"/>
        </w:num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无</w:t>
      </w:r>
      <w:r>
        <w:rPr>
          <w:rFonts w:hint="eastAsia" w:ascii="仿宋_GB2312" w:eastAsia="仿宋_GB2312"/>
          <w:color w:val="auto"/>
          <w:sz w:val="32"/>
          <w:szCs w:val="32"/>
          <w:highlight w:val="none"/>
        </w:rPr>
        <w:t>(执行公务、开展业务活动开支的交通费、住宿费、用餐费等)。国内公务接待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万元，具体内容包括：…（接待具体项目、金额）。</w:t>
      </w:r>
    </w:p>
    <w:p w14:paraId="2668320F">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万元，主要用于接待</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（具体项目）</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268FC312">
      <w:pPr>
        <w:spacing w:line="600" w:lineRule="exact"/>
        <w:ind w:firstLine="640"/>
        <w:outlineLvl w:val="1"/>
        <w:rPr>
          <w:rFonts w:ascii="黑体" w:eastAsia="黑体"/>
          <w:color w:val="auto"/>
          <w:sz w:val="32"/>
          <w:szCs w:val="32"/>
          <w:highlight w:val="none"/>
        </w:rPr>
      </w:pPr>
      <w:bookmarkStart w:id="44" w:name="_Toc15377218"/>
      <w:bookmarkStart w:id="45" w:name="_Toc15396610"/>
    </w:p>
    <w:p w14:paraId="3B2B2896">
      <w:pPr>
        <w:spacing w:line="600" w:lineRule="exact"/>
        <w:ind w:firstLine="640"/>
        <w:outlineLvl w:val="1"/>
        <w:rPr>
          <w:rStyle w:val="33"/>
          <w:rFonts w:ascii="黑体" w:hAnsi="黑体" w:eastAsia="黑体"/>
          <w:color w:val="auto"/>
          <w:highlight w:val="none"/>
        </w:rPr>
      </w:pPr>
      <w:r>
        <w:rPr>
          <w:rFonts w:hint="eastAsia" w:ascii="黑体" w:eastAsia="黑体"/>
          <w:color w:val="auto"/>
          <w:sz w:val="32"/>
          <w:szCs w:val="32"/>
          <w:highlight w:val="none"/>
        </w:rPr>
        <w:t>八、</w:t>
      </w:r>
      <w:r>
        <w:rPr>
          <w:rStyle w:val="33"/>
          <w:rFonts w:hint="eastAsia" w:ascii="黑体" w:hAnsi="黑体" w:eastAsia="黑体"/>
          <w:b w:val="0"/>
          <w:color w:val="auto"/>
          <w:highlight w:val="none"/>
        </w:rPr>
        <w:t>政府性基金预算支出决算情况说明</w:t>
      </w:r>
      <w:bookmarkEnd w:id="44"/>
      <w:bookmarkEnd w:id="45"/>
    </w:p>
    <w:p w14:paraId="2080538F">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03D86044">
      <w:pPr>
        <w:spacing w:line="600" w:lineRule="exact"/>
        <w:ind w:firstLine="640"/>
        <w:rPr>
          <w:rFonts w:ascii="仿宋_GB2312" w:eastAsia="仿宋_GB2312"/>
          <w:color w:val="auto"/>
          <w:sz w:val="32"/>
          <w:szCs w:val="32"/>
          <w:highlight w:val="none"/>
        </w:rPr>
      </w:pPr>
    </w:p>
    <w:p w14:paraId="6B0A337C">
      <w:pPr>
        <w:numPr>
          <w:ilvl w:val="0"/>
          <w:numId w:val="4"/>
        </w:numPr>
        <w:spacing w:line="600" w:lineRule="exact"/>
        <w:ind w:firstLine="640"/>
        <w:outlineLvl w:val="1"/>
        <w:rPr>
          <w:rStyle w:val="33"/>
          <w:rFonts w:ascii="黑体" w:hAnsi="黑体" w:eastAsia="黑体"/>
          <w:b w:val="0"/>
          <w:color w:val="auto"/>
          <w:highlight w:val="none"/>
        </w:rPr>
      </w:pPr>
      <w:bookmarkStart w:id="46" w:name="_Toc15377219"/>
      <w:bookmarkStart w:id="47" w:name="_Toc15396611"/>
      <w:r>
        <w:rPr>
          <w:rStyle w:val="33"/>
          <w:rFonts w:hint="eastAsia" w:ascii="黑体" w:hAnsi="黑体" w:eastAsia="黑体"/>
          <w:b w:val="0"/>
          <w:color w:val="auto"/>
          <w:highlight w:val="none"/>
        </w:rPr>
        <w:t>国有资本经营预算支出决算情况说明</w:t>
      </w:r>
      <w:bookmarkEnd w:id="46"/>
      <w:bookmarkEnd w:id="47"/>
    </w:p>
    <w:p w14:paraId="1A0501DD">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42947A6D">
      <w:pPr>
        <w:spacing w:line="580" w:lineRule="exact"/>
        <w:jc w:val="center"/>
        <w:rPr>
          <w:rFonts w:ascii="方正小标宋简体" w:hAnsi="方正小标宋简体" w:eastAsia="方正小标宋简体" w:cs="方正小标宋简体"/>
          <w:color w:val="auto"/>
          <w:sz w:val="44"/>
          <w:szCs w:val="44"/>
          <w:highlight w:val="none"/>
        </w:rPr>
      </w:pPr>
    </w:p>
    <w:p w14:paraId="296128E9">
      <w:pPr>
        <w:numPr>
          <w:ilvl w:val="0"/>
          <w:numId w:val="4"/>
        </w:numPr>
        <w:spacing w:line="600" w:lineRule="exact"/>
        <w:ind w:firstLine="640"/>
        <w:outlineLvl w:val="1"/>
        <w:rPr>
          <w:rStyle w:val="33"/>
          <w:rFonts w:hint="eastAsia" w:ascii="黑体" w:hAnsi="黑体" w:eastAsia="黑体"/>
          <w:b w:val="0"/>
          <w:color w:val="auto"/>
          <w:highlight w:val="none"/>
        </w:rPr>
      </w:pPr>
      <w:bookmarkStart w:id="48" w:name="_Toc15396612"/>
      <w:bookmarkStart w:id="49" w:name="_Toc15377221"/>
      <w:r>
        <w:rPr>
          <w:rStyle w:val="33"/>
          <w:rFonts w:hint="eastAsia" w:ascii="黑体" w:hAnsi="黑体" w:eastAsia="黑体"/>
          <w:b w:val="0"/>
          <w:color w:val="auto"/>
          <w:highlight w:val="none"/>
        </w:rPr>
        <w:t>其他重要事项的情况说明</w:t>
      </w:r>
      <w:bookmarkEnd w:id="48"/>
      <w:bookmarkEnd w:id="49"/>
    </w:p>
    <w:p w14:paraId="6D0C5347">
      <w:pPr>
        <w:spacing w:line="600" w:lineRule="exact"/>
        <w:ind w:firstLine="643" w:firstLineChars="200"/>
        <w:outlineLvl w:val="2"/>
        <w:rPr>
          <w:rFonts w:ascii="仿宋" w:hAnsi="仿宋" w:eastAsia="仿宋"/>
          <w:color w:val="auto"/>
          <w:sz w:val="32"/>
          <w:szCs w:val="32"/>
          <w:highlight w:val="none"/>
        </w:rPr>
      </w:pPr>
      <w:bookmarkStart w:id="50" w:name="_Toc15377222"/>
      <w:r>
        <w:rPr>
          <w:rFonts w:hint="eastAsia" w:ascii="仿宋" w:hAnsi="仿宋" w:eastAsia="仿宋"/>
          <w:b/>
          <w:color w:val="auto"/>
          <w:sz w:val="32"/>
          <w:szCs w:val="32"/>
          <w:highlight w:val="none"/>
        </w:rPr>
        <w:t>（一）机关运行经费支出情况</w:t>
      </w:r>
      <w:bookmarkEnd w:id="50"/>
    </w:p>
    <w:p w14:paraId="3CB47A22">
      <w:pPr>
        <w:spacing w:line="600" w:lineRule="exact"/>
        <w:ind w:firstLine="640" w:firstLineChars="200"/>
        <w:rPr>
          <w:rFonts w:hint="eastAsia"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马尔康市住房和城乡建设局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11.47</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增长1.24</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12.12</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人员增加。</w:t>
      </w:r>
    </w:p>
    <w:p w14:paraId="7443CA3E">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1" w:name="_Toc15377223"/>
      <w:r>
        <w:rPr>
          <w:rFonts w:hint="eastAsia" w:ascii="仿宋" w:hAnsi="仿宋" w:eastAsia="仿宋"/>
          <w:b/>
          <w:color w:val="auto"/>
          <w:sz w:val="32"/>
          <w:szCs w:val="32"/>
          <w:highlight w:val="none"/>
        </w:rPr>
        <w:t>（二）政府采购支出情况</w:t>
      </w:r>
      <w:bookmarkEnd w:id="51"/>
    </w:p>
    <w:p w14:paraId="3E0F9401">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马尔康市住房和城乡建设局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183.55</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183.55</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政府采购货物支出</w:t>
      </w:r>
      <w:r>
        <w:rPr>
          <w:rFonts w:hint="eastAsia" w:ascii="仿宋_GB2312" w:eastAsia="仿宋_GB2312"/>
          <w:color w:val="auto"/>
          <w:sz w:val="32"/>
          <w:szCs w:val="32"/>
          <w:highlight w:val="none"/>
        </w:rPr>
        <w:t>（具体工作）。授予中小企业合同金额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4DF595FA">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2" w:name="_Toc15377224"/>
      <w:r>
        <w:rPr>
          <w:rFonts w:hint="eastAsia" w:ascii="仿宋" w:hAnsi="仿宋" w:eastAsia="仿宋"/>
          <w:b/>
          <w:color w:val="auto"/>
          <w:sz w:val="32"/>
          <w:szCs w:val="32"/>
          <w:highlight w:val="none"/>
        </w:rPr>
        <w:t>（三）国有资产占有使用情况</w:t>
      </w:r>
      <w:bookmarkEnd w:id="52"/>
    </w:p>
    <w:p w14:paraId="19A0DA96">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马尔康市住房和城乡建设局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35</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34</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000000"/>
          <w:sz w:val="32"/>
          <w:szCs w:val="32"/>
        </w:rPr>
        <w:t>其他用车主要是用于</w:t>
      </w:r>
      <w:r>
        <w:rPr>
          <w:rFonts w:hint="eastAsia" w:ascii="仿宋_GB2312" w:eastAsia="仿宋_GB2312"/>
          <w:color w:val="000000" w:themeColor="text1"/>
          <w:sz w:val="32"/>
          <w:szCs w:val="32"/>
          <w14:textFill>
            <w14:solidFill>
              <w14:schemeClr w14:val="tx1"/>
            </w14:solidFill>
          </w14:textFill>
        </w:rPr>
        <w:t>用于</w:t>
      </w:r>
      <w:r>
        <w:rPr>
          <w:rFonts w:hint="eastAsia" w:ascii="仿宋_GB2312" w:eastAsia="仿宋_GB2312"/>
          <w:color w:val="000000" w:themeColor="text1"/>
          <w:sz w:val="32"/>
          <w:szCs w:val="32"/>
          <w:lang w:val="en-US" w:eastAsia="zh-CN"/>
          <w14:textFill>
            <w14:solidFill>
              <w14:schemeClr w14:val="tx1"/>
            </w14:solidFill>
          </w14:textFill>
        </w:rPr>
        <w:t>日常工作开展，</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D43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72BB4E2">
            <w:pPr>
              <w:autoSpaceDE w:val="0"/>
              <w:autoSpaceDN w:val="0"/>
              <w:adjustRightInd w:val="0"/>
              <w:spacing w:line="600" w:lineRule="exact"/>
              <w:jc w:val="left"/>
              <w:rPr>
                <w:rFonts w:hint="default" w:ascii="仿宋" w:hAnsi="仿宋" w:eastAsia="仿宋"/>
                <w:b/>
                <w:color w:val="auto"/>
                <w:sz w:val="32"/>
                <w:szCs w:val="32"/>
                <w:highlight w:val="none"/>
                <w:vertAlign w:val="baseline"/>
                <w:lang w:val="en-US" w:eastAsia="zh-CN"/>
              </w:rPr>
            </w:pPr>
            <w:r>
              <w:rPr>
                <w:rFonts w:hint="eastAsia" w:ascii="仿宋" w:hAnsi="仿宋" w:eastAsia="仿宋"/>
                <w:b/>
                <w:color w:val="auto"/>
                <w:sz w:val="32"/>
                <w:szCs w:val="32"/>
                <w:highlight w:val="none"/>
                <w:vertAlign w:val="baseline"/>
                <w:lang w:val="en-US" w:eastAsia="zh-CN"/>
              </w:rPr>
              <w:t>其他用车</w:t>
            </w:r>
          </w:p>
        </w:tc>
        <w:tc>
          <w:tcPr>
            <w:tcW w:w="4261" w:type="dxa"/>
          </w:tcPr>
          <w:p w14:paraId="4E995D35">
            <w:pPr>
              <w:autoSpaceDE w:val="0"/>
              <w:autoSpaceDN w:val="0"/>
              <w:adjustRightInd w:val="0"/>
              <w:spacing w:line="600" w:lineRule="exact"/>
              <w:jc w:val="left"/>
              <w:rPr>
                <w:rFonts w:hint="default" w:ascii="仿宋" w:hAnsi="仿宋" w:eastAsia="仿宋"/>
                <w:b/>
                <w:color w:val="auto"/>
                <w:sz w:val="32"/>
                <w:szCs w:val="32"/>
                <w:highlight w:val="none"/>
                <w:vertAlign w:val="baseline"/>
                <w:lang w:val="en-US" w:eastAsia="zh-CN"/>
              </w:rPr>
            </w:pPr>
            <w:r>
              <w:rPr>
                <w:rFonts w:hint="eastAsia" w:ascii="仿宋" w:hAnsi="仿宋" w:eastAsia="仿宋"/>
                <w:b/>
                <w:color w:val="auto"/>
                <w:sz w:val="32"/>
                <w:szCs w:val="32"/>
                <w:highlight w:val="none"/>
                <w:vertAlign w:val="baseline"/>
                <w:lang w:val="en-US" w:eastAsia="zh-CN"/>
              </w:rPr>
              <w:t>34辆</w:t>
            </w:r>
          </w:p>
        </w:tc>
      </w:tr>
      <w:tr w14:paraId="5D82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91EFA91">
            <w:pPr>
              <w:autoSpaceDE w:val="0"/>
              <w:autoSpaceDN w:val="0"/>
              <w:adjustRightInd w:val="0"/>
              <w:spacing w:line="600" w:lineRule="exact"/>
              <w:jc w:val="left"/>
              <w:rPr>
                <w:rFonts w:hint="eastAsia" w:ascii="仿宋" w:hAnsi="仿宋" w:eastAsia="仿宋"/>
                <w:b/>
                <w:color w:val="auto"/>
                <w:sz w:val="32"/>
                <w:szCs w:val="32"/>
                <w:highlight w:val="none"/>
                <w:vertAlign w:val="baseline"/>
                <w:lang w:val="en-US" w:eastAsia="zh-CN"/>
              </w:rPr>
            </w:pPr>
            <w:r>
              <w:rPr>
                <w:rFonts w:hint="eastAsia" w:ascii="仿宋_GB2312" w:eastAsia="仿宋_GB2312"/>
                <w:color w:val="auto"/>
                <w:sz w:val="32"/>
                <w:szCs w:val="32"/>
                <w:highlight w:val="none"/>
              </w:rPr>
              <w:t>应急保障用车</w:t>
            </w:r>
          </w:p>
        </w:tc>
        <w:tc>
          <w:tcPr>
            <w:tcW w:w="4261" w:type="dxa"/>
          </w:tcPr>
          <w:p w14:paraId="338307BC">
            <w:pPr>
              <w:autoSpaceDE w:val="0"/>
              <w:autoSpaceDN w:val="0"/>
              <w:adjustRightInd w:val="0"/>
              <w:spacing w:line="600" w:lineRule="exact"/>
              <w:jc w:val="left"/>
              <w:rPr>
                <w:rFonts w:hint="default" w:ascii="仿宋" w:hAnsi="仿宋" w:eastAsia="仿宋"/>
                <w:b/>
                <w:color w:val="auto"/>
                <w:sz w:val="32"/>
                <w:szCs w:val="32"/>
                <w:highlight w:val="none"/>
                <w:vertAlign w:val="baseline"/>
                <w:lang w:val="en-US" w:eastAsia="zh-CN"/>
              </w:rPr>
            </w:pPr>
            <w:r>
              <w:rPr>
                <w:rFonts w:hint="eastAsia" w:ascii="仿宋" w:hAnsi="仿宋" w:eastAsia="仿宋"/>
                <w:b/>
                <w:color w:val="auto"/>
                <w:sz w:val="32"/>
                <w:szCs w:val="32"/>
                <w:highlight w:val="none"/>
                <w:vertAlign w:val="baseline"/>
                <w:lang w:val="en-US" w:eastAsia="zh-CN"/>
              </w:rPr>
              <w:t>1辆</w:t>
            </w:r>
          </w:p>
        </w:tc>
      </w:tr>
    </w:tbl>
    <w:p w14:paraId="62A83C8F">
      <w:pPr>
        <w:autoSpaceDE w:val="0"/>
        <w:autoSpaceDN w:val="0"/>
        <w:adjustRightInd w:val="0"/>
        <w:spacing w:line="600" w:lineRule="exact"/>
        <w:ind w:firstLine="643" w:firstLineChars="200"/>
        <w:jc w:val="left"/>
        <w:rPr>
          <w:rFonts w:ascii="仿宋" w:hAnsi="仿宋" w:eastAsia="仿宋"/>
          <w:b/>
          <w:color w:val="auto"/>
          <w:sz w:val="32"/>
          <w:szCs w:val="32"/>
          <w:highlight w:val="none"/>
        </w:rPr>
      </w:pPr>
    </w:p>
    <w:p w14:paraId="0AED32E8">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14:paraId="59F1B62F">
      <w:pPr>
        <w:pStyle w:val="6"/>
        <w:ind w:firstLine="640" w:firstLineChars="200"/>
        <w:rPr>
          <w:color w:val="auto"/>
          <w:highlight w:val="yellow"/>
        </w:rPr>
      </w:pPr>
      <w:r>
        <w:rPr>
          <w:rFonts w:hint="eastAsia" w:ascii="仿宋_GB2312" w:hAnsi="仿宋_GB2312" w:eastAsia="仿宋_GB2312" w:cs="仿宋_GB2312"/>
          <w:color w:val="auto"/>
          <w:sz w:val="32"/>
          <w:szCs w:val="32"/>
          <w:highlight w:val="none"/>
        </w:rPr>
        <w:t>根据预算绩效管理要求，本单位在202</w:t>
      </w:r>
      <w:r>
        <w:rPr>
          <w:rFonts w:hint="eastAsia"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年度预算编制阶段，组织对</w:t>
      </w:r>
      <w:r>
        <w:rPr>
          <w:rFonts w:hint="eastAsia" w:hAnsi="仿宋_GB2312" w:cs="仿宋_GB2312"/>
          <w:color w:val="auto"/>
          <w:sz w:val="32"/>
          <w:szCs w:val="32"/>
          <w:highlight w:val="none"/>
          <w:lang w:val="en-US" w:eastAsia="zh-CN"/>
        </w:rPr>
        <w:t>环境质量提升</w:t>
      </w:r>
      <w:r>
        <w:rPr>
          <w:rFonts w:hint="eastAsia" w:ascii="仿宋_GB2312" w:hAnsi="仿宋_GB2312" w:eastAsia="仿宋_GB2312" w:cs="仿宋_GB2312"/>
          <w:color w:val="auto"/>
          <w:sz w:val="32"/>
          <w:szCs w:val="32"/>
          <w:highlight w:val="none"/>
        </w:rPr>
        <w:t>等</w:t>
      </w:r>
      <w:r>
        <w:rPr>
          <w:rFonts w:hint="eastAsia" w:hAnsi="仿宋_GB2312" w:cs="仿宋_GB2312"/>
          <w:color w:val="auto"/>
          <w:sz w:val="32"/>
          <w:szCs w:val="32"/>
          <w:highlight w:val="none"/>
          <w:lang w:val="en-US" w:eastAsia="zh-CN"/>
        </w:rPr>
        <w:t>65</w:t>
      </w:r>
      <w:r>
        <w:rPr>
          <w:rFonts w:hint="eastAsia" w:ascii="仿宋_GB2312" w:hAnsi="仿宋_GB2312" w:eastAsia="仿宋_GB2312" w:cs="仿宋_GB2312"/>
          <w:color w:val="auto"/>
          <w:sz w:val="32"/>
          <w:szCs w:val="32"/>
          <w:highlight w:val="none"/>
        </w:rPr>
        <w:t>个项目开展了预算事前绩效评估，对</w:t>
      </w:r>
      <w:r>
        <w:rPr>
          <w:rFonts w:hint="eastAsia" w:hAnsi="仿宋_GB2312" w:cs="仿宋_GB2312"/>
          <w:color w:val="auto"/>
          <w:sz w:val="32"/>
          <w:szCs w:val="32"/>
          <w:highlight w:val="none"/>
          <w:lang w:val="en-US" w:eastAsia="zh-CN"/>
        </w:rPr>
        <w:t>65</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所有</w:t>
      </w:r>
      <w:r>
        <w:rPr>
          <w:rFonts w:hint="eastAsia" w:ascii="仿宋_GB2312" w:hAnsi="仿宋_GB2312" w:eastAsia="仿宋_GB2312" w:cs="仿宋_GB2312"/>
          <w:color w:val="auto"/>
          <w:sz w:val="32"/>
          <w:szCs w:val="32"/>
          <w:highlight w:val="none"/>
        </w:rPr>
        <w:t>项目开展绩效监控，组织对</w:t>
      </w:r>
      <w:r>
        <w:rPr>
          <w:rFonts w:hint="eastAsia" w:hAnsi="仿宋_GB2312" w:cs="仿宋_GB2312"/>
          <w:color w:val="auto"/>
          <w:sz w:val="32"/>
          <w:szCs w:val="32"/>
          <w:highlight w:val="none"/>
          <w:lang w:val="en-US" w:eastAsia="zh-CN"/>
        </w:rPr>
        <w:t>所有</w:t>
      </w:r>
      <w:r>
        <w:rPr>
          <w:rFonts w:hint="eastAsia" w:ascii="仿宋_GB2312" w:hAnsi="仿宋_GB2312" w:eastAsia="仿宋_GB2312" w:cs="仿宋_GB2312"/>
          <w:color w:val="auto"/>
          <w:sz w:val="32"/>
          <w:szCs w:val="32"/>
          <w:highlight w:val="none"/>
        </w:rPr>
        <w:t>项目开展绩效自评，绩效自评表详见</w:t>
      </w:r>
      <w:r>
        <w:rPr>
          <w:rFonts w:hint="eastAsia" w:hAnsi="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14:paraId="3A5A34CE">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0D7C41A1">
      <w:pPr>
        <w:numPr>
          <w:ilvl w:val="0"/>
          <w:numId w:val="5"/>
        </w:numPr>
        <w:spacing w:line="600" w:lineRule="exact"/>
        <w:ind w:firstLine="660" w:firstLineChars="150"/>
        <w:jc w:val="center"/>
        <w:outlineLvl w:val="0"/>
        <w:rPr>
          <w:rStyle w:val="32"/>
          <w:rFonts w:ascii="黑体" w:hAnsi="黑体" w:eastAsia="黑体"/>
          <w:b w:val="0"/>
          <w:color w:val="auto"/>
          <w:highlight w:val="none"/>
        </w:rPr>
      </w:pPr>
      <w:bookmarkStart w:id="53" w:name="_Toc15396613"/>
      <w:bookmarkStart w:id="54" w:name="_Toc15377225"/>
      <w:r>
        <w:rPr>
          <w:rFonts w:hint="eastAsia" w:ascii="黑体" w:hAnsi="黑体" w:eastAsia="黑体"/>
          <w:color w:val="auto"/>
          <w:sz w:val="44"/>
          <w:szCs w:val="44"/>
          <w:highlight w:val="none"/>
        </w:rPr>
        <w:t>名</w:t>
      </w:r>
      <w:r>
        <w:rPr>
          <w:rStyle w:val="32"/>
          <w:rFonts w:hint="eastAsia" w:ascii="黑体" w:hAnsi="黑体" w:eastAsia="黑体"/>
          <w:b w:val="0"/>
          <w:color w:val="auto"/>
          <w:highlight w:val="none"/>
        </w:rPr>
        <w:t>词解释</w:t>
      </w:r>
      <w:bookmarkEnd w:id="53"/>
      <w:bookmarkEnd w:id="54"/>
    </w:p>
    <w:p w14:paraId="2F30D7BD">
      <w:pPr>
        <w:spacing w:line="600" w:lineRule="exact"/>
        <w:jc w:val="left"/>
        <w:rPr>
          <w:rFonts w:ascii="宋体"/>
          <w:b/>
          <w:color w:val="auto"/>
          <w:sz w:val="44"/>
          <w:szCs w:val="44"/>
          <w:highlight w:val="none"/>
        </w:rPr>
      </w:pPr>
    </w:p>
    <w:p w14:paraId="3AD2F075">
      <w:pPr>
        <w:pStyle w:val="3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616DD3D0">
      <w:pPr>
        <w:pStyle w:val="30"/>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6F97DB09">
      <w:pPr>
        <w:pStyle w:val="30"/>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3E9BEC9F">
      <w:pPr>
        <w:pStyle w:val="3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 xml:space="preserve"> </w:t>
      </w:r>
    </w:p>
    <w:p w14:paraId="4D962EF9">
      <w:pPr>
        <w:pStyle w:val="3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00E131B8">
      <w:pPr>
        <w:pStyle w:val="3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5B94D29E">
      <w:pPr>
        <w:pStyle w:val="3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1EE7861F">
      <w:pPr>
        <w:pStyle w:val="3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05F43428">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.社会保障和就业（208）行政事业单位离退休（05）机关事业单位基本养老保险缴费支出（05）：指</w:t>
      </w:r>
      <w:r>
        <w:rPr>
          <w:rFonts w:hint="eastAsia" w:ascii="仿宋_GB2312" w:eastAsia="仿宋_GB2312"/>
          <w:color w:val="000000"/>
          <w:sz w:val="32"/>
          <w:szCs w:val="32"/>
          <w:lang w:eastAsia="zh-CN"/>
        </w:rPr>
        <w:t>反映</w:t>
      </w:r>
      <w:r>
        <w:rPr>
          <w:rFonts w:hint="eastAsia" w:ascii="仿宋_GB2312" w:eastAsia="仿宋_GB2312"/>
          <w:color w:val="000000"/>
          <w:sz w:val="32"/>
          <w:szCs w:val="32"/>
        </w:rPr>
        <w:t>机关事业单位实施养老保险制度由单位缴纳的基本养老保险费支出。</w:t>
      </w:r>
    </w:p>
    <w:p w14:paraId="63EE69B1">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.社会保障和就业（208）行政事业单位离退休（05）机关事业单位基本职业年金缴费支出（06）：指</w:t>
      </w:r>
      <w:r>
        <w:rPr>
          <w:rFonts w:hint="eastAsia" w:ascii="仿宋_GB2312" w:eastAsia="仿宋_GB2312"/>
          <w:color w:val="000000"/>
          <w:sz w:val="32"/>
          <w:szCs w:val="32"/>
          <w:lang w:eastAsia="zh-CN"/>
        </w:rPr>
        <w:t>反映</w:t>
      </w:r>
      <w:r>
        <w:rPr>
          <w:rFonts w:hint="eastAsia" w:ascii="仿宋_GB2312" w:eastAsia="仿宋_GB2312"/>
          <w:color w:val="000000"/>
          <w:sz w:val="32"/>
          <w:szCs w:val="32"/>
        </w:rPr>
        <w:t>机关事业单位实施养老保险制度由单位缴纳的职业年金支出。</w:t>
      </w:r>
    </w:p>
    <w:p w14:paraId="6FF452D7">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.医疗卫生与计划生育（210）行政事业单位医疗（11）行政单位医疗（01）：</w:t>
      </w:r>
      <w:r>
        <w:rPr>
          <w:rFonts w:hint="eastAsia" w:ascii="仿宋_GB2312" w:eastAsia="仿宋_GB2312"/>
          <w:color w:val="000000"/>
          <w:sz w:val="32"/>
          <w:szCs w:val="32"/>
          <w:lang w:eastAsia="zh-CN"/>
        </w:rPr>
        <w:t>反映</w:t>
      </w:r>
      <w:r>
        <w:rPr>
          <w:rFonts w:hint="eastAsia" w:ascii="仿宋_GB2312" w:eastAsia="仿宋_GB2312"/>
          <w:color w:val="000000"/>
          <w:sz w:val="32"/>
          <w:szCs w:val="32"/>
        </w:rPr>
        <w:t>财政部门集中安排的行政单位基本医疗保险缴费经费，未参加医疗保险的行政单位的公费医疗经费按国家规定享受离休人员、红军老战士待遇的医疗经费。</w:t>
      </w:r>
    </w:p>
    <w:p w14:paraId="39E35F6A">
      <w:pPr>
        <w:ind w:firstLine="640" w:firstLineChars="200"/>
        <w:rPr>
          <w:rFonts w:hint="eastAsia" w:eastAsia="仿宋_GB2312"/>
          <w:lang w:eastAsia="zh-CN"/>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医疗卫生与计划生育（210）</w:t>
      </w:r>
      <w:r>
        <w:rPr>
          <w:rFonts w:hint="eastAsia" w:ascii="仿宋_GB2312" w:eastAsia="仿宋_GB2312"/>
          <w:color w:val="000000"/>
          <w:sz w:val="32"/>
          <w:szCs w:val="32"/>
          <w:lang w:val="en-US" w:eastAsia="zh-CN"/>
        </w:rPr>
        <w:t>公共卫生</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04</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突发公共卫生事件应急处理</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w:t>
      </w:r>
      <w:r>
        <w:rPr>
          <w:rFonts w:hint="eastAsia" w:ascii="仿宋_GB2312" w:eastAsia="仿宋_GB2312"/>
          <w:color w:val="000000"/>
          <w:sz w:val="32"/>
          <w:szCs w:val="32"/>
          <w:lang w:eastAsia="zh-CN"/>
        </w:rPr>
        <w:t>：反映</w:t>
      </w:r>
      <w:r>
        <w:rPr>
          <w:rFonts w:ascii="仿宋_GB2312" w:hAnsi="宋体" w:eastAsia="仿宋_GB2312" w:cs="仿宋_GB2312"/>
          <w:i w:val="0"/>
          <w:iCs w:val="0"/>
          <w:caps w:val="0"/>
          <w:color w:val="000000"/>
          <w:spacing w:val="0"/>
          <w:sz w:val="31"/>
          <w:szCs w:val="31"/>
        </w:rPr>
        <w:t>主单位全额差额在职人员</w:t>
      </w:r>
      <w:r>
        <w:rPr>
          <w:rFonts w:hint="eastAsia" w:ascii="仿宋_GB2312" w:eastAsia="仿宋_GB2312"/>
          <w:color w:val="000000"/>
          <w:sz w:val="32"/>
          <w:szCs w:val="32"/>
          <w:lang w:val="en-US" w:eastAsia="zh-CN"/>
        </w:rPr>
        <w:t>突发公共卫生事件应急处理</w:t>
      </w:r>
      <w:r>
        <w:rPr>
          <w:rFonts w:ascii="仿宋_GB2312" w:hAnsi="宋体" w:eastAsia="仿宋_GB2312" w:cs="仿宋_GB2312"/>
          <w:i w:val="0"/>
          <w:iCs w:val="0"/>
          <w:caps w:val="0"/>
          <w:color w:val="000000"/>
          <w:spacing w:val="0"/>
          <w:sz w:val="31"/>
          <w:szCs w:val="31"/>
        </w:rPr>
        <w:t>支出</w:t>
      </w:r>
      <w:r>
        <w:rPr>
          <w:rFonts w:hint="eastAsia" w:ascii="仿宋_GB2312" w:hAnsi="宋体" w:eastAsia="仿宋_GB2312" w:cs="仿宋_GB2312"/>
          <w:i w:val="0"/>
          <w:iCs w:val="0"/>
          <w:caps w:val="0"/>
          <w:color w:val="000000"/>
          <w:spacing w:val="0"/>
          <w:sz w:val="31"/>
          <w:szCs w:val="31"/>
          <w:lang w:eastAsia="zh-CN"/>
        </w:rPr>
        <w:t>。</w:t>
      </w:r>
    </w:p>
    <w:p w14:paraId="6DC70672">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医疗卫生与计划生育（210）行政事业单位医疗（11）公务员医疗补助（03）：</w:t>
      </w:r>
      <w:r>
        <w:rPr>
          <w:rFonts w:hint="eastAsia" w:ascii="仿宋_GB2312" w:eastAsia="仿宋_GB2312"/>
          <w:color w:val="000000"/>
          <w:sz w:val="32"/>
          <w:szCs w:val="32"/>
          <w:lang w:eastAsia="zh-CN"/>
        </w:rPr>
        <w:t>反映</w:t>
      </w:r>
      <w:r>
        <w:rPr>
          <w:rFonts w:hint="eastAsia" w:ascii="仿宋_GB2312" w:eastAsia="仿宋_GB2312"/>
          <w:color w:val="000000"/>
          <w:sz w:val="32"/>
          <w:szCs w:val="32"/>
        </w:rPr>
        <w:t>财政部门集中安排的公务员医疗补助经费。</w:t>
      </w:r>
    </w:p>
    <w:p w14:paraId="1C28B6D1">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14.节能环保支出（211)污染防治（03）水体（02）：</w:t>
      </w:r>
      <w:r>
        <w:rPr>
          <w:rFonts w:hint="eastAsia" w:ascii="仿宋_GB2312" w:eastAsia="仿宋_GB2312"/>
          <w:color w:val="000000"/>
          <w:sz w:val="32"/>
          <w:szCs w:val="32"/>
          <w:lang w:eastAsia="zh-CN"/>
        </w:rPr>
        <w:t>反映</w:t>
      </w:r>
      <w:r>
        <w:rPr>
          <w:rFonts w:hint="eastAsia" w:ascii="仿宋_GB2312" w:eastAsia="仿宋_GB2312"/>
          <w:color w:val="000000"/>
          <w:sz w:val="32"/>
          <w:szCs w:val="32"/>
          <w:lang w:val="en-US" w:eastAsia="zh-CN"/>
        </w:rPr>
        <w:t>用于污水项目项目支出。</w:t>
      </w:r>
    </w:p>
    <w:p w14:paraId="46BF5118">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15.节能环保支出（211)污染防治（03）其他污染防治支出（99）：</w:t>
      </w:r>
      <w:r>
        <w:rPr>
          <w:rFonts w:hint="eastAsia" w:ascii="仿宋_GB2312" w:eastAsia="仿宋_GB2312"/>
          <w:color w:val="000000"/>
          <w:sz w:val="32"/>
          <w:szCs w:val="32"/>
          <w:lang w:eastAsia="zh-CN"/>
        </w:rPr>
        <w:t>反映</w:t>
      </w:r>
      <w:r>
        <w:rPr>
          <w:rFonts w:hint="eastAsia" w:ascii="仿宋_GB2312" w:eastAsia="仿宋_GB2312"/>
          <w:color w:val="000000"/>
          <w:sz w:val="32"/>
          <w:szCs w:val="32"/>
          <w:lang w:val="en-US" w:eastAsia="zh-CN"/>
        </w:rPr>
        <w:t>用于其他污染防治支出。</w:t>
      </w:r>
    </w:p>
    <w:p w14:paraId="0BDF3D8F">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16.节能环保支出（211)自然生态保护（04）生态保护（01）：</w:t>
      </w:r>
      <w:r>
        <w:rPr>
          <w:rFonts w:hint="eastAsia" w:ascii="仿宋_GB2312" w:eastAsia="仿宋_GB2312"/>
          <w:color w:val="000000"/>
          <w:sz w:val="32"/>
          <w:szCs w:val="32"/>
          <w:lang w:eastAsia="zh-CN"/>
        </w:rPr>
        <w:t>反映</w:t>
      </w:r>
      <w:r>
        <w:rPr>
          <w:rFonts w:hint="eastAsia" w:ascii="仿宋_GB2312" w:eastAsia="仿宋_GB2312"/>
          <w:color w:val="000000"/>
          <w:sz w:val="32"/>
          <w:szCs w:val="32"/>
          <w:lang w:val="en-US" w:eastAsia="zh-CN"/>
        </w:rPr>
        <w:t>用于生态保护支出。</w:t>
      </w:r>
    </w:p>
    <w:p w14:paraId="56079C23">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17.节能环保支出（211)自然生态保护（04）农村环境保护（02）：</w:t>
      </w:r>
      <w:r>
        <w:rPr>
          <w:rFonts w:hint="eastAsia" w:ascii="仿宋_GB2312" w:eastAsia="仿宋_GB2312"/>
          <w:color w:val="000000"/>
          <w:sz w:val="32"/>
          <w:szCs w:val="32"/>
          <w:lang w:eastAsia="zh-CN"/>
        </w:rPr>
        <w:t>反映</w:t>
      </w:r>
      <w:r>
        <w:rPr>
          <w:rFonts w:hint="eastAsia" w:ascii="仿宋_GB2312" w:eastAsia="仿宋_GB2312"/>
          <w:color w:val="000000"/>
          <w:sz w:val="32"/>
          <w:szCs w:val="32"/>
          <w:lang w:val="en-US" w:eastAsia="zh-CN"/>
        </w:rPr>
        <w:t>用于农村环境保护支出。</w:t>
      </w:r>
    </w:p>
    <w:p w14:paraId="26BDB4DB">
      <w:pPr>
        <w:pStyle w:val="30"/>
        <w:pageBreakBefore w:val="0"/>
        <w:kinsoku/>
        <w:wordWrap/>
        <w:overflowPunct/>
        <w:topLinePunct w:val="0"/>
        <w:bidi w:val="0"/>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 xml:space="preserve">    18.城乡社区支出（212)城乡社区管理事务（01）行政运行（01）：反映行政单位（包括实行公务员管理的事业单位）的基本支出。</w:t>
      </w:r>
    </w:p>
    <w:p w14:paraId="4811B0ED">
      <w:pPr>
        <w:pStyle w:val="11"/>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19.城乡社区支出（212)城乡社区管理事务（01）其他城乡社区管理事务支出（99）：反映其他城乡社区管理事务支出。</w:t>
      </w:r>
    </w:p>
    <w:p w14:paraId="10043A9A">
      <w:pPr>
        <w:pStyle w:val="11"/>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20.城乡社区支出（212)城乡社区公共设施（03）小城镇基础设施建设（03）：反映小城镇基础设施建设支出。</w:t>
      </w:r>
    </w:p>
    <w:p w14:paraId="66033202">
      <w:pPr>
        <w:ind w:firstLine="64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21.城乡社区支出（212)城乡社区公共设施（03）其他城乡社区公共设施支出（99）：反映其他城乡社区公共设施支出。</w:t>
      </w:r>
    </w:p>
    <w:p w14:paraId="4A0F6B47">
      <w:pPr>
        <w:ind w:firstLine="64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22.城乡社区支出（212)城乡社区环境卫生（05）城乡社区环境卫生（01）：反映城乡社区环境卫生支出。</w:t>
      </w:r>
    </w:p>
    <w:p w14:paraId="60D4F52A">
      <w:pPr>
        <w:ind w:firstLine="640"/>
        <w:rPr>
          <w:rFonts w:hint="default"/>
          <w:lang w:val="en-US" w:eastAsia="zh-CN"/>
        </w:rPr>
      </w:pPr>
      <w:r>
        <w:rPr>
          <w:rFonts w:hint="eastAsia" w:ascii="仿宋_GB2312" w:eastAsia="仿宋_GB2312"/>
          <w:color w:val="000000"/>
          <w:sz w:val="32"/>
          <w:szCs w:val="32"/>
          <w:lang w:val="en-US" w:eastAsia="zh-CN"/>
        </w:rPr>
        <w:t>23.城乡社区支出（212)其他城乡社区支出（99）其他城乡社区支出（99）：反其他映城乡社区支出。</w:t>
      </w:r>
    </w:p>
    <w:p w14:paraId="6EFF779A">
      <w:pPr>
        <w:pStyle w:val="30"/>
        <w:pageBreakBefore w:val="0"/>
        <w:kinsoku/>
        <w:wordWrap/>
        <w:overflowPunct/>
        <w:topLinePunct w:val="0"/>
        <w:bidi w:val="0"/>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sz w:val="32"/>
          <w:szCs w:val="32"/>
          <w:lang w:val="en-US" w:eastAsia="zh-CN"/>
        </w:rPr>
        <w:t>24.</w:t>
      </w:r>
      <w:r>
        <w:rPr>
          <w:rFonts w:hint="eastAsia" w:ascii="仿宋_GB2312" w:eastAsia="仿宋_GB2312"/>
          <w:color w:val="000000"/>
          <w:sz w:val="32"/>
          <w:szCs w:val="32"/>
        </w:rPr>
        <w:t>农林水（213）扶贫（05）</w:t>
      </w:r>
      <w:r>
        <w:rPr>
          <w:rFonts w:hint="eastAsia" w:ascii="仿宋_GB2312" w:eastAsia="仿宋_GB2312"/>
          <w:color w:val="000000"/>
          <w:sz w:val="32"/>
          <w:szCs w:val="32"/>
          <w:lang w:val="en-US" w:eastAsia="zh-CN"/>
        </w:rPr>
        <w:t>农村基础设施建设（04）：反映农村基础设施建设支出。</w:t>
      </w:r>
    </w:p>
    <w:p w14:paraId="7EC7EB94">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25.</w:t>
      </w:r>
      <w:r>
        <w:rPr>
          <w:rFonts w:hint="eastAsia" w:ascii="仿宋_GB2312" w:eastAsia="仿宋_GB2312"/>
          <w:color w:val="000000"/>
          <w:sz w:val="32"/>
          <w:szCs w:val="32"/>
        </w:rPr>
        <w:t>住房保障（221）住房改革支出（02）住房公积金（01）：反应行政事业单位按人力资源和社会保障部、财政部规定的基本工资和津贴补贴以及规定比例为职工缴纳的的住房公积金。</w:t>
      </w:r>
    </w:p>
    <w:p w14:paraId="2807B853">
      <w:pPr>
        <w:pStyle w:val="30"/>
        <w:pageBreakBefore w:val="0"/>
        <w:kinsoku/>
        <w:wordWrap/>
        <w:overflowPunct/>
        <w:topLinePunct w:val="0"/>
        <w:bidi w:val="0"/>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26.灾害防治及应急管理支出（224）地震事务（05）其他地震事务支出（11）：反映用于其他地震事务支出。</w:t>
      </w:r>
    </w:p>
    <w:p w14:paraId="17ED4BFB">
      <w:pPr>
        <w:pStyle w:val="30"/>
        <w:pageBreakBefore w:val="0"/>
        <w:kinsoku/>
        <w:wordWrap/>
        <w:overflowPunct/>
        <w:topLinePunct w:val="0"/>
        <w:bidi w:val="0"/>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27.灾害防治及应急管理支出（224）自然灾害防治支出（06）其他自然灾害防治支出（99）：反映用于自然灾害防治支出。</w:t>
      </w:r>
    </w:p>
    <w:p w14:paraId="0FAFB361">
      <w:pPr>
        <w:pStyle w:val="30"/>
        <w:pageBreakBefore w:val="0"/>
        <w:kinsoku/>
        <w:wordWrap/>
        <w:overflowPunct/>
        <w:topLinePunct w:val="0"/>
        <w:bidi w:val="0"/>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28.其他支出（229）其他支出（99）其他支出（99）：反映用于其他支出。</w:t>
      </w:r>
    </w:p>
    <w:p w14:paraId="02CF950F">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6C6153EB">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30</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24676411">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31</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73EA893B">
      <w:pPr>
        <w:pStyle w:val="3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573D3D7">
      <w:pPr>
        <w:pStyle w:val="3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33</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8DCCECC">
      <w:pPr>
        <w:pStyle w:val="30"/>
        <w:spacing w:line="560" w:lineRule="exact"/>
        <w:ind w:firstLine="640" w:firstLineChars="200"/>
        <w:rPr>
          <w:rFonts w:ascii="仿宋_GB2312" w:eastAsia="仿宋_GB2312" w:cs="黑体"/>
          <w:color w:val="auto"/>
          <w:sz w:val="32"/>
          <w:szCs w:val="32"/>
          <w:highlight w:val="none"/>
        </w:rPr>
      </w:pPr>
    </w:p>
    <w:p w14:paraId="01B5FC63">
      <w:pPr>
        <w:spacing w:line="600" w:lineRule="exact"/>
        <w:jc w:val="center"/>
        <w:outlineLvl w:val="0"/>
        <w:rPr>
          <w:rFonts w:ascii="宋体"/>
          <w:b/>
          <w:color w:val="auto"/>
          <w:sz w:val="44"/>
          <w:szCs w:val="44"/>
          <w:highlight w:val="none"/>
        </w:rPr>
      </w:pPr>
      <w:bookmarkStart w:id="55" w:name="_Toc15377226"/>
    </w:p>
    <w:p w14:paraId="36F03962">
      <w:pPr>
        <w:spacing w:line="600" w:lineRule="exact"/>
        <w:jc w:val="center"/>
        <w:outlineLvl w:val="0"/>
        <w:rPr>
          <w:rFonts w:ascii="宋体"/>
          <w:b/>
          <w:color w:val="auto"/>
          <w:sz w:val="44"/>
          <w:szCs w:val="44"/>
          <w:highlight w:val="none"/>
        </w:rPr>
      </w:pPr>
    </w:p>
    <w:p w14:paraId="4F948106">
      <w:pPr>
        <w:spacing w:line="600" w:lineRule="exact"/>
        <w:jc w:val="center"/>
        <w:outlineLvl w:val="0"/>
        <w:rPr>
          <w:rFonts w:ascii="宋体"/>
          <w:b/>
          <w:color w:val="auto"/>
          <w:sz w:val="44"/>
          <w:szCs w:val="44"/>
          <w:highlight w:val="none"/>
        </w:rPr>
      </w:pPr>
    </w:p>
    <w:p w14:paraId="3CDB31AD">
      <w:pPr>
        <w:numPr>
          <w:ilvl w:val="0"/>
          <w:numId w:val="5"/>
        </w:numPr>
        <w:spacing w:line="600" w:lineRule="exact"/>
        <w:ind w:left="0" w:leftChars="0" w:firstLine="663" w:firstLineChars="150"/>
        <w:jc w:val="center"/>
        <w:outlineLvl w:val="0"/>
        <w:rPr>
          <w:rFonts w:hint="eastAsia" w:ascii="宋体"/>
          <w:b/>
          <w:color w:val="auto"/>
          <w:sz w:val="44"/>
          <w:szCs w:val="44"/>
          <w:highlight w:val="none"/>
          <w:lang w:val="en-US" w:eastAsia="zh-CN"/>
        </w:rPr>
      </w:pPr>
      <w:r>
        <w:rPr>
          <w:rFonts w:hint="eastAsia" w:ascii="宋体"/>
          <w:b/>
          <w:color w:val="auto"/>
          <w:sz w:val="44"/>
          <w:szCs w:val="44"/>
          <w:highlight w:val="none"/>
          <w:lang w:val="en-US" w:eastAsia="zh-CN"/>
        </w:rPr>
        <w:t>附件</w:t>
      </w:r>
    </w:p>
    <w:p w14:paraId="360097F1">
      <w:pPr>
        <w:numPr>
          <w:ilvl w:val="0"/>
          <w:numId w:val="0"/>
        </w:numPr>
        <w:spacing w:line="600" w:lineRule="exact"/>
        <w:ind w:leftChars="150"/>
        <w:jc w:val="left"/>
        <w:outlineLvl w:val="0"/>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附件1：马尔康市住房和城乡建设局部门整体绩效报告</w:t>
      </w:r>
    </w:p>
    <w:p w14:paraId="73AE821B">
      <w:pPr>
        <w:numPr>
          <w:ilvl w:val="0"/>
          <w:numId w:val="0"/>
        </w:numPr>
        <w:spacing w:line="600" w:lineRule="exact"/>
        <w:ind w:leftChars="150"/>
        <w:jc w:val="center"/>
        <w:outlineLvl w:val="0"/>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2024年马尔康市住房和城乡建设局</w:t>
      </w:r>
    </w:p>
    <w:p w14:paraId="74AF7578">
      <w:pPr>
        <w:numPr>
          <w:ilvl w:val="0"/>
          <w:numId w:val="0"/>
        </w:numPr>
        <w:spacing w:line="600" w:lineRule="exact"/>
        <w:ind w:leftChars="150"/>
        <w:jc w:val="center"/>
        <w:outlineLvl w:val="0"/>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整体支出绩效评价报告</w:t>
      </w:r>
    </w:p>
    <w:p w14:paraId="0251193A">
      <w:pPr>
        <w:pStyle w:val="14"/>
        <w:jc w:val="center"/>
        <w:rPr>
          <w:rFonts w:hint="eastAsia"/>
          <w:lang w:val="en-US" w:eastAsia="zh-CN"/>
        </w:rPr>
      </w:pPr>
      <w:r>
        <w:rPr>
          <w:rFonts w:hint="eastAsia" w:ascii="仿宋_GB2312" w:hAnsi="仿宋_GB2312" w:eastAsia="仿宋_GB2312" w:cs="仿宋_GB2312"/>
          <w:b w:val="0"/>
          <w:bCs/>
          <w:color w:val="auto"/>
          <w:sz w:val="32"/>
          <w:szCs w:val="32"/>
          <w:highlight w:val="none"/>
          <w:lang w:val="en-US" w:eastAsia="zh-CN"/>
        </w:rPr>
        <w:t>（报告范围包括机关和下属单位）</w:t>
      </w:r>
    </w:p>
    <w:p w14:paraId="7D8EDD5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420" w:firstLineChars="200"/>
        <w:contextualSpacing/>
        <w:jc w:val="left"/>
        <w:textAlignment w:val="auto"/>
        <w:outlineLvl w:val="9"/>
        <w:rPr>
          <w:rFonts w:hint="default" w:ascii="Times New Roman" w:hAnsi="Times New Roman" w:cs="Times New Roman"/>
          <w:szCs w:val="32"/>
        </w:rPr>
      </w:pPr>
      <w:r>
        <w:rPr>
          <w:rFonts w:hint="eastAsia" w:eastAsia="黑体" w:cs="Times New Roman"/>
          <w:color w:val="000000"/>
          <w:kern w:val="0"/>
          <w:szCs w:val="32"/>
          <w:highlight w:val="none"/>
          <w:shd w:val="clear" w:color="auto" w:fill="FFFFFF"/>
          <w:lang w:val="zh-CN"/>
        </w:rPr>
        <w:t>一、</w:t>
      </w:r>
      <w:r>
        <w:rPr>
          <w:rFonts w:hint="default" w:ascii="Times New Roman" w:hAnsi="Times New Roman" w:eastAsia="黑体" w:cs="Times New Roman"/>
          <w:color w:val="000000"/>
          <w:kern w:val="0"/>
          <w:szCs w:val="32"/>
          <w:highlight w:val="none"/>
          <w:shd w:val="clear" w:color="auto" w:fill="FFFFFF"/>
          <w:lang w:val="zh-CN"/>
        </w:rPr>
        <w:t>部门（单位）基本情况</w:t>
      </w:r>
    </w:p>
    <w:p w14:paraId="2366E880">
      <w:pPr>
        <w:pStyle w:val="6"/>
        <w:pageBreakBefore w:val="0"/>
        <w:kinsoku/>
        <w:wordWrap/>
        <w:overflowPunct/>
        <w:topLinePunct w:val="0"/>
        <w:autoSpaceDE/>
        <w:autoSpaceDN/>
        <w:bidi w:val="0"/>
        <w:adjustRightInd/>
        <w:snapToGrid/>
        <w:spacing w:after="0" w:line="560" w:lineRule="exact"/>
        <w:ind w:left="0" w:firstLine="602" w:firstLineChars="200"/>
        <w:jc w:val="both"/>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pPr>
      <w:r>
        <w:rPr>
          <w:rFonts w:hint="eastAsia" w:eastAsia="楷体_GB2312" w:cs="Times New Roman"/>
          <w:b/>
          <w:bCs/>
          <w:color w:val="000000"/>
          <w:kern w:val="0"/>
          <w:szCs w:val="32"/>
          <w:highlight w:val="none"/>
          <w:shd w:val="clear" w:color="auto" w:fill="FFFFFF"/>
          <w:lang w:val="zh-CN"/>
        </w:rPr>
        <w:t>（一）</w:t>
      </w:r>
      <w:r>
        <w:rPr>
          <w:rFonts w:hint="default" w:ascii="Times New Roman" w:hAnsi="Times New Roman" w:eastAsia="楷体_GB2312" w:cs="Times New Roman"/>
          <w:b/>
          <w:bCs/>
          <w:color w:val="000000"/>
          <w:kern w:val="0"/>
          <w:szCs w:val="32"/>
          <w:highlight w:val="none"/>
          <w:shd w:val="clear" w:color="auto" w:fill="FFFFFF"/>
          <w:lang w:val="zh-CN"/>
        </w:rPr>
        <w:t>机构组成。</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市住建局设下列内设机构：</w:t>
      </w:r>
    </w:p>
    <w:p w14:paraId="7755F18D">
      <w:pPr>
        <w:pageBreakBefore w:val="0"/>
        <w:kinsoku/>
        <w:wordWrap/>
        <w:overflowPunct/>
        <w:topLinePunct w:val="0"/>
        <w:autoSpaceDE/>
        <w:autoSpaceDN/>
        <w:bidi w:val="0"/>
        <w:adjustRightInd/>
        <w:snapToGrid/>
        <w:spacing w:line="560" w:lineRule="exact"/>
        <w:ind w:left="0" w:firstLine="1606" w:firstLineChars="500"/>
        <w:jc w:val="both"/>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1、综合股</w:t>
      </w:r>
      <w:r>
        <w:rPr>
          <w:rFonts w:hint="eastAsia" w:ascii="楷体_GB2312" w:hAnsi="楷体_GB2312" w:eastAsia="楷体_GB2312" w:cs="楷体_GB2312"/>
          <w:b/>
          <w:bCs/>
          <w:color w:val="000000" w:themeColor="text1"/>
          <w:kern w:val="2"/>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负责局机关政务协调、文电处理、会务安排、政务信息、机要、保密、安全和职业健康、文书档案管理；负责城建档案管理和指导工作；负责新闻宣传、目标管理、信访、社会治理、精神文明建设、机关理论学习等工作；协调组织相关股室办理人大代表建议、政协委员提案。负责局机关机构编制管理和人事管理工作。</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现有财务股撤销，合并入综合股，财务人员及相关工作不做更变，</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综合管理中央和省、州、市级财政用于城乡建设系统的各专项资金；协调、指导和监督住房和城乡建设领域财税、价格政策的落实；负责局行政机关和直属事业单位的财务及国有资产的监督管理；负责单位财务报表、资金计划、财务档案管理。</w:t>
      </w:r>
    </w:p>
    <w:p w14:paraId="587AC524">
      <w:pPr>
        <w:pageBreakBefore w:val="0"/>
        <w:numPr>
          <w:ilvl w:val="0"/>
          <w:numId w:val="0"/>
        </w:numPr>
        <w:kinsoku/>
        <w:wordWrap/>
        <w:overflowPunct/>
        <w:topLinePunct w:val="0"/>
        <w:autoSpaceDE/>
        <w:autoSpaceDN/>
        <w:bidi w:val="0"/>
        <w:adjustRightInd/>
        <w:snapToGrid/>
        <w:spacing w:line="560" w:lineRule="exact"/>
        <w:ind w:left="0" w:firstLine="964" w:firstLineChars="300"/>
        <w:jc w:val="both"/>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2、</w:t>
      </w:r>
      <w:r>
        <w:rPr>
          <w:rFonts w:hint="eastAsia" w:ascii="楷体_GB2312" w:hAnsi="楷体_GB2312" w:eastAsia="楷体_GB2312" w:cs="楷体_GB2312"/>
          <w:b/>
          <w:bCs/>
          <w:color w:val="000000" w:themeColor="text1"/>
          <w:kern w:val="2"/>
          <w:sz w:val="32"/>
          <w:szCs w:val="32"/>
          <w:highlight w:val="none"/>
          <w:lang w:eastAsia="zh-CN"/>
          <w14:textFill>
            <w14:solidFill>
              <w14:schemeClr w14:val="tx1"/>
            </w14:solidFill>
          </w14:textFill>
        </w:rPr>
        <w:t>城乡建设管理股。</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部分职能转入建管股和村镇股后，负责</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组织指导行业职工培训、技能鉴定和专业技术人员的继续教育以及监督行业职业健康；负责农村建筑工匠培训和管理；拟订勘察设计咨询业发展规划、产业及技术政策；拟订规范勘察设计咨询市场各方主体行为的规章制度并监督实施；指导城市基础设施建设发展工作；拟订城市建设的政策法规、发展规划、管理措施、技术标准并监督实施；指导城市相关市政基础设施专项规划编制工作；负责统筹协调城市重大市政基础设施建设项目的推进；指导城镇供水（节水）、排水（污水）、道路、桥梁及相关配套设施的建设运营维护监督管理工作；指导海绵城市、综合管廊（管线）、黑臭水体、停车设施等建设管理（治理）工作；</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审批店招店牌户外广告牌；</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指导城市（县城）建成区防汛抗旱相关工作。</w:t>
      </w:r>
    </w:p>
    <w:p w14:paraId="13AD0A4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cs="仿宋_GB2312"/>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指导城市生态保护和修复、生物多样性保护、城市风貌管控、城市设计等工作；指导城市燃气、餐厨垃圾收集处理的监督管理工作。</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以及局党组安排的其他工作。</w:t>
      </w:r>
      <w:r>
        <w:rPr>
          <w:rFonts w:hint="eastAsia" w:ascii="仿宋_GB2312" w:hAnsi="仿宋_GB2312" w:cs="仿宋_GB2312"/>
          <w:color w:val="000000" w:themeColor="text1"/>
          <w:kern w:val="2"/>
          <w:sz w:val="32"/>
          <w:szCs w:val="32"/>
          <w:highlight w:val="none"/>
          <w:lang w:val="en-US" w:eastAsia="zh-CN"/>
          <w14:textFill>
            <w14:solidFill>
              <w14:schemeClr w14:val="tx1"/>
            </w14:solidFill>
          </w14:textFill>
        </w:rPr>
        <w:t>下属机构一个为马尔康市公用事业和市政建设服务中心。</w:t>
      </w:r>
    </w:p>
    <w:p w14:paraId="620640E5">
      <w:pPr>
        <w:pageBreakBefore w:val="0"/>
        <w:numPr>
          <w:ilvl w:val="0"/>
          <w:numId w:val="0"/>
        </w:numPr>
        <w:kinsoku/>
        <w:wordWrap/>
        <w:overflowPunct/>
        <w:topLinePunct w:val="0"/>
        <w:autoSpaceDE/>
        <w:autoSpaceDN/>
        <w:bidi w:val="0"/>
        <w:adjustRightInd/>
        <w:snapToGrid/>
        <w:spacing w:line="560" w:lineRule="exact"/>
        <w:ind w:left="0" w:firstLine="964" w:firstLineChars="300"/>
        <w:jc w:val="both"/>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pPr>
      <w:r>
        <w:rPr>
          <w:rFonts w:hint="eastAsia" w:ascii="仿宋_GB2312" w:hAnsi="仿宋_GB2312" w:cs="仿宋_GB2312"/>
          <w:b/>
          <w:bCs/>
          <w:color w:val="000000" w:themeColor="text1"/>
          <w:kern w:val="2"/>
          <w:sz w:val="32"/>
          <w:szCs w:val="32"/>
          <w:highlight w:val="none"/>
          <w:lang w:val="en-US" w:eastAsia="zh-CN"/>
          <w14:textFill>
            <w14:solidFill>
              <w14:schemeClr w14:val="tx1"/>
            </w14:solidFill>
          </w14:textFill>
        </w:rPr>
        <w:t>3、</w:t>
      </w:r>
      <w:r>
        <w:rPr>
          <w:rFonts w:hint="eastAsia" w:ascii="楷体_GB2312" w:hAnsi="楷体_GB2312" w:eastAsia="楷体_GB2312" w:cs="楷体_GB2312"/>
          <w:b/>
          <w:bCs/>
          <w:color w:val="000000" w:themeColor="text1"/>
          <w:kern w:val="2"/>
          <w:sz w:val="32"/>
          <w:szCs w:val="32"/>
          <w:highlight w:val="none"/>
          <w:lang w:eastAsia="zh-CN"/>
          <w14:textFill>
            <w14:solidFill>
              <w14:schemeClr w14:val="tx1"/>
            </w14:solidFill>
          </w14:textFill>
        </w:rPr>
        <w:t>住房保障股。</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部分职能转入村镇股后，</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拟订全市住房政策、规章制度并组织实施；指导全市住房建设和住房制度改革；执行进城定居农民的住房政策；参与制定物业服务企业资质标准实施办法并监督执行。负责全市廉租房等保障性住房</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和老旧小区</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的建设、发展规划、资金安排的监督实施。负责物业</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服务企业行业监督管理</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以及局党组安排的其他工作。</w:t>
      </w:r>
    </w:p>
    <w:p w14:paraId="5390C7AE">
      <w:pPr>
        <w:pStyle w:val="18"/>
        <w:pageBreakBefore w:val="0"/>
        <w:numPr>
          <w:ilvl w:val="0"/>
          <w:numId w:val="0"/>
        </w:numPr>
        <w:kinsoku/>
        <w:wordWrap/>
        <w:overflowPunct/>
        <w:topLinePunct w:val="0"/>
        <w:autoSpaceDE/>
        <w:autoSpaceDN/>
        <w:bidi w:val="0"/>
        <w:adjustRightInd/>
        <w:snapToGrid/>
        <w:spacing w:after="0" w:line="560" w:lineRule="exact"/>
        <w:ind w:left="0" w:firstLine="964" w:firstLineChars="3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4、城乡环境综合治理服务中心。</w:t>
      </w:r>
      <w:r>
        <w:rPr>
          <w:rFonts w:hint="eastAsia" w:ascii="仿宋_GB2312" w:hAnsi="仿宋_GB2312" w:eastAsia="仿宋_GB2312" w:cs="仿宋_GB2312"/>
          <w:color w:val="auto"/>
          <w:kern w:val="2"/>
          <w:sz w:val="32"/>
          <w:szCs w:val="32"/>
          <w:highlight w:val="none"/>
          <w:lang w:val="en-US" w:eastAsia="zh-CN" w:bidi="ar-SA"/>
        </w:rPr>
        <w:t>根据《中共阿坝州委机构编制委员会关于＜阿坝州城乡规划建设和住房保障局关于设立城乡环境综合治理机构配备人员的请示＞的批复》（阿编发2012）106号）批准：“各县设立城乡环境综合治理管理办公室，为县城乡规划建设和住房保障局直属副科级财政全额拨款事业单位，核定事业编制4名，副科级领导职数1名”。建议恢复城乡环境综合治理服务中心，负责贯彻执行省、州、市有关城乡环境综合治理的方针、政策和法规。负责省、州、市有关城乡环境综合治理专项工作的组织实施。负责督促检查全市城乡环境综合治理工作。负责完善全市城乡环境综合治理制度建设工作。负责指导协调全市城乡环境综合治理相关工作。成立后同时将城市治理委员会设在该中心。以及局党组安排的其他工作。</w:t>
      </w:r>
    </w:p>
    <w:p w14:paraId="472014D4">
      <w:pPr>
        <w:pStyle w:val="18"/>
        <w:pageBreakBefore w:val="0"/>
        <w:numPr>
          <w:ilvl w:val="0"/>
          <w:numId w:val="0"/>
        </w:numPr>
        <w:kinsoku/>
        <w:wordWrap/>
        <w:overflowPunct/>
        <w:topLinePunct w:val="0"/>
        <w:autoSpaceDE/>
        <w:autoSpaceDN/>
        <w:bidi w:val="0"/>
        <w:adjustRightInd/>
        <w:snapToGrid/>
        <w:spacing w:after="0" w:line="560" w:lineRule="exact"/>
        <w:ind w:firstLine="643" w:firstLineChars="200"/>
        <w:jc w:val="both"/>
        <w:rPr>
          <w:rFonts w:ascii="仿宋_GB2312" w:eastAsia="仿宋_GB2312"/>
          <w:color w:val="auto"/>
          <w:sz w:val="32"/>
          <w:szCs w:val="32"/>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5、村镇股。</w:t>
      </w:r>
      <w:r>
        <w:rPr>
          <w:rFonts w:hint="eastAsia" w:ascii="仿宋_GB2312" w:eastAsia="仿宋_GB2312"/>
          <w:color w:val="auto"/>
          <w:sz w:val="32"/>
          <w:szCs w:val="32"/>
          <w:lang w:val="en-US" w:eastAsia="zh-CN"/>
        </w:rPr>
        <w:t>新设立村镇股，负责</w:t>
      </w:r>
      <w:r>
        <w:rPr>
          <w:rFonts w:hint="eastAsia" w:ascii="仿宋_GB2312" w:eastAsia="仿宋_GB2312"/>
          <w:color w:val="auto"/>
          <w:sz w:val="32"/>
          <w:szCs w:val="32"/>
        </w:rPr>
        <w:t>指导乡镇和村庄建设工作；拟订村镇建设发展战略和政策并监督实施；组织村镇建设相关试点工作，指导全</w:t>
      </w:r>
      <w:r>
        <w:rPr>
          <w:rFonts w:hint="eastAsia" w:ascii="仿宋_GB2312" w:eastAsia="仿宋_GB2312"/>
          <w:color w:val="auto"/>
          <w:sz w:val="32"/>
          <w:szCs w:val="32"/>
          <w:lang w:val="en-US" w:eastAsia="zh-CN"/>
        </w:rPr>
        <w:t>市</w:t>
      </w:r>
      <w:r>
        <w:rPr>
          <w:rFonts w:hint="eastAsia" w:ascii="仿宋_GB2312" w:eastAsia="仿宋_GB2312"/>
          <w:color w:val="auto"/>
          <w:sz w:val="32"/>
          <w:szCs w:val="32"/>
        </w:rPr>
        <w:t>小城镇建设、传统村落建设工作；指导乡村建筑风貌引导、保护利用乡土建筑文化等工作；指导村镇生活垃圾处理及收转运处置管理等工作；指导农村住房建设、危旧房改造及农房建设管理人才培训等工作；承担历史文化名镇、名村的审核报批、保护和监督管理有关工作。</w:t>
      </w:r>
      <w:r>
        <w:rPr>
          <w:rFonts w:hint="eastAsia" w:ascii="仿宋_GB2312" w:eastAsia="仿宋_GB2312"/>
          <w:color w:val="auto"/>
          <w:sz w:val="32"/>
          <w:szCs w:val="32"/>
          <w:lang w:val="en-US" w:eastAsia="zh-CN"/>
        </w:rPr>
        <w:t>指导农村住房建设、危房改造管理。以及局党组安排的其他工作。</w:t>
      </w:r>
    </w:p>
    <w:p w14:paraId="38F4EE4C">
      <w:pPr>
        <w:pStyle w:val="11"/>
        <w:rPr>
          <w:rFonts w:hint="default"/>
          <w:lang w:val="en-US"/>
        </w:rPr>
      </w:pPr>
    </w:p>
    <w:p w14:paraId="7305BADF">
      <w:pPr>
        <w:pStyle w:val="6"/>
        <w:pageBreakBefore w:val="0"/>
        <w:kinsoku/>
        <w:wordWrap/>
        <w:overflowPunct/>
        <w:topLinePunct w:val="0"/>
        <w:autoSpaceDE/>
        <w:autoSpaceDN/>
        <w:bidi w:val="0"/>
        <w:adjustRightInd/>
        <w:snapToGrid/>
        <w:spacing w:after="0" w:line="560" w:lineRule="exact"/>
        <w:ind w:left="0" w:firstLine="602" w:firstLineChars="200"/>
        <w:jc w:val="both"/>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pPr>
      <w:r>
        <w:rPr>
          <w:rFonts w:hint="default" w:ascii="Times New Roman" w:hAnsi="Times New Roman" w:eastAsia="楷体_GB2312" w:cs="Times New Roman"/>
          <w:b/>
          <w:bCs/>
          <w:color w:val="000000"/>
          <w:kern w:val="0"/>
          <w:szCs w:val="32"/>
          <w:highlight w:val="none"/>
          <w:shd w:val="clear" w:color="auto" w:fill="FFFFFF"/>
          <w:lang w:val="zh-CN"/>
        </w:rPr>
        <w:t>（二）机构职能</w:t>
      </w:r>
      <w:r>
        <w:rPr>
          <w:rFonts w:hint="eastAsia" w:eastAsia="楷体_GB2312" w:cs="Times New Roman"/>
          <w:b/>
          <w:bCs/>
          <w:color w:val="000000"/>
          <w:kern w:val="0"/>
          <w:szCs w:val="32"/>
          <w:highlight w:val="none"/>
          <w:shd w:val="clear" w:color="auto" w:fill="FFFFFF"/>
          <w:lang w:val="zh-CN"/>
        </w:rPr>
        <w:t>。</w:t>
      </w:r>
      <w:r>
        <w:rPr>
          <w:rFonts w:hint="eastAsia" w:ascii="仿宋_GB2312" w:hAnsi="仿宋_GB2312" w:eastAsia="仿宋_GB2312" w:cs="仿宋_GB2312"/>
          <w:color w:val="000000" w:themeColor="text1"/>
          <w:sz w:val="32"/>
          <w:szCs w:val="32"/>
          <w14:textFill>
            <w14:solidFill>
              <w14:schemeClr w14:val="tx1"/>
            </w14:solidFill>
          </w14:textFill>
        </w:rPr>
        <w:t>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住建局</w:t>
      </w:r>
      <w:r>
        <w:rPr>
          <w:rFonts w:hint="eastAsia" w:ascii="仿宋_GB2312" w:hAnsi="仿宋_GB2312" w:eastAsia="仿宋_GB2312" w:cs="仿宋_GB2312"/>
          <w:color w:val="000000" w:themeColor="text1"/>
          <w:sz w:val="32"/>
          <w:szCs w:val="32"/>
          <w14:textFill>
            <w14:solidFill>
              <w14:schemeClr w14:val="tx1"/>
            </w14:solidFill>
          </w14:textFill>
        </w:rPr>
        <w:t>贯彻落实党中央关于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住房和城乡建设</w:t>
      </w:r>
      <w:r>
        <w:rPr>
          <w:rFonts w:hint="eastAsia" w:ascii="仿宋_GB2312" w:hAnsi="仿宋_GB2312" w:eastAsia="仿宋_GB2312" w:cs="仿宋_GB2312"/>
          <w:color w:val="000000" w:themeColor="text1"/>
          <w:sz w:val="32"/>
          <w:szCs w:val="32"/>
          <w14:textFill>
            <w14:solidFill>
              <w14:schemeClr w14:val="tx1"/>
            </w14:solidFill>
          </w14:textFill>
        </w:rPr>
        <w:t>工作的方针政策和省委、州委、市委的决策部署，在履行职责过程中坚持和加强党对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住房和城乡建设</w:t>
      </w:r>
      <w:r>
        <w:rPr>
          <w:rFonts w:hint="eastAsia" w:ascii="仿宋_GB2312" w:hAnsi="仿宋_GB2312" w:eastAsia="仿宋_GB2312" w:cs="仿宋_GB2312"/>
          <w:color w:val="000000" w:themeColor="text1"/>
          <w:sz w:val="32"/>
          <w:szCs w:val="32"/>
          <w14:textFill>
            <w14:solidFill>
              <w14:schemeClr w14:val="tx1"/>
            </w14:solidFill>
          </w14:textFill>
        </w:rPr>
        <w:t>工作的集中统一领导。主要职责是：</w:t>
      </w:r>
    </w:p>
    <w:p w14:paraId="114ACA3D">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一）贯彻执行国家、省、州住房保障和城乡建设、管理的法律法规和方针、政策。研究拟定住房保障、工程建设、城乡建设、建筑业、住宅与房地产业有关地方性法规和规章草案，负责本系统、本部门行政监管工作，落实行政监管责任制。</w:t>
      </w:r>
    </w:p>
    <w:p w14:paraId="47BB7241">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承担推进住房制度改革、保障城镇低收入家庭住房的责任。拟订全市住房及住房保障相关政策并指导实施，指导住房建设和住房制度改革。拟订公共租赁住房规划及政策，会同有关部门做好国家、省、州、市有关公共租赁住房资金使用监管并组织实施公共租赁住房建设。</w:t>
      </w:r>
    </w:p>
    <w:p w14:paraId="7C815820">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三）承担建立全市工程建设标准体系的责任。组织实施工程建设实施阶段的国家标准、四川省统一定额和行业标准定额，拟订建设项目可行性研究评价方法、经济参数、建设标准和工程造价的管理制度，指导监督各类工程建设标准定额的实施和工程造价计价，组织发布工程造价信息。</w:t>
      </w:r>
    </w:p>
    <w:p w14:paraId="4164761A">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四）承担规范房地产市场秩序、监督管理房地产市场的责任。会同有关部门组织拟订房地产市场监督管理政策并监督执行，贯彻执行房地产业的行业发展规划和产业政策，负责房地产开发、房产交易、房屋租赁、房屋面积管理、危房评定、白蚁防治、房地产估价与经纪管理、物业管理、国有土地上房屋征收拆迁的工作。</w:t>
      </w:r>
    </w:p>
    <w:p w14:paraId="5F3F5D87">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五）承担监督管理建筑市场、规范市场各方主体行为的责任。指导全市建筑活动，拟订工程建设、建筑业发展战略、中长期规划、改革方案、产业政策、规章制度并监督执行。配合相关部门开展房屋建筑和市政基础设施工程项目招投标活动的监督。拟订建设工程施工、监理以及规范建筑市场各方主体行为的规章制度并监督执行。负责房屋建筑工程和市政基础设施工程防雷装置设计审核以及建设工程消防设计审查验收。负责建筑工程质量安全的监督管理工作，拟订建筑工程质量、建筑安全生产和竣工验收备案的政策、规章制度并监督执行，组织或参与工程重大质量、安全事故的调查处理。</w:t>
      </w:r>
    </w:p>
    <w:p w14:paraId="2D20C22E">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六）承担指导城市勘察和市政工程测量建设工程的责任。拟订勘察设计咨询业发展规划、产业及技术政策；拟订规范勘察设计咨询市场各方主体行为的规章制度并监督实施。指导建设工程抗震设防工作，组织开展城镇建筑物抗震性能普查、鉴定加固和改造工作，指导村镇和农村建设抗震工作。</w:t>
      </w:r>
    </w:p>
    <w:p w14:paraId="4520E85F">
      <w:pPr>
        <w:pStyle w:val="6"/>
        <w:pageBreakBefore w:val="0"/>
        <w:numPr>
          <w:ilvl w:val="0"/>
          <w:numId w:val="6"/>
        </w:numPr>
        <w:kinsoku/>
        <w:wordWrap/>
        <w:overflowPunct/>
        <w:topLinePunct w:val="0"/>
        <w:autoSpaceDE/>
        <w:autoSpaceDN/>
        <w:bidi w:val="0"/>
        <w:adjustRightInd/>
        <w:snapToGrid/>
        <w:spacing w:after="0" w:line="560" w:lineRule="exact"/>
        <w:ind w:left="0" w:firstLine="72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承担指导城镇建设管理的责任。拟订城镇建设的政策并指导实施，指导城镇排涝工作，指导城镇建设档案管理工作。负责统筹协调城市重大市政基础设施建设项目的推进；指导城镇供水（节水）、排水（污水）、道路、桥梁及相关配套设施的建设运营维护监督管理工作；综合管廊（管线）、黑臭水体、停车设施等建设管理（治理）工作；指导城市（县城）建成区防汛抗旱相关工作。</w:t>
      </w:r>
    </w:p>
    <w:p w14:paraId="3C089F94">
      <w:pPr>
        <w:pStyle w:val="6"/>
        <w:pageBreakBefore w:val="0"/>
        <w:kinsoku/>
        <w:wordWrap/>
        <w:overflowPunct/>
        <w:topLinePunct w:val="0"/>
        <w:autoSpaceDE/>
        <w:autoSpaceDN/>
        <w:bidi w:val="0"/>
        <w:adjustRightInd/>
        <w:snapToGrid/>
        <w:spacing w:after="0" w:line="560" w:lineRule="exact"/>
        <w:ind w:left="0" w:firstLine="721"/>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承担规范和指导村镇建设的责任。拟订村庄和小城镇建设政策并指导实施，农村住房建设管理和危房改造，指导小城镇环境改善、传统村落建设工作，指导和组织各类村镇建设试点工作，指导乡村生活垃圾处理及收转运处置管理等工作，指导受灾村镇及国家大型重点建设项目地区村镇迁建、重建的管理工作。</w:t>
      </w:r>
    </w:p>
    <w:p w14:paraId="47494677">
      <w:pPr>
        <w:pageBreakBefore w:val="0"/>
        <w:kinsoku/>
        <w:wordWrap/>
        <w:overflowPunct/>
        <w:topLinePunct w:val="0"/>
        <w:autoSpaceDE/>
        <w:autoSpaceDN/>
        <w:bidi w:val="0"/>
        <w:adjustRightInd/>
        <w:snapToGrid/>
        <w:spacing w:line="560" w:lineRule="exact"/>
        <w:ind w:left="0" w:firstLine="640" w:firstLineChars="200"/>
        <w:jc w:val="both"/>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（九）指导城市生态保护和修复、生物多样性保护、城市风貌管控、城市设计等工作；指导城市燃气、餐厨垃圾收集处理的监督管理工作。</w:t>
      </w:r>
    </w:p>
    <w:p w14:paraId="54BF1F01">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承担推进建筑节能、城镇减排的责任。会同有关部门拟订建筑节能政策、规划并监督实施，组织实施重大建筑节能项目，推进城镇减排。组织实施重点科技项目成果转化工作。承担推进墙体材料革新的责任。</w:t>
      </w:r>
    </w:p>
    <w:p w14:paraId="113EADFA">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一）制定建设行业人才培养和教育发展规划并组织实施，指导建设行业科技人才队伍建设和执业资格管理工作。负责住房和城乡建设系统的信访工作，督查督办重大信访案件。开展住房和城乡建设方面的交流与合作。指导行业廉政建设、诚信体系建设、社会保险、劳动标准和专业技术职称工作。</w:t>
      </w:r>
    </w:p>
    <w:p w14:paraId="2EC6C70E">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二）在城乡建设管理中严格执行城乡规划、工程勘察、设计、施工、监理和竣工验收的国家标准、规范，严格执行安全生产的强制性规定，依法保障安全生产的措施作为核发施工许可的重要条件。负责制定完善建筑安全生产监督管理规定并监督执行，对房屋建筑和市政工程施工的安全生产进行监督管理。负责对房屋建筑和市政基础设施工程施工场地用施工起重机械、专用机动车辆的安装、使用进行监督管理。</w:t>
      </w:r>
    </w:p>
    <w:p w14:paraId="54DE091D">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 xml:space="preserve">（十三）负责职责范围内的职业健康、安全生产、生态环境保护、审批服务便民化工作。 </w:t>
      </w:r>
    </w:p>
    <w:p w14:paraId="5187A512">
      <w:pPr>
        <w:pStyle w:val="18"/>
        <w:pageBreakBefore w:val="0"/>
        <w:numPr>
          <w:ilvl w:val="0"/>
          <w:numId w:val="0"/>
        </w:numPr>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十四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负责贯彻执行省、州、市有关城乡环境综合治理的方针、政策和法规。负责省、州、市有关城乡环境综合治理专项工作的组织实施。负责督促检查全市城乡环境综合治理工作。负责完善全市城乡环境综合治理制度建设工作。负责指导协调全市城乡环境综合治理相关工作。  </w:t>
      </w:r>
    </w:p>
    <w:p w14:paraId="644F661B">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）完成市委和市政府交办的其他任务。</w:t>
      </w:r>
    </w:p>
    <w:p w14:paraId="100FD743">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）职能转变。</w:t>
      </w:r>
    </w:p>
    <w:p w14:paraId="49CD2969">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常态化建立健全与相关职能部门的协作配合机制；坚持以新发展理念为指引，推动城乡建设和住房管理高质量发展。坚持“以项目促管理、以行业促产业”，提升重大项目建设管理统筹力度，强化建筑质量及安全管控，加快发展绿色、环保、节能、智慧建筑，稳步推进成品住宅，积极推进住宅产业化，不断优化人居环境，深入推进供给侧结构性改革，健全市场体系和保障体系，稳步推动房地产市场监管由单一的行政管控向综合施政转变，促进房地产市场稳步健康发展。继续推进“放管服”改革，强化事中事后监管，运用信用评价监管体系，提升服务效能，构建公正高效营商环境。</w:t>
      </w:r>
    </w:p>
    <w:p w14:paraId="45C57CCF">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strike w:val="0"/>
          <w:dstrike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十七</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trike w:val="0"/>
          <w:dstrike w:val="0"/>
          <w:color w:val="000000" w:themeColor="text1"/>
          <w:sz w:val="32"/>
          <w:szCs w:val="32"/>
          <w:highlight w:val="none"/>
          <w:lang w:val="en-US" w:eastAsia="zh-CN"/>
          <w14:textFill>
            <w14:solidFill>
              <w14:schemeClr w14:val="tx1"/>
            </w14:solidFill>
          </w14:textFill>
        </w:rPr>
        <w:t>有关职责分工</w:t>
      </w:r>
    </w:p>
    <w:p w14:paraId="356F07F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1.与市行政审批局的有关职责分工：市行政审批局负责划转行政审批事项的审批；市住建局负责划转事项的事中事后监管，并对市行政审批局行政审批行为实施监督。</w:t>
      </w:r>
    </w:p>
    <w:p w14:paraId="2F885576">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2.与市公用事业服务中心的有关职责分工：市公用事业服务中心负责建设完成后的城市道路、桥梁、井盖治理等的市政建设管理维护工作；市住建局负责新建、改建、扩建城市道路等的市政建设工作。</w:t>
      </w:r>
    </w:p>
    <w:p w14:paraId="54CFDA81">
      <w:pPr>
        <w:pStyle w:val="18"/>
        <w:pageBreakBefore w:val="0"/>
        <w:kinsoku/>
        <w:wordWrap/>
        <w:overflowPunct/>
        <w:topLinePunct w:val="0"/>
        <w:autoSpaceDE/>
        <w:autoSpaceDN/>
        <w:bidi w:val="0"/>
        <w:adjustRightInd/>
        <w:snapToGrid/>
        <w:spacing w:after="0" w:line="560" w:lineRule="exact"/>
        <w:ind w:left="0"/>
        <w:jc w:val="both"/>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3.与市城市管理行政执法局的有关职责分工：市城市管理行政执法局根据划转行政处罚权事项，负责日常监督检查和违规违法行为查处工作；市住建局负责行业领域行政监督工作。</w:t>
      </w:r>
    </w:p>
    <w:p w14:paraId="22B4EA6B">
      <w:pPr>
        <w:pStyle w:val="18"/>
        <w:pageBreakBefore w:val="0"/>
        <w:kinsoku/>
        <w:wordWrap/>
        <w:overflowPunct/>
        <w:topLinePunct w:val="0"/>
        <w:autoSpaceDE/>
        <w:autoSpaceDN/>
        <w:bidi w:val="0"/>
        <w:adjustRightInd/>
        <w:snapToGrid/>
        <w:spacing w:after="0" w:line="560" w:lineRule="exact"/>
        <w:ind w:left="0"/>
        <w:jc w:val="both"/>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4.与市气象局的有关职责分工：市气象局负责房屋建筑工程和市政基础设施工程防雷日常监督管理、巡查、执法；市住建局负责房屋建筑工程和市政基础设施工程防雷装置设计审核、竣工验收许可。</w:t>
      </w:r>
    </w:p>
    <w:p w14:paraId="1D71572B">
      <w:pPr>
        <w:pStyle w:val="18"/>
        <w:pageBreakBefore w:val="0"/>
        <w:kinsoku/>
        <w:wordWrap/>
        <w:overflowPunct/>
        <w:topLinePunct w:val="0"/>
        <w:autoSpaceDE/>
        <w:autoSpaceDN/>
        <w:bidi w:val="0"/>
        <w:adjustRightInd/>
        <w:snapToGrid/>
        <w:spacing w:after="0" w:line="560" w:lineRule="exact"/>
        <w:ind w:left="0"/>
        <w:jc w:val="both"/>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5.与市公安消防部门的有关职责分工：市公安消防部门负责建设工程消防日常监督管理、巡查、执法；市住建局负责建设工程消防设计审查验收。</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 xml:space="preserve"> </w:t>
      </w:r>
    </w:p>
    <w:p w14:paraId="7CF2922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zh-CN"/>
        </w:rPr>
      </w:pPr>
      <w:r>
        <w:rPr>
          <w:rFonts w:hint="default"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lang w:val="zh-CN"/>
        </w:rPr>
        <w:t>三</w:t>
      </w:r>
      <w:r>
        <w:rPr>
          <w:rFonts w:hint="default" w:ascii="楷体_GB2312" w:hAnsi="楷体_GB2312" w:eastAsia="楷体_GB2312" w:cs="楷体_GB2312"/>
          <w:b/>
          <w:bCs/>
          <w:sz w:val="32"/>
          <w:szCs w:val="32"/>
          <w:lang w:val="zh-CN"/>
        </w:rPr>
        <w:t>）人员概况</w:t>
      </w:r>
      <w:r>
        <w:rPr>
          <w:rFonts w:hint="eastAsia" w:ascii="楷体_GB2312" w:hAnsi="楷体_GB2312" w:eastAsia="楷体_GB2312" w:cs="楷体_GB2312"/>
          <w:b/>
          <w:bCs/>
          <w:sz w:val="32"/>
          <w:szCs w:val="32"/>
          <w:lang w:val="zh-CN"/>
        </w:rPr>
        <w:t>。</w:t>
      </w:r>
    </w:p>
    <w:p w14:paraId="5B715661">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default" w:cs="仿宋"/>
          <w:sz w:val="30"/>
          <w:szCs w:val="30"/>
          <w:lang w:val="zh-CN"/>
        </w:rPr>
      </w:pPr>
      <w:r>
        <w:rPr>
          <w:rFonts w:hint="default" w:cs="仿宋"/>
          <w:sz w:val="30"/>
          <w:szCs w:val="30"/>
        </w:rPr>
        <w:t>截至202</w:t>
      </w:r>
      <w:r>
        <w:rPr>
          <w:rFonts w:hint="eastAsia" w:cs="仿宋"/>
          <w:sz w:val="30"/>
          <w:szCs w:val="30"/>
          <w:lang w:val="en-US" w:eastAsia="zh-CN"/>
        </w:rPr>
        <w:t>4</w:t>
      </w:r>
      <w:r>
        <w:rPr>
          <w:rFonts w:hint="default" w:cs="仿宋"/>
          <w:sz w:val="30"/>
          <w:szCs w:val="30"/>
        </w:rPr>
        <w:t>年末，</w:t>
      </w:r>
      <w:r>
        <w:rPr>
          <w:rFonts w:hint="eastAsia" w:cs="仿宋"/>
          <w:sz w:val="30"/>
          <w:szCs w:val="30"/>
          <w:lang w:val="en-US" w:eastAsia="zh-CN"/>
        </w:rPr>
        <w:t>马尔康市住房和城乡建设局</w:t>
      </w:r>
      <w:r>
        <w:rPr>
          <w:rFonts w:hint="default" w:cs="仿宋"/>
          <w:sz w:val="30"/>
          <w:szCs w:val="30"/>
        </w:rPr>
        <w:t>及下属单位编制</w:t>
      </w:r>
      <w:r>
        <w:rPr>
          <w:rFonts w:hint="eastAsia" w:cs="仿宋"/>
          <w:sz w:val="30"/>
          <w:szCs w:val="30"/>
          <w:lang w:eastAsia="zh-CN"/>
        </w:rPr>
        <w:t>情况及</w:t>
      </w:r>
      <w:r>
        <w:rPr>
          <w:rFonts w:hint="default" w:cs="仿宋"/>
          <w:sz w:val="30"/>
          <w:szCs w:val="30"/>
        </w:rPr>
        <w:t>年</w:t>
      </w:r>
      <w:r>
        <w:rPr>
          <w:rFonts w:hint="default" w:cs="仿宋"/>
          <w:sz w:val="30"/>
          <w:szCs w:val="30"/>
          <w:lang w:val="zh-CN"/>
        </w:rPr>
        <w:t>末实有人数</w:t>
      </w:r>
      <w:r>
        <w:rPr>
          <w:rFonts w:hint="eastAsia" w:cs="仿宋"/>
          <w:sz w:val="30"/>
          <w:szCs w:val="30"/>
          <w:lang w:val="en-US" w:eastAsia="zh-CN"/>
        </w:rPr>
        <w:t>52，其中临聘人员8人。</w:t>
      </w:r>
    </w:p>
    <w:p w14:paraId="6B6AAFB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sz w:val="32"/>
          <w:szCs w:val="32"/>
          <w:lang w:val="zh-CN"/>
        </w:rPr>
      </w:pPr>
      <w:r>
        <w:rPr>
          <w:rFonts w:hint="default" w:ascii="楷体_GB2312" w:hAnsi="楷体_GB2312" w:eastAsia="楷体_GB2312" w:cs="楷体_GB2312"/>
          <w:b/>
          <w:bCs/>
          <w:sz w:val="32"/>
          <w:szCs w:val="32"/>
          <w:lang w:val="zh-CN"/>
        </w:rPr>
        <w:t>二、</w:t>
      </w:r>
      <w:r>
        <w:rPr>
          <w:rFonts w:hint="default" w:ascii="楷体_GB2312" w:hAnsi="楷体_GB2312" w:eastAsia="楷体_GB2312" w:cs="楷体_GB2312"/>
          <w:b/>
          <w:bCs/>
          <w:sz w:val="32"/>
          <w:szCs w:val="32"/>
          <w:lang w:val="zh-CN" w:eastAsia="zh-CN"/>
        </w:rPr>
        <w:t>部门</w:t>
      </w:r>
      <w:r>
        <w:rPr>
          <w:rFonts w:hint="default" w:ascii="楷体_GB2312" w:hAnsi="楷体_GB2312" w:eastAsia="楷体_GB2312" w:cs="楷体_GB2312"/>
          <w:b/>
          <w:bCs/>
          <w:sz w:val="32"/>
          <w:szCs w:val="32"/>
          <w:lang w:val="zh-CN"/>
        </w:rPr>
        <w:t>资金收支情况</w:t>
      </w:r>
    </w:p>
    <w:p w14:paraId="5B9D682A">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eastAsia="zh-CN" w:bidi="ar-SA"/>
        </w:rPr>
        <w:t>（一）</w:t>
      </w:r>
      <w:r>
        <w:rPr>
          <w:rFonts w:hint="eastAsia" w:ascii="Times New Roman" w:hAnsi="Times New Roman" w:eastAsia="楷体_GB2312" w:cs="Times New Roman"/>
          <w:b/>
          <w:bCs/>
          <w:color w:val="000000"/>
          <w:kern w:val="0"/>
          <w:sz w:val="32"/>
          <w:szCs w:val="32"/>
          <w:highlight w:val="none"/>
          <w:shd w:val="clear" w:color="auto" w:fill="FFFFFF"/>
          <w:lang w:val="zh-CN" w:eastAsia="zh-CN" w:bidi="ar-SA"/>
        </w:rPr>
        <w:t>收入情况</w:t>
      </w:r>
      <w:r>
        <w:rPr>
          <w:rFonts w:hint="default" w:ascii="Times New Roman" w:hAnsi="Times New Roman" w:eastAsia="楷体_GB2312" w:cs="Times New Roman"/>
          <w:b/>
          <w:bCs/>
          <w:color w:val="000000"/>
          <w:kern w:val="0"/>
          <w:sz w:val="32"/>
          <w:szCs w:val="32"/>
          <w:highlight w:val="none"/>
          <w:shd w:val="clear" w:color="auto" w:fill="FFFFFF"/>
          <w:lang w:val="zh-CN" w:eastAsia="zh-CN" w:bidi="ar-SA"/>
        </w:rPr>
        <w:t>。</w:t>
      </w:r>
    </w:p>
    <w:p w14:paraId="13E45CB7">
      <w:pPr>
        <w:keepNext w:val="0"/>
        <w:keepLines w:val="0"/>
        <w:pageBreakBefore w:val="0"/>
        <w:widowControl/>
        <w:kinsoku/>
        <w:wordWrap/>
        <w:overflowPunct/>
        <w:topLinePunct w:val="0"/>
        <w:autoSpaceDE/>
        <w:autoSpaceDN/>
        <w:bidi w:val="0"/>
        <w:adjustRightInd w:val="0"/>
        <w:snapToGrid w:val="0"/>
        <w:spacing w:line="578" w:lineRule="exact"/>
        <w:ind w:firstLine="600" w:firstLineChars="200"/>
        <w:contextualSpacing/>
        <w:jc w:val="left"/>
        <w:textAlignment w:val="auto"/>
        <w:outlineLvl w:val="9"/>
        <w:rPr>
          <w:rFonts w:cs="仿宋"/>
          <w:sz w:val="30"/>
          <w:szCs w:val="30"/>
        </w:rPr>
      </w:pPr>
      <w:r>
        <w:rPr>
          <w:rFonts w:cs="仿宋"/>
          <w:sz w:val="30"/>
          <w:szCs w:val="30"/>
        </w:rPr>
        <w:t>本单位</w:t>
      </w:r>
      <w:r>
        <w:rPr>
          <w:rFonts w:hint="eastAsia" w:cs="仿宋"/>
          <w:sz w:val="30"/>
          <w:szCs w:val="30"/>
          <w:lang w:val="en-US" w:eastAsia="zh-CN"/>
        </w:rPr>
        <w:t>2024年</w:t>
      </w:r>
      <w:r>
        <w:rPr>
          <w:rFonts w:cs="仿宋"/>
          <w:sz w:val="30"/>
          <w:szCs w:val="30"/>
        </w:rPr>
        <w:t>收入全年预算数为</w:t>
      </w:r>
      <w:r>
        <w:rPr>
          <w:rFonts w:hint="eastAsia" w:cs="仿宋"/>
          <w:sz w:val="30"/>
          <w:szCs w:val="30"/>
          <w:lang w:val="en-US" w:eastAsia="zh-CN"/>
        </w:rPr>
        <w:t>20600.56</w:t>
      </w:r>
      <w:r>
        <w:rPr>
          <w:rFonts w:cs="仿宋"/>
          <w:sz w:val="30"/>
          <w:szCs w:val="30"/>
        </w:rPr>
        <w:t>万元，收入决算数为</w:t>
      </w:r>
      <w:r>
        <w:rPr>
          <w:rFonts w:hint="eastAsia" w:cs="仿宋"/>
          <w:sz w:val="30"/>
          <w:szCs w:val="30"/>
          <w:lang w:val="en-US" w:eastAsia="zh-CN"/>
        </w:rPr>
        <w:t>20600.56</w:t>
      </w:r>
      <w:r>
        <w:rPr>
          <w:rFonts w:cs="仿宋"/>
          <w:sz w:val="30"/>
          <w:szCs w:val="30"/>
        </w:rPr>
        <w:t>万元，预算完成度为100.00%，上年度预算完成度为100.00%。</w:t>
      </w:r>
    </w:p>
    <w:p w14:paraId="5BB05037">
      <w:pPr>
        <w:pStyle w:val="38"/>
        <w:numPr>
          <w:ilvl w:val="0"/>
          <w:numId w:val="7"/>
        </w:numPr>
        <w:spacing w:before="0" w:beforeAutospacing="0"/>
        <w:ind w:firstLine="643" w:firstLineChars="200"/>
        <w:rPr>
          <w:rFonts w:hint="default" w:ascii="Times New Roman" w:hAnsi="Times New Roman" w:eastAsia="楷体_GB2312" w:cs="Times New Roman"/>
          <w:b/>
          <w:bCs/>
          <w:color w:val="000000"/>
          <w:kern w:val="0"/>
          <w:sz w:val="32"/>
          <w:szCs w:val="32"/>
          <w:highlight w:val="none"/>
          <w:shd w:val="clear" w:color="auto" w:fill="FFFFFF"/>
          <w:lang w:val="zh-CN" w:eastAsia="zh-CN" w:bidi="ar-SA"/>
        </w:rPr>
      </w:pPr>
      <w:r>
        <w:rPr>
          <w:rFonts w:hint="eastAsia" w:ascii="Times New Roman" w:hAnsi="Times New Roman" w:eastAsia="楷体_GB2312" w:cs="Times New Roman"/>
          <w:b/>
          <w:bCs/>
          <w:color w:val="000000"/>
          <w:kern w:val="0"/>
          <w:sz w:val="32"/>
          <w:szCs w:val="32"/>
          <w:highlight w:val="none"/>
          <w:shd w:val="clear" w:color="auto" w:fill="FFFFFF"/>
          <w:lang w:val="zh-CN" w:eastAsia="zh-CN" w:bidi="ar-SA"/>
        </w:rPr>
        <w:t>支出情况</w:t>
      </w:r>
      <w:r>
        <w:rPr>
          <w:rFonts w:hint="default" w:ascii="Times New Roman" w:hAnsi="Times New Roman" w:eastAsia="楷体_GB2312" w:cs="Times New Roman"/>
          <w:b/>
          <w:bCs/>
          <w:color w:val="000000"/>
          <w:kern w:val="0"/>
          <w:sz w:val="32"/>
          <w:szCs w:val="32"/>
          <w:highlight w:val="none"/>
          <w:shd w:val="clear" w:color="auto" w:fill="FFFFFF"/>
          <w:lang w:val="zh-CN" w:eastAsia="zh-CN" w:bidi="ar-SA"/>
        </w:rPr>
        <w:t>。</w:t>
      </w:r>
    </w:p>
    <w:p w14:paraId="35380319">
      <w:pPr>
        <w:pStyle w:val="38"/>
        <w:numPr>
          <w:ilvl w:val="0"/>
          <w:numId w:val="0"/>
        </w:numPr>
        <w:spacing w:before="0" w:beforeAutospacing="0"/>
        <w:ind w:right="0" w:rightChars="0" w:firstLine="600" w:firstLineChars="200"/>
        <w:rPr>
          <w:rFonts w:hint="default" w:ascii="Times New Roman" w:hAnsi="Times New Roman" w:eastAsia="宋体" w:cs="仿宋"/>
          <w:color w:val="auto"/>
          <w:kern w:val="2"/>
          <w:sz w:val="30"/>
          <w:szCs w:val="30"/>
          <w:lang w:val="en-US" w:eastAsia="zh-CN" w:bidi="ar-SA"/>
        </w:rPr>
      </w:pPr>
      <w:r>
        <w:rPr>
          <w:rFonts w:hint="default" w:ascii="Times New Roman" w:hAnsi="Times New Roman" w:eastAsia="宋体" w:cs="仿宋"/>
          <w:color w:val="auto"/>
          <w:kern w:val="2"/>
          <w:sz w:val="30"/>
          <w:szCs w:val="30"/>
          <w:lang w:val="en-US" w:eastAsia="zh-CN" w:bidi="ar-SA"/>
        </w:rPr>
        <w:t>本单位</w:t>
      </w:r>
      <w:r>
        <w:rPr>
          <w:rFonts w:hint="eastAsia" w:ascii="Times New Roman" w:hAnsi="Times New Roman" w:eastAsia="宋体" w:cs="仿宋"/>
          <w:color w:val="auto"/>
          <w:kern w:val="2"/>
          <w:sz w:val="30"/>
          <w:szCs w:val="30"/>
          <w:lang w:val="en-US" w:eastAsia="zh-CN" w:bidi="ar-SA"/>
        </w:rPr>
        <w:t>2024年</w:t>
      </w:r>
      <w:r>
        <w:rPr>
          <w:rFonts w:hint="default" w:ascii="Times New Roman" w:hAnsi="Times New Roman" w:eastAsia="宋体" w:cs="仿宋"/>
          <w:color w:val="auto"/>
          <w:kern w:val="2"/>
          <w:sz w:val="30"/>
          <w:szCs w:val="30"/>
          <w:lang w:val="en-US" w:eastAsia="zh-CN" w:bidi="ar-SA"/>
        </w:rPr>
        <w:t>支出全年预算数为</w:t>
      </w:r>
      <w:r>
        <w:rPr>
          <w:rFonts w:hint="eastAsia" w:ascii="Times New Roman" w:hAnsi="Times New Roman" w:eastAsia="宋体" w:cs="仿宋"/>
          <w:color w:val="auto"/>
          <w:kern w:val="2"/>
          <w:sz w:val="30"/>
          <w:szCs w:val="30"/>
          <w:lang w:val="en-US" w:eastAsia="zh-CN" w:bidi="ar-SA"/>
        </w:rPr>
        <w:t>20600.56</w:t>
      </w:r>
      <w:r>
        <w:rPr>
          <w:rFonts w:hint="default" w:ascii="Times New Roman" w:hAnsi="Times New Roman" w:eastAsia="宋体" w:cs="仿宋"/>
          <w:color w:val="auto"/>
          <w:kern w:val="2"/>
          <w:sz w:val="30"/>
          <w:szCs w:val="30"/>
          <w:lang w:val="en-US" w:eastAsia="zh-CN" w:bidi="ar-SA"/>
        </w:rPr>
        <w:t>万元，支出决算数为</w:t>
      </w:r>
      <w:r>
        <w:rPr>
          <w:rFonts w:hint="eastAsia" w:ascii="Times New Roman" w:hAnsi="Times New Roman" w:eastAsia="宋体" w:cs="仿宋"/>
          <w:color w:val="auto"/>
          <w:kern w:val="2"/>
          <w:sz w:val="30"/>
          <w:szCs w:val="30"/>
          <w:lang w:val="en-US" w:eastAsia="zh-CN" w:bidi="ar-SA"/>
        </w:rPr>
        <w:t>20600.56</w:t>
      </w:r>
      <w:r>
        <w:rPr>
          <w:rFonts w:hint="default" w:ascii="Times New Roman" w:hAnsi="Times New Roman" w:eastAsia="宋体" w:cs="仿宋"/>
          <w:color w:val="auto"/>
          <w:kern w:val="2"/>
          <w:sz w:val="30"/>
          <w:szCs w:val="30"/>
          <w:lang w:val="en-US" w:eastAsia="zh-CN" w:bidi="ar-SA"/>
        </w:rPr>
        <w:t>万元，预算完成度为100.00%，上年度预算完成度为100.00%。</w:t>
      </w:r>
    </w:p>
    <w:p w14:paraId="10507408">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lang w:eastAsia="zh-CN"/>
        </w:rPr>
      </w:pPr>
      <w:r>
        <w:rPr>
          <w:rFonts w:hint="default"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lang w:val="zh-CN"/>
        </w:rPr>
        <w:t>三</w:t>
      </w:r>
      <w:r>
        <w:rPr>
          <w:rFonts w:hint="default" w:ascii="楷体_GB2312" w:hAnsi="楷体_GB2312" w:eastAsia="楷体_GB2312" w:cs="楷体_GB2312"/>
          <w:b/>
          <w:bCs/>
          <w:sz w:val="32"/>
          <w:szCs w:val="32"/>
          <w:lang w:val="zh-CN"/>
        </w:rPr>
        <w:t>）</w:t>
      </w:r>
      <w:r>
        <w:rPr>
          <w:rFonts w:hint="default" w:ascii="楷体_GB2312" w:hAnsi="楷体_GB2312" w:eastAsia="楷体_GB2312" w:cs="楷体_GB2312"/>
          <w:b/>
          <w:bCs/>
          <w:sz w:val="32"/>
          <w:szCs w:val="32"/>
        </w:rPr>
        <w:t>结余分配和结转结余情况</w:t>
      </w:r>
      <w:r>
        <w:rPr>
          <w:rFonts w:hint="eastAsia" w:ascii="楷体_GB2312" w:hAnsi="楷体_GB2312" w:eastAsia="楷体_GB2312" w:cs="楷体_GB2312"/>
          <w:b/>
          <w:bCs/>
          <w:sz w:val="32"/>
          <w:szCs w:val="32"/>
          <w:lang w:eastAsia="zh-CN"/>
        </w:rPr>
        <w:t>。</w:t>
      </w:r>
    </w:p>
    <w:p w14:paraId="0331A1C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本部门2024年决算报表无结转结余情况。</w:t>
      </w:r>
    </w:p>
    <w:p w14:paraId="7795F5EE">
      <w:pPr>
        <w:pStyle w:val="11"/>
        <w:rPr>
          <w:rFonts w:hint="default"/>
          <w:lang w:val="zh-CN" w:eastAsia="zh-CN"/>
        </w:rPr>
      </w:pPr>
    </w:p>
    <w:p w14:paraId="2C3914D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三、部门</w:t>
      </w:r>
      <w:r>
        <w:rPr>
          <w:rFonts w:hint="default" w:ascii="仿宋_GB2312" w:hAnsi="仿宋_GB2312" w:eastAsia="仿宋_GB2312" w:cs="仿宋_GB2312"/>
          <w:sz w:val="32"/>
          <w:szCs w:val="32"/>
          <w:lang w:eastAsia="zh-CN"/>
        </w:rPr>
        <w:t>预算</w:t>
      </w:r>
      <w:r>
        <w:rPr>
          <w:rFonts w:hint="default" w:ascii="仿宋_GB2312" w:hAnsi="仿宋_GB2312" w:eastAsia="仿宋_GB2312" w:cs="仿宋_GB2312"/>
          <w:sz w:val="32"/>
          <w:szCs w:val="32"/>
        </w:rPr>
        <w:t>绩效</w:t>
      </w:r>
      <w:r>
        <w:rPr>
          <w:rFonts w:hint="default" w:ascii="仿宋_GB2312" w:hAnsi="仿宋_GB2312" w:eastAsia="仿宋_GB2312" w:cs="仿宋_GB2312"/>
          <w:sz w:val="32"/>
          <w:szCs w:val="32"/>
          <w:lang w:eastAsia="zh-CN"/>
        </w:rPr>
        <w:t>分析</w:t>
      </w:r>
    </w:p>
    <w:p w14:paraId="08619C3C">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hint="default" w:ascii="楷体_GB2312" w:hAnsi="楷体_GB2312" w:eastAsia="楷体_GB2312" w:cs="楷体_GB2312"/>
          <w:b/>
          <w:bCs/>
          <w:sz w:val="32"/>
          <w:szCs w:val="32"/>
          <w:lang w:val="zh-CN"/>
        </w:rPr>
      </w:pPr>
      <w:r>
        <w:rPr>
          <w:rFonts w:hint="default" w:ascii="楷体_GB2312" w:hAnsi="楷体_GB2312" w:eastAsia="楷体_GB2312" w:cs="楷体_GB2312"/>
          <w:b/>
          <w:bCs/>
          <w:sz w:val="32"/>
          <w:szCs w:val="32"/>
          <w:lang w:val="zh-CN"/>
        </w:rPr>
        <w:t>（一）</w:t>
      </w:r>
      <w:r>
        <w:rPr>
          <w:rFonts w:hint="eastAsia" w:ascii="楷体_GB2312" w:hAnsi="楷体_GB2312" w:eastAsia="楷体_GB2312" w:cs="楷体_GB2312"/>
          <w:b/>
          <w:bCs/>
          <w:sz w:val="32"/>
          <w:szCs w:val="32"/>
          <w:lang w:val="zh-CN"/>
        </w:rPr>
        <w:t>部门预算</w:t>
      </w:r>
      <w:r>
        <w:rPr>
          <w:rFonts w:hint="default" w:ascii="楷体_GB2312" w:hAnsi="楷体_GB2312" w:eastAsia="楷体_GB2312" w:cs="楷体_GB2312"/>
          <w:b/>
          <w:bCs/>
          <w:sz w:val="32"/>
          <w:szCs w:val="32"/>
          <w:lang w:val="zh-CN"/>
        </w:rPr>
        <w:t>总体绩效分析。</w:t>
      </w:r>
    </w:p>
    <w:p w14:paraId="3C39896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履职效能。</w:t>
      </w:r>
    </w:p>
    <w:p w14:paraId="74917DF7">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（一）项目建设：四维成效览进展</w:t>
      </w:r>
    </w:p>
    <w:p w14:paraId="41552F69">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1.</w:t>
      </w:r>
      <w:r>
        <w:rPr>
          <w:rFonts w:hint="eastAsia" w:ascii="楷体_GB2312" w:hAnsi="楷体_GB2312" w:eastAsia="楷体_GB2312" w:cs="楷体_GB2312"/>
          <w:b/>
          <w:bCs/>
          <w:sz w:val="32"/>
          <w:szCs w:val="32"/>
          <w:lang w:val="en-US" w:eastAsia="zh-CN"/>
        </w:rPr>
        <w:t>处于</w:t>
      </w:r>
      <w:r>
        <w:rPr>
          <w:rFonts w:hint="eastAsia" w:ascii="楷体_GB2312" w:hAnsi="楷体_GB2312" w:eastAsia="楷体_GB2312" w:cs="楷体_GB2312"/>
          <w:b/>
          <w:bCs/>
          <w:sz w:val="32"/>
          <w:szCs w:val="32"/>
        </w:rPr>
        <w:t>筹备阶段项目</w:t>
      </w:r>
    </w:p>
    <w:p w14:paraId="058793E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2024年我局正在开展招标或方案设计等前期阶段的项目共5个：马尔康镇马江街环境质量综合提升项目、马尔康市马尔康镇嘉缘桥梁建设项目、大郎足沟应急避灾广场建设项目、马尔康环境治理提升整治项目、马尔康市城区病害治理项目</w:t>
      </w:r>
      <w:r>
        <w:rPr>
          <w:rFonts w:hint="eastAsia" w:ascii="仿宋_GB2312" w:hAnsi="仿宋_GB2312" w:eastAsia="仿宋_GB2312" w:cs="仿宋_GB2312"/>
          <w:sz w:val="32"/>
          <w:szCs w:val="32"/>
          <w:lang w:eastAsia="zh-CN"/>
        </w:rPr>
        <w:t>。</w:t>
      </w:r>
    </w:p>
    <w:p w14:paraId="413F5972">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2.已落实资金项目</w:t>
      </w:r>
    </w:p>
    <w:p w14:paraId="20E0961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2024年我局已完成前期工作且资金到位的项目共3个：马尔康市城市燃气管道老化更新改造项目、马尔康主城区排水改造项目、马尔康市马尔康镇阿日大桥至日瓦坝大桥市政道路建设项目，总投资12275万元。</w:t>
      </w:r>
    </w:p>
    <w:p w14:paraId="7F0EBB1A">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3.已建设开工项目</w:t>
      </w:r>
    </w:p>
    <w:p w14:paraId="3F84CD5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2024年我局已开工项目共3个：马尔康市城镇供暖配套设施建设项目、马尔康市小水沟片区市政基础设施建设项目、沙尔宗镇污水处理站及管网配套设施建设项目。</w:t>
      </w:r>
    </w:p>
    <w:p w14:paraId="2321265A">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4.拟申报争取项目</w:t>
      </w:r>
    </w:p>
    <w:p w14:paraId="396464FA">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2024年我局拟申报的项目共3个：马尔康市2024年老旧小区配套基础设施建设项目、马尔康市马尔康镇本真村片区市政基础建设项目、马尔康市供水管网及配套设施改造项目。</w:t>
      </w:r>
    </w:p>
    <w:p w14:paraId="58B71EAF">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（二）城市更新：多维施策促旧改</w:t>
      </w:r>
    </w:p>
    <w:p w14:paraId="768C400A">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一是协同旧改与新区建设。</w:t>
      </w:r>
      <w:r>
        <w:rPr>
          <w:rFonts w:hint="eastAsia" w:ascii="仿宋_GB2312" w:hAnsi="仿宋_GB2312" w:eastAsia="仿宋_GB2312" w:cs="仿宋_GB2312"/>
          <w:sz w:val="32"/>
          <w:szCs w:val="32"/>
        </w:rPr>
        <w:t>小水沟片区旧城改建与日瓦坝新区规划协同推进，初稿完成，为旧改锚定方向。在重点改造区域，如大郎足沟三角区地块、县建烧碳社地块，精准发力。一方面，拟定《马尔康市国有土地上房屋征收补偿方案》并通</w:t>
      </w:r>
      <w:r>
        <w:rPr>
          <w:rFonts w:hint="eastAsia" w:ascii="仿宋_GB2312" w:hAnsi="仿宋_GB2312" w:eastAsia="仿宋_GB2312" w:cs="仿宋_GB2312"/>
          <w:sz w:val="32"/>
          <w:szCs w:val="32"/>
          <w:lang w:eastAsia="zh-CN"/>
        </w:rPr>
        <w:t>过市</w:t>
      </w:r>
      <w:r>
        <w:rPr>
          <w:rFonts w:hint="eastAsia" w:ascii="仿宋_GB2312" w:hAnsi="仿宋_GB2312" w:eastAsia="仿宋_GB2312" w:cs="仿宋_GB2312"/>
          <w:sz w:val="32"/>
          <w:szCs w:val="32"/>
        </w:rPr>
        <w:t>政府常务会、市委常委会审定并发布，积极开展还建房置换协调、预评估测绘与意愿调查，为征收补偿筑牢根基；另一方面，雪松牦牛肉干厂地块已完成征收拆除，待土地招拍挂。</w:t>
      </w:r>
      <w:r>
        <w:rPr>
          <w:rFonts w:hint="eastAsia" w:ascii="仿宋_GB2312" w:hAnsi="仿宋_GB2312" w:eastAsia="仿宋_GB2312" w:cs="仿宋_GB2312"/>
          <w:b/>
          <w:bCs/>
          <w:sz w:val="32"/>
          <w:szCs w:val="32"/>
        </w:rPr>
        <w:t>二是项目攻坚与配套升级。</w:t>
      </w:r>
      <w:r>
        <w:rPr>
          <w:rFonts w:hint="eastAsia" w:ascii="仿宋_GB2312" w:hAnsi="仿宋_GB2312" w:eastAsia="仿宋_GB2312" w:cs="仿宋_GB2312"/>
          <w:sz w:val="32"/>
          <w:szCs w:val="32"/>
        </w:rPr>
        <w:t>大郎足沟自来水厂改造提升项目已完工，游客集散中心完成项目95%进度，人行廊桥设计不断优化。配套升级，大郎足沟电力业扩配套工程低压部分稳步推进，大水沟移民安置点土地征收评估已完成，临河堤防建设启动，电力迁入到位。</w:t>
      </w:r>
    </w:p>
    <w:p w14:paraId="16380D2A">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（三）住房保障：五策提质筑安居</w:t>
      </w:r>
    </w:p>
    <w:p w14:paraId="3443E7A7">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一是稳步推进老旧小区改造。</w:t>
      </w:r>
      <w:r>
        <w:rPr>
          <w:rFonts w:hint="eastAsia" w:ascii="仿宋_GB2312" w:hAnsi="仿宋_GB2312" w:eastAsia="仿宋_GB2312" w:cs="仿宋_GB2312"/>
          <w:sz w:val="32"/>
          <w:szCs w:val="32"/>
        </w:rPr>
        <w:t>2024年我局完成了三个社区涉及10个小区的维修改造任务，投资资金277.95万元。</w:t>
      </w:r>
      <w:r>
        <w:rPr>
          <w:rFonts w:hint="eastAsia" w:ascii="Calibri" w:hAnsi="Calibri" w:eastAsia="仿宋_GB2312" w:cs="Calibri"/>
          <w:sz w:val="32"/>
          <w:szCs w:val="32"/>
        </w:rPr>
        <w:t>涵盖</w:t>
      </w:r>
      <w:r>
        <w:rPr>
          <w:rFonts w:hint="eastAsia" w:ascii="仿宋_GB2312" w:hAnsi="仿宋_GB2312" w:eastAsia="仿宋_GB2312" w:cs="仿宋_GB2312"/>
          <w:sz w:val="32"/>
          <w:szCs w:val="32"/>
        </w:rPr>
        <w:t>林场、州幼儿园家属楼、州人大住宿楼等小区的雨污管网、门禁道闸系统、屋面防水、场地道路硬化黑化、线路规整、墙面粉刷和楼梯翻新等维修改造工作。</w:t>
      </w:r>
      <w:r>
        <w:rPr>
          <w:rFonts w:hint="eastAsia" w:ascii="仿宋_GB2312" w:hAnsi="仿宋_GB2312" w:eastAsia="仿宋_GB2312" w:cs="仿宋_GB2312"/>
          <w:b/>
          <w:bCs/>
          <w:sz w:val="32"/>
          <w:szCs w:val="32"/>
        </w:rPr>
        <w:t>二是</w:t>
      </w:r>
      <w:r>
        <w:rPr>
          <w:rFonts w:hint="eastAsia" w:ascii="仿宋_GB2312" w:hAnsi="仿宋_GB2312" w:eastAsia="仿宋_GB2312" w:cs="仿宋_GB2312"/>
          <w:b/>
          <w:bCs/>
          <w:sz w:val="32"/>
          <w:szCs w:val="32"/>
          <w:lang w:eastAsia="zh-CN"/>
        </w:rPr>
        <w:t>提升</w:t>
      </w:r>
      <w:r>
        <w:rPr>
          <w:rFonts w:hint="eastAsia" w:ascii="仿宋_GB2312" w:hAnsi="仿宋_GB2312" w:eastAsia="仿宋_GB2312" w:cs="仿宋_GB2312"/>
          <w:b/>
          <w:bCs/>
          <w:sz w:val="32"/>
          <w:szCs w:val="32"/>
        </w:rPr>
        <w:t>物业管理水平。</w:t>
      </w:r>
      <w:r>
        <w:rPr>
          <w:rFonts w:hint="eastAsia" w:ascii="仿宋_GB2312" w:hAnsi="仿宋_GB2312" w:eastAsia="仿宋_GB2312" w:cs="仿宋_GB2312"/>
          <w:sz w:val="32"/>
          <w:szCs w:val="32"/>
        </w:rPr>
        <w:t>一方面马尔康市现有22家备案物业公司服务41个小区，我局通过监督管理强化小区卫生、公共设施、秩序管理等提升物业服务水平。另一方面2024年共参与协调物业投诉55起，处理投诉55起。</w:t>
      </w:r>
      <w:r>
        <w:rPr>
          <w:rFonts w:hint="eastAsia" w:ascii="仿宋_GB2312" w:hAnsi="仿宋_GB2312" w:eastAsia="仿宋_GB2312" w:cs="仿宋_GB2312"/>
          <w:b/>
          <w:bCs/>
          <w:sz w:val="32"/>
          <w:szCs w:val="32"/>
        </w:rPr>
        <w:t>三是着力推进农村危房改造。</w:t>
      </w:r>
      <w:r>
        <w:rPr>
          <w:rFonts w:hint="eastAsia" w:ascii="仿宋_GB2312" w:hAnsi="仿宋_GB2312" w:eastAsia="仿宋_GB2312" w:cs="仿宋_GB2312"/>
          <w:sz w:val="32"/>
          <w:szCs w:val="32"/>
        </w:rPr>
        <w:t>遵照执行《关于做好农村低收入群体等重点对象住房安全保障工作的实施意见》，加大对农村低收入群体等重点对象危房改造的支持力度，建立健全农村低收入群体住房安全保障长效机制，印发了《关于建立马尔康市脱贫攻坚住房安全有保障日常动态检查巡查机制（试行）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。2024年全市六类对象有24户危房改造动工，22户竣工。</w:t>
      </w:r>
      <w:r>
        <w:rPr>
          <w:rFonts w:hint="eastAsia" w:ascii="仿宋_GB2312" w:hAnsi="仿宋_GB2312" w:eastAsia="仿宋_GB2312" w:cs="仿宋_GB2312"/>
          <w:b/>
          <w:bCs/>
          <w:sz w:val="32"/>
          <w:szCs w:val="32"/>
        </w:rPr>
        <w:t>四是有序开展住房安居工程。</w:t>
      </w:r>
      <w:r>
        <w:rPr>
          <w:rFonts w:hint="eastAsia" w:ascii="仿宋_GB2312" w:hAnsi="仿宋_GB2312" w:eastAsia="仿宋_GB2312" w:cs="仿宋_GB2312"/>
          <w:sz w:val="32"/>
          <w:szCs w:val="32"/>
        </w:rPr>
        <w:t>2024年355户城镇困难群众获得住房安全保障，其中240户实现实物配租，115户获得住房救助补贴，做到应保尽保。</w:t>
      </w:r>
      <w:r>
        <w:rPr>
          <w:rFonts w:hint="eastAsia" w:ascii="仿宋_GB2312" w:hAnsi="仿宋_GB2312" w:eastAsia="仿宋_GB2312" w:cs="仿宋_GB2312"/>
          <w:b/>
          <w:bCs/>
          <w:sz w:val="32"/>
          <w:szCs w:val="32"/>
        </w:rPr>
        <w:t>五是既有住宅增设电梯。</w:t>
      </w:r>
      <w:r>
        <w:rPr>
          <w:rFonts w:hint="eastAsia" w:ascii="仿宋_GB2312" w:hAnsi="仿宋_GB2312" w:eastAsia="仿宋_GB2312" w:cs="仿宋_GB2312"/>
          <w:sz w:val="32"/>
          <w:szCs w:val="32"/>
        </w:rPr>
        <w:t>2024年州级下达既有住宅增设电梯20部任务，我市实际完成32部并完成备案，已兑现电梯奖补资金800万元，提升了老旧小区宜居水平。</w:t>
      </w:r>
    </w:p>
    <w:p w14:paraId="50CD4E9F">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建筑企业：全链监管稳发展</w:t>
      </w:r>
    </w:p>
    <w:p w14:paraId="7558C793">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一是严格招投标监管。</w:t>
      </w:r>
      <w:r>
        <w:rPr>
          <w:rFonts w:hint="eastAsia" w:ascii="仿宋_GB2312" w:hAnsi="仿宋_GB2312" w:eastAsia="仿宋_GB2312" w:cs="仿宋_GB2312"/>
          <w:sz w:val="32"/>
          <w:szCs w:val="32"/>
        </w:rPr>
        <w:t>2024年共计完成22个项目的招投标监督工作。依法对建设工程项目的公开招投标进行监督管理，强化开标评标的程序，不弱化和</w:t>
      </w:r>
      <w:r>
        <w:rPr>
          <w:rFonts w:hint="eastAsia" w:ascii="仿宋_GB2312" w:hAnsi="仿宋_GB2312" w:eastAsia="仿宋_GB2312" w:cs="仿宋_GB2312"/>
          <w:sz w:val="32"/>
          <w:szCs w:val="32"/>
          <w:lang w:eastAsia="zh-CN"/>
        </w:rPr>
        <w:t>简化</w:t>
      </w:r>
      <w:r>
        <w:rPr>
          <w:rFonts w:hint="eastAsia" w:ascii="仿宋_GB2312" w:hAnsi="仿宋_GB2312" w:eastAsia="仿宋_GB2312" w:cs="仿宋_GB2312"/>
          <w:sz w:val="32"/>
          <w:szCs w:val="32"/>
        </w:rPr>
        <w:t>程序，确保招标评标的完备性、规范性。</w:t>
      </w:r>
      <w:r>
        <w:rPr>
          <w:rFonts w:hint="eastAsia" w:ascii="仿宋_GB2312" w:hAnsi="仿宋_GB2312" w:eastAsia="仿宋_GB2312" w:cs="仿宋_GB2312"/>
          <w:b/>
          <w:bCs/>
          <w:sz w:val="32"/>
          <w:szCs w:val="32"/>
        </w:rPr>
        <w:t>二是把控施工图审查。</w:t>
      </w:r>
      <w:r>
        <w:rPr>
          <w:rFonts w:hint="eastAsia" w:ascii="仿宋_GB2312" w:hAnsi="仿宋_GB2312" w:eastAsia="仿宋_GB2312" w:cs="仿宋_GB2312"/>
          <w:sz w:val="32"/>
          <w:szCs w:val="32"/>
        </w:rPr>
        <w:t>2024年完成施工图审查备案共计14个项目。严格执行了绿色建筑标准，对建设工程施工图设计文件和公共建筑节能设计审查备案管理，把好建筑节能工作的入口关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将绿色建筑纳入设计要求中。对于未进行建筑节能设计的施工图不予备案。</w:t>
      </w:r>
      <w:r>
        <w:rPr>
          <w:rFonts w:hint="eastAsia" w:ascii="仿宋_GB2312" w:hAnsi="仿宋_GB2312" w:eastAsia="仿宋_GB2312" w:cs="仿宋_GB2312"/>
          <w:b/>
          <w:bCs/>
          <w:sz w:val="32"/>
          <w:szCs w:val="32"/>
        </w:rPr>
        <w:t>三是推进初步设计评审。</w:t>
      </w:r>
      <w:r>
        <w:rPr>
          <w:rFonts w:hint="eastAsia" w:ascii="仿宋_GB2312" w:hAnsi="仿宋_GB2312" w:eastAsia="仿宋_GB2312" w:cs="仿宋_GB2312"/>
          <w:sz w:val="32"/>
          <w:szCs w:val="32"/>
        </w:rPr>
        <w:t>严格按照相关的法律法规执行，</w:t>
      </w:r>
      <w:r>
        <w:rPr>
          <w:rFonts w:hint="eastAsia" w:ascii="仿宋_GB2312" w:hAnsi="仿宋_GB2312" w:eastAsia="仿宋_GB2312" w:cs="仿宋_GB2312"/>
          <w:sz w:val="32"/>
          <w:szCs w:val="32"/>
          <w:lang w:val="en-US" w:eastAsia="zh-CN"/>
        </w:rPr>
        <w:t>截至</w:t>
      </w:r>
      <w:r>
        <w:rPr>
          <w:rFonts w:hint="eastAsia" w:ascii="仿宋_GB2312" w:hAnsi="仿宋_GB2312" w:eastAsia="仿宋_GB2312" w:cs="仿宋_GB2312"/>
          <w:sz w:val="32"/>
          <w:szCs w:val="32"/>
        </w:rPr>
        <w:t>目前共计参与11个市政基础设施建设的初步设计评审。</w:t>
      </w:r>
      <w:r>
        <w:rPr>
          <w:rFonts w:hint="eastAsia" w:ascii="仿宋_GB2312" w:hAnsi="仿宋_GB2312" w:eastAsia="仿宋_GB2312" w:cs="仿宋_GB2312"/>
          <w:b/>
          <w:bCs/>
          <w:sz w:val="32"/>
          <w:szCs w:val="32"/>
        </w:rPr>
        <w:t>四是做好行业数据统计。</w:t>
      </w:r>
      <w:r>
        <w:rPr>
          <w:rFonts w:hint="eastAsia" w:ascii="仿宋_GB2312" w:hAnsi="仿宋_GB2312" w:eastAsia="仿宋_GB2312" w:cs="仿宋_GB2312"/>
          <w:sz w:val="32"/>
          <w:szCs w:val="32"/>
        </w:rPr>
        <w:t>严格按照州局要求，对马尔康市注册的34家建筑企业进行调查统计，其中入统企业17家。2024年第一季度完成总产值0.39亿元，同比增长56.9%；第二季度累计完成总产值0.99亿元，同比增长91.8%。第三季度累计完成总产值2.11亿元，同比增长17.3%。</w:t>
      </w:r>
      <w:r>
        <w:rPr>
          <w:rFonts w:hint="eastAsia" w:ascii="仿宋_GB2312" w:hAnsi="仿宋_GB2312" w:eastAsia="仿宋_GB2312" w:cs="仿宋_GB2312"/>
          <w:b/>
          <w:bCs/>
          <w:sz w:val="32"/>
          <w:szCs w:val="32"/>
        </w:rPr>
        <w:t>五是强化消防审查备案。</w:t>
      </w:r>
      <w:r>
        <w:rPr>
          <w:rFonts w:hint="eastAsia" w:ascii="仿宋_GB2312" w:hAnsi="仿宋_GB2312" w:eastAsia="仿宋_GB2312" w:cs="仿宋_GB2312"/>
          <w:sz w:val="32"/>
          <w:szCs w:val="32"/>
        </w:rPr>
        <w:t>严格按照消防审查工作细则要求，以第三方服务机构审查意见及专家论证的报告为依据，对建设工程施工图设计和消防专项审查进行备案管理，出具消防设计审查意见书。今年共计完成5个在建项目的消防审查。</w:t>
      </w:r>
      <w:r>
        <w:rPr>
          <w:rFonts w:hint="eastAsia" w:ascii="仿宋_GB2312" w:hAnsi="仿宋_GB2312" w:eastAsia="仿宋_GB2312" w:cs="仿宋_GB2312"/>
          <w:b/>
          <w:bCs/>
          <w:sz w:val="32"/>
          <w:szCs w:val="32"/>
        </w:rPr>
        <w:t>六是保障农民工权益。</w:t>
      </w:r>
      <w:r>
        <w:rPr>
          <w:rFonts w:hint="eastAsia" w:ascii="仿宋_GB2312" w:hAnsi="仿宋_GB2312" w:eastAsia="仿宋_GB2312" w:cs="仿宋_GB2312"/>
          <w:sz w:val="32"/>
          <w:szCs w:val="32"/>
        </w:rPr>
        <w:t>开展施工单位民工工资支付情况专项检查，配合人力资源保障等部门解决建设领域拖欠民工工资问题，推行建筑劳务人员实名制管理。明确建筑施工总承包、专业承包企业不得要求建筑劳务企业垫资承包或拖欠劳务费用。目前我市在建项目未出现拖欠工资的情况。</w:t>
      </w:r>
    </w:p>
    <w:p w14:paraId="550C71C0">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（五）质量监督：锚定准则护安全</w:t>
      </w:r>
    </w:p>
    <w:p w14:paraId="032C4E5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2024年全市在建项目受监督工程项目75个，总造价约29亿元，总建筑面积47万平方米。其中：跨年工程51个，新增项目23个，</w:t>
      </w: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rPr>
        <w:t>目前已完工项目31个，已竣工验收项目25个，在建19个。</w:t>
      </w:r>
      <w:r>
        <w:rPr>
          <w:rFonts w:hint="eastAsia" w:ascii="仿宋_GB2312" w:hAnsi="仿宋_GB2312" w:eastAsia="仿宋_GB2312" w:cs="仿宋_GB2312"/>
          <w:b/>
          <w:bCs/>
          <w:sz w:val="32"/>
          <w:szCs w:val="32"/>
        </w:rPr>
        <w:t>一是高效办结监督业务。</w:t>
      </w:r>
      <w:r>
        <w:rPr>
          <w:rFonts w:hint="eastAsia" w:ascii="仿宋_GB2312" w:hAnsi="仿宋_GB2312" w:eastAsia="仿宋_GB2312" w:cs="仿宋_GB2312"/>
          <w:sz w:val="32"/>
          <w:szCs w:val="32"/>
        </w:rPr>
        <w:t>依托四川省政务一体化平台，受理并办结工程质量安全监督12项，建设工程消防验收及备案6</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rPr>
        <w:t>，竣工验收备案4项。</w:t>
      </w:r>
      <w:r>
        <w:rPr>
          <w:rFonts w:hint="eastAsia" w:ascii="仿宋_GB2312" w:hAnsi="仿宋_GB2312" w:eastAsia="仿宋_GB2312" w:cs="仿宋_GB2312"/>
          <w:b/>
          <w:bCs/>
          <w:sz w:val="32"/>
          <w:szCs w:val="32"/>
        </w:rPr>
        <w:t>二是强化工程实体监督。</w:t>
      </w:r>
      <w:r>
        <w:rPr>
          <w:rFonts w:hint="eastAsia" w:ascii="仿宋_GB2312" w:hAnsi="仿宋_GB2312" w:eastAsia="仿宋_GB2312" w:cs="仿宋_GB2312"/>
          <w:sz w:val="32"/>
          <w:szCs w:val="32"/>
        </w:rPr>
        <w:t>参与工程实体监督200余次，包括隐蔽工程验收、分部工程验收、单位工程验收及竣工验收、安全监督检查等。</w:t>
      </w:r>
      <w:r>
        <w:rPr>
          <w:rFonts w:hint="eastAsia" w:ascii="仿宋_GB2312" w:hAnsi="仿宋_GB2312" w:eastAsia="仿宋_GB2312" w:cs="仿宋_GB2312"/>
          <w:b/>
          <w:bCs/>
          <w:sz w:val="32"/>
          <w:szCs w:val="32"/>
        </w:rPr>
        <w:t>三是调研落实材料价格。</w:t>
      </w:r>
      <w:r>
        <w:rPr>
          <w:rFonts w:hint="eastAsia" w:ascii="仿宋_GB2312" w:hAnsi="仿宋_GB2312" w:eastAsia="仿宋_GB2312" w:cs="仿宋_GB2312"/>
          <w:sz w:val="32"/>
          <w:szCs w:val="32"/>
        </w:rPr>
        <w:t>开展材料价格调查11期，并开展了商品混凝土价格测算工作。</w:t>
      </w:r>
      <w:r>
        <w:rPr>
          <w:rFonts w:hint="eastAsia" w:ascii="仿宋_GB2312" w:hAnsi="仿宋_GB2312" w:eastAsia="仿宋_GB2312" w:cs="仿宋_GB2312"/>
          <w:b/>
          <w:bCs/>
          <w:sz w:val="32"/>
          <w:szCs w:val="32"/>
        </w:rPr>
        <w:t>四是设备与施工安全管控。</w:t>
      </w:r>
      <w:r>
        <w:rPr>
          <w:rFonts w:hint="eastAsia" w:ascii="仿宋_GB2312" w:hAnsi="仿宋_GB2312" w:eastAsia="仿宋_GB2312" w:cs="仿宋_GB2312"/>
          <w:sz w:val="32"/>
          <w:szCs w:val="32"/>
        </w:rPr>
        <w:t>结合每月的质量安全例行巡查，重点检查辖区内施工起重机械的备案登记、安装验收及检测、维护保养及责任单位的隐患排查治理。开展工程质量、安全文明施工及扬尘防治例行巡查工作11次，主要检查各在建项目各方责任主体质量行为、相关人员到岗履职情况，排查整治工程实体质量、施工现场安全隐患及文明施工问题。开展重大事故隐患排查整治工作，并对省厅检查发现的重大事故隐患跟踪督办。</w:t>
      </w:r>
      <w:r>
        <w:rPr>
          <w:rFonts w:hint="eastAsia" w:ascii="仿宋_GB2312" w:hAnsi="仿宋_GB2312" w:eastAsia="仿宋_GB2312" w:cs="仿宋_GB2312"/>
          <w:b/>
          <w:bCs/>
          <w:sz w:val="32"/>
          <w:szCs w:val="32"/>
        </w:rPr>
        <w:t>五是依法处理投诉问题。</w:t>
      </w:r>
      <w:r>
        <w:rPr>
          <w:rFonts w:hint="eastAsia" w:ascii="仿宋_GB2312" w:hAnsi="仿宋_GB2312" w:eastAsia="仿宋_GB2312" w:cs="仿宋_GB2312"/>
          <w:sz w:val="32"/>
          <w:szCs w:val="32"/>
        </w:rPr>
        <w:t>针对施工噪音扰民、扬尘污染等各类投诉，对建筑工地提出进一步规范施工要求，维护群众合法权益。</w:t>
      </w:r>
      <w:r>
        <w:rPr>
          <w:rFonts w:hint="eastAsia" w:ascii="Calibri" w:hAnsi="Calibri" w:eastAsia="仿宋_GB2312" w:cs="Calibri"/>
          <w:b/>
          <w:bCs/>
          <w:sz w:val="32"/>
          <w:szCs w:val="32"/>
        </w:rPr>
        <w:t>六</w:t>
      </w:r>
      <w:r>
        <w:rPr>
          <w:rFonts w:hint="eastAsia" w:ascii="仿宋_GB2312" w:hAnsi="仿宋_GB2312" w:eastAsia="仿宋_GB2312" w:cs="仿宋_GB2312"/>
          <w:b/>
          <w:bCs/>
          <w:sz w:val="32"/>
          <w:szCs w:val="32"/>
        </w:rPr>
        <w:t>是严格联合执法检查。</w:t>
      </w:r>
      <w:r>
        <w:rPr>
          <w:rFonts w:hint="eastAsia" w:ascii="仿宋_GB2312" w:hAnsi="仿宋_GB2312" w:eastAsia="仿宋_GB2312" w:cs="仿宋_GB2312"/>
          <w:sz w:val="32"/>
          <w:szCs w:val="32"/>
        </w:rPr>
        <w:t>联合市综合执法局开展多次执法检查，对发现的违法行为及时移交执法处理。</w:t>
      </w:r>
      <w:r>
        <w:rPr>
          <w:rFonts w:hint="eastAsia" w:ascii="Calibri" w:hAnsi="Calibri" w:eastAsia="仿宋_GB2312" w:cs="Calibri"/>
          <w:b/>
          <w:bCs/>
          <w:sz w:val="32"/>
          <w:szCs w:val="32"/>
        </w:rPr>
        <w:t>七</w:t>
      </w:r>
      <w:r>
        <w:rPr>
          <w:rFonts w:hint="eastAsia" w:ascii="仿宋_GB2312" w:hAnsi="仿宋_GB2312" w:eastAsia="仿宋_GB2312" w:cs="仿宋_GB2312"/>
          <w:b/>
          <w:bCs/>
          <w:sz w:val="32"/>
          <w:szCs w:val="32"/>
        </w:rPr>
        <w:t>是整治工地乱象行动。</w:t>
      </w:r>
      <w:r>
        <w:rPr>
          <w:rFonts w:hint="eastAsia" w:ascii="仿宋_GB2312" w:hAnsi="仿宋_GB2312" w:eastAsia="仿宋_GB2312" w:cs="仿宋_GB2312"/>
          <w:sz w:val="32"/>
          <w:szCs w:val="32"/>
        </w:rPr>
        <w:t>在州住建局的领导下，及时开展工地乱象整治专项行动，督促尘埃落定项目规范工地打围、硬化、规范设置喷淋设施，提升施工现场管理水平。</w:t>
      </w:r>
    </w:p>
    <w:p w14:paraId="73836928">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（六）房屋交易：精细服务显规范</w:t>
      </w:r>
    </w:p>
    <w:p w14:paraId="55230C81">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一是信息查询与核查服务。</w:t>
      </w:r>
      <w:r>
        <w:rPr>
          <w:rFonts w:hint="eastAsia" w:ascii="仿宋_GB2312" w:hAnsi="仿宋_GB2312" w:eastAsia="仿宋_GB2312" w:cs="仿宋_GB2312"/>
          <w:sz w:val="32"/>
          <w:szCs w:val="32"/>
        </w:rPr>
        <w:t>廉租公租住房入住资格的信息查询约2950次。领导干部房屋信息核查104批次约1500人。完成州级、市级周转房核查任务共计1400人次。</w:t>
      </w:r>
      <w:r>
        <w:rPr>
          <w:rFonts w:hint="eastAsia" w:ascii="仿宋_GB2312" w:hAnsi="仿宋_GB2312" w:eastAsia="仿宋_GB2312" w:cs="仿宋_GB2312"/>
          <w:b/>
          <w:bCs/>
          <w:sz w:val="32"/>
          <w:szCs w:val="32"/>
        </w:rPr>
        <w:t>二是房屋交易备案管理。</w:t>
      </w:r>
      <w:r>
        <w:rPr>
          <w:rFonts w:hint="eastAsia" w:ascii="仿宋_GB2312" w:hAnsi="仿宋_GB2312" w:eastAsia="仿宋_GB2312" w:cs="仿宋_GB2312"/>
          <w:sz w:val="32"/>
          <w:szCs w:val="32"/>
        </w:rPr>
        <w:t>存量房网上签约备案交易218户，交易面积约22840.96平方米，交易金额12097.04万元。商品房销售合同备案244套，销售面积约25068.09平方米，销售金额254019168.4万元。棚户区改造及动迁房手工备案339套。</w:t>
      </w:r>
      <w:r>
        <w:rPr>
          <w:rFonts w:hint="eastAsia" w:ascii="仿宋_GB2312" w:hAnsi="仿宋_GB2312" w:eastAsia="仿宋_GB2312" w:cs="仿宋_GB2312"/>
          <w:b/>
          <w:bCs/>
          <w:sz w:val="32"/>
          <w:szCs w:val="32"/>
        </w:rPr>
        <w:t>三是预售资金监管。</w:t>
      </w:r>
      <w:r>
        <w:rPr>
          <w:rFonts w:hint="eastAsia" w:ascii="仿宋_GB2312" w:hAnsi="仿宋_GB2312" w:eastAsia="仿宋_GB2312" w:cs="仿宋_GB2312"/>
          <w:sz w:val="32"/>
          <w:szCs w:val="32"/>
        </w:rPr>
        <w:t>完成预售资金监管项目太阳公馆、康城锦地2个。办理资金监管资金缴存28157.87万元，办理资金拨付业务370笔。</w:t>
      </w:r>
      <w:r>
        <w:rPr>
          <w:rFonts w:hint="eastAsia" w:ascii="仿宋_GB2312" w:hAnsi="仿宋_GB2312" w:eastAsia="仿宋_GB2312" w:cs="仿宋_GB2312"/>
          <w:b/>
          <w:bCs/>
          <w:sz w:val="32"/>
          <w:szCs w:val="32"/>
        </w:rPr>
        <w:t>四是遗留问题解决。</w:t>
      </w:r>
      <w:r>
        <w:rPr>
          <w:rFonts w:hint="eastAsia" w:ascii="仿宋_GB2312" w:hAnsi="仿宋_GB2312" w:eastAsia="仿宋_GB2312" w:cs="仿宋_GB2312"/>
          <w:sz w:val="32"/>
          <w:szCs w:val="32"/>
        </w:rPr>
        <w:t>完成办理因历史遗留问题导致未完善不动产登记信息2处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维宏达小区和马林局棚户区，涉及住户317户的备案和不动产权登记。</w:t>
      </w:r>
      <w:r>
        <w:rPr>
          <w:rFonts w:hint="eastAsia" w:ascii="仿宋_GB2312" w:hAnsi="仿宋_GB2312" w:eastAsia="仿宋_GB2312" w:cs="仿宋_GB2312"/>
          <w:b/>
          <w:bCs/>
          <w:sz w:val="32"/>
          <w:szCs w:val="32"/>
        </w:rPr>
        <w:t>五是房产市场报表。</w:t>
      </w:r>
      <w:r>
        <w:rPr>
          <w:rFonts w:hint="eastAsia" w:ascii="仿宋_GB2312" w:hAnsi="仿宋_GB2312" w:eastAsia="仿宋_GB2312" w:cs="仿宋_GB2312"/>
          <w:sz w:val="32"/>
          <w:szCs w:val="32"/>
        </w:rPr>
        <w:t>按时完成房地产市场月报、年报报表。</w:t>
      </w:r>
    </w:p>
    <w:p w14:paraId="18F66546">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（七）市政运维：多元举措惠民生</w:t>
      </w:r>
    </w:p>
    <w:p w14:paraId="3EE80EC3">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1.攻坚污水治理，提升处理效能</w:t>
      </w:r>
    </w:p>
    <w:p w14:paraId="2D2FD85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为解决马尔康市雨污分流不彻底，污水处理能力不足的问题，</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通过多次开展专题推进会、现场督办等方式加快马尔康市城市生活污水处理厂（二期）及配套管网建设工程项目进度，解决污水处理量不足的硬件问题。</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组织专业力量对城区主管网及支管网进行拉网式全覆盖排查，发现问题立即处置。</w:t>
      </w:r>
    </w:p>
    <w:p w14:paraId="633E1651">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2.收转农村垃圾，完善清运体系</w:t>
      </w:r>
    </w:p>
    <w:p w14:paraId="269CDB23">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指导并督促第三方生活垃圾运营公司，按照“村收集、乡转运、片区处理”的模式，将垃圾压缩车按片区划分开展清运工作。</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加强沟通，适时将乡（镇）、村组人员流动情况和节假日娱乐活动相结合，动态调整清运频次和力量，进一步强化清运力度，争取生活垃圾日产日清。</w:t>
      </w:r>
    </w:p>
    <w:p w14:paraId="5EAF6724">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3.严管城市垃圾，守护环境安全</w:t>
      </w:r>
    </w:p>
    <w:p w14:paraId="21252218">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全年无害化处置生活垃圾约1.69万吨，处理率达95.4%。</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完成尾气常规监测，在线监测设备正常运行，确保尾气排放量在正常值范围，同时确保尾气排放得到有效监管。</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完成生活垃圾填埋场地下水监测，对地下水受污染的范围和程度形成有效掌控。</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全年处置填埋场渗滤液约16000m³。</w:t>
      </w:r>
    </w:p>
    <w:p w14:paraId="089C22B8">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4.精细设施管护，保障市政运行</w:t>
      </w:r>
    </w:p>
    <w:p w14:paraId="0179D5AC">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ascii="仿宋_GB2312" w:hAnsi="仿宋_GB2312" w:eastAsia="仿宋_GB2312" w:cs="仿宋_GB2312"/>
          <w:sz w:val="32"/>
          <w:szCs w:val="32"/>
        </w:rPr>
        <w:t>安排专业维修维护队伍对市政设施设备随坏随修，采取巡查、领导发现安排，群众来信来电举报，网格反馈安排等多种方式，收集汇总市政设施设备损坏情况</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二是</w:t>
      </w:r>
      <w:r>
        <w:rPr>
          <w:rFonts w:ascii="仿宋_GB2312" w:hAnsi="仿宋_GB2312" w:eastAsia="仿宋_GB2312" w:cs="仿宋_GB2312"/>
          <w:sz w:val="32"/>
          <w:szCs w:val="32"/>
        </w:rPr>
        <w:t>全年修缮城区下沉井盖及路面20余处，修缮破损人行道地砖46平方，疏通雨水、污水管网42处，修缮人行道护栏6处，更换破损果皮箱1处，维修更换路灯灯泡700余个，更换损坏路灯时控器1个，更换损坏路灯线路100余米，更换路灯灯头50余个，配合协调电力公司修改路灯线路，修复更改夜景亮化线路6处。</w:t>
      </w:r>
    </w:p>
    <w:p w14:paraId="32FA8117">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5.强化燃气监管，筑牢安全防线</w:t>
      </w:r>
    </w:p>
    <w:p w14:paraId="1761E236">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联合相关职能部门、燃气企业对辖区内所有涉及经营、使用燃气的餐饮、酒店及居民住宅区进行“地毯式”大排查共12次。</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积极推进“瓶改管”工作，目前该项工作已如期完成既定任务数。</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开展燃气经营企业安全生产工作及餐饮企业燃气使用安全日常巡查检查。</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针对督导组检查发现的26个隐患问题，督促燃气企业，举一反三，对标对表要求企业认真落实整改。</w:t>
      </w:r>
    </w:p>
    <w:p w14:paraId="6FB9F8EB">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6.排水防涝有力，防范内涝风险</w:t>
      </w:r>
    </w:p>
    <w:p w14:paraId="3D0911D6">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2024年对我市25.53公里的污水收集主管网进行管网隐患排查巡检工作200余次，维修维护检查井30余处，同时安排组织人员每日对沿河25.5主管网进行巡检。</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加大了对重点关注易涝点的跟踪处置工作，时刻确保易涝点位管网畅通。</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切实做好我市窨井盖巡查管理工作，全年排查窨井盖603处，安装防坠网145处，发现问题57处，均已完成整改，强化</w:t>
      </w:r>
      <w:r>
        <w:rPr>
          <w:rFonts w:hint="eastAsia" w:ascii="Calibri" w:hAnsi="Calibri" w:eastAsia="仿宋_GB2312" w:cs="Calibri"/>
          <w:sz w:val="32"/>
          <w:szCs w:val="32"/>
        </w:rPr>
        <w:t>了</w:t>
      </w:r>
      <w:r>
        <w:rPr>
          <w:rFonts w:hint="eastAsia" w:ascii="仿宋_GB2312" w:hAnsi="仿宋_GB2312" w:eastAsia="仿宋_GB2312" w:cs="仿宋_GB2312"/>
          <w:sz w:val="32"/>
          <w:szCs w:val="32"/>
        </w:rPr>
        <w:t>市政维护力度。</w:t>
      </w:r>
    </w:p>
    <w:p w14:paraId="34AECBB4">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7.规范店招审批，焕新市容市貌</w:t>
      </w:r>
    </w:p>
    <w:p w14:paraId="042163F0">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我局2024年以来共审批店招申请94处，大型户外广告1处。</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对市区内户外广告、标语标牌、店招店牌开展巡查工作30余次，排查户外广告共32处，标语标牌排查450余处，店招店牌共320余处。</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在排查过程中加强对户外广告、标语标牌、店招店牌设施动火作业安全的监管，复核文字内容并按照规范藏文督促商家进行整改。</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向商家和市民广泛宣传招牌设施管理和户外广告的相关规定。</w:t>
      </w:r>
    </w:p>
    <w:p w14:paraId="26B69E64">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8.其他工作</w:t>
      </w:r>
    </w:p>
    <w:p w14:paraId="7C49065A">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开展日常传统村落和历史建筑保护工作，我市共申报成功10个传统村落，申报10个村落纳入传统村落后备村。</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开展马尔康市地下管网和地下管廊建设改造实施方案，该方案已报州住建局审查。</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开展编制马尔康市城市更新改造规划，该规划已完成初稿编制。</w:t>
      </w:r>
    </w:p>
    <w:p w14:paraId="0A2B34F7">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（八）城乡环境：攻坚乱象</w:t>
      </w:r>
      <w:r>
        <w:rPr>
          <w:rFonts w:hint="eastAsia" w:ascii="楷体_GB2312" w:hAnsi="楷体_GB2312" w:eastAsia="楷体_GB2312" w:cs="楷体_GB2312"/>
          <w:b/>
          <w:bCs/>
          <w:sz w:val="32"/>
          <w:szCs w:val="32"/>
          <w:lang w:val="en-US" w:eastAsia="zh-CN"/>
        </w:rPr>
        <w:t>重整治</w:t>
      </w:r>
    </w:p>
    <w:p w14:paraId="6AE1E39A">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hint="eastAsia"/>
          <w:color w:val="auto"/>
          <w:highlight w:val="none"/>
          <w:lang w:val="en-US" w:eastAsia="zh-CN"/>
        </w:rPr>
      </w:pPr>
      <w:r>
        <w:rPr>
          <w:rFonts w:hint="eastAsia" w:ascii="仿宋_GB2312" w:hAnsi="仿宋_GB2312" w:eastAsia="仿宋_GB2312" w:cs="仿宋_GB2312"/>
          <w:b/>
          <w:bCs/>
          <w:sz w:val="32"/>
          <w:szCs w:val="32"/>
        </w:rPr>
        <w:t>一是开展高频巡查。</w:t>
      </w:r>
      <w:r>
        <w:rPr>
          <w:rFonts w:hint="eastAsia" w:ascii="仿宋_GB2312" w:hAnsi="仿宋_GB2312" w:eastAsia="仿宋_GB2312" w:cs="仿宋_GB2312"/>
          <w:sz w:val="32"/>
          <w:szCs w:val="32"/>
        </w:rPr>
        <w:t>2024年城乡环境质量提升行动工作累计出动巡查人次600余次，发现并整改问题1000余处，共清理卫生死角垃圾70</w:t>
      </w:r>
      <w:r>
        <w:rPr>
          <w:rFonts w:hint="eastAsia" w:ascii="仿宋_GB2312" w:hAnsi="仿宋_GB2312" w:eastAsia="仿宋_GB2312" w:cs="仿宋_GB2312"/>
          <w:sz w:val="32"/>
          <w:szCs w:val="32"/>
          <w:lang w:eastAsia="zh-CN"/>
        </w:rPr>
        <w:t>余吨</w:t>
      </w:r>
      <w:r>
        <w:rPr>
          <w:rFonts w:hint="eastAsia" w:ascii="仿宋_GB2312" w:hAnsi="仿宋_GB2312" w:eastAsia="仿宋_GB2312" w:cs="仿宋_GB2312"/>
          <w:sz w:val="32"/>
          <w:szCs w:val="32"/>
        </w:rPr>
        <w:t>，清理水上漂浮物30余吨（含河道两侧）。</w:t>
      </w:r>
      <w:r>
        <w:rPr>
          <w:rFonts w:hint="eastAsia" w:ascii="仿宋_GB2312" w:hAnsi="仿宋_GB2312" w:eastAsia="仿宋_GB2312" w:cs="仿宋_GB2312"/>
          <w:b/>
          <w:bCs/>
          <w:sz w:val="32"/>
          <w:szCs w:val="32"/>
        </w:rPr>
        <w:t>二是整治经营秩序</w:t>
      </w:r>
      <w:r>
        <w:rPr>
          <w:rFonts w:hint="eastAsia" w:ascii="仿宋_GB2312" w:hAnsi="仿宋_GB2312" w:eastAsia="仿宋_GB2312" w:cs="仿宋_GB2312"/>
          <w:sz w:val="32"/>
          <w:szCs w:val="32"/>
        </w:rPr>
        <w:t>。清理和规范流动摊贩、占道经营2000余起，治理公厕脏乱差60余处，治理工地乱象30余起。发出整改通知书50余份。</w:t>
      </w:r>
      <w:r>
        <w:rPr>
          <w:rFonts w:hint="eastAsia"/>
          <w:color w:val="auto"/>
          <w:highlight w:val="none"/>
          <w:lang w:val="en-US" w:eastAsia="zh-CN"/>
        </w:rPr>
        <w:t xml:space="preserve">    </w:t>
      </w:r>
    </w:p>
    <w:p w14:paraId="69C5865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综上，</w:t>
      </w:r>
      <w:r>
        <w:rPr>
          <w:rFonts w:hint="eastAsia" w:ascii="仿宋_GB2312" w:hAnsi="仿宋_GB2312" w:eastAsia="仿宋_GB2312" w:cs="仿宋_GB2312"/>
          <w:sz w:val="32"/>
          <w:szCs w:val="32"/>
          <w:lang w:val="zh-CN"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年度我单位在上级部门的坚强领导下，圆满完成了单位年度任务。故此项得15分。</w:t>
      </w:r>
    </w:p>
    <w:p w14:paraId="38DE12C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p>
    <w:p w14:paraId="4DEA93F1">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预算管理</w:t>
      </w:r>
      <w:r>
        <w:rPr>
          <w:rFonts w:hint="eastAsia" w:ascii="仿宋_GB2312" w:hAnsi="仿宋_GB2312" w:eastAsia="仿宋_GB2312" w:cs="仿宋_GB2312"/>
          <w:sz w:val="32"/>
          <w:szCs w:val="32"/>
          <w:lang w:val="zh-CN"/>
        </w:rPr>
        <w:t>。</w:t>
      </w:r>
    </w:p>
    <w:p w14:paraId="083428C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预算编制质量</w:t>
      </w:r>
    </w:p>
    <w:p w14:paraId="112BBF4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本部门财政拨款偏离度=|预算执行数</w:t>
      </w:r>
      <w:r>
        <w:rPr>
          <w:rFonts w:hint="eastAsia" w:ascii="仿宋_GB2312" w:hAnsi="仿宋_GB2312" w:eastAsia="仿宋_GB2312" w:cs="仿宋_GB2312"/>
          <w:sz w:val="32"/>
          <w:szCs w:val="32"/>
          <w:lang w:val="en-US" w:eastAsia="zh-CN"/>
        </w:rPr>
        <w:t>20600.56</w:t>
      </w:r>
      <w:r>
        <w:rPr>
          <w:rFonts w:hint="eastAsia" w:ascii="仿宋_GB2312" w:hAnsi="仿宋_GB2312" w:eastAsia="仿宋_GB2312" w:cs="仿宋_GB2312"/>
          <w:sz w:val="32"/>
          <w:szCs w:val="32"/>
          <w:lang w:val="zh-CN"/>
        </w:rPr>
        <w:t>万元-全年预算数</w:t>
      </w:r>
      <w:r>
        <w:rPr>
          <w:rFonts w:hint="eastAsia" w:ascii="仿宋_GB2312" w:hAnsi="仿宋_GB2312" w:eastAsia="仿宋_GB2312" w:cs="仿宋_GB2312"/>
          <w:sz w:val="32"/>
          <w:szCs w:val="32"/>
          <w:lang w:val="en-US" w:eastAsia="zh-CN"/>
        </w:rPr>
        <w:t>20600.56</w:t>
      </w:r>
      <w:r>
        <w:rPr>
          <w:rFonts w:hint="eastAsia" w:ascii="仿宋_GB2312" w:hAnsi="仿宋_GB2312" w:eastAsia="仿宋_GB2312" w:cs="仿宋_GB2312"/>
          <w:sz w:val="32"/>
          <w:szCs w:val="32"/>
          <w:lang w:val="zh-CN"/>
        </w:rPr>
        <w:t>万元|÷全年预算数</w:t>
      </w:r>
      <w:r>
        <w:rPr>
          <w:rFonts w:hint="eastAsia" w:ascii="仿宋_GB2312" w:hAnsi="仿宋_GB2312" w:eastAsia="仿宋_GB2312" w:cs="仿宋_GB2312"/>
          <w:sz w:val="32"/>
          <w:szCs w:val="32"/>
          <w:lang w:val="en-US" w:eastAsia="zh-CN"/>
        </w:rPr>
        <w:t>20600.56</w:t>
      </w:r>
      <w:r>
        <w:rPr>
          <w:rFonts w:hint="eastAsia" w:ascii="仿宋_GB2312" w:hAnsi="仿宋_GB2312" w:eastAsia="仿宋_GB2312" w:cs="仿宋_GB2312"/>
          <w:sz w:val="32"/>
          <w:szCs w:val="32"/>
          <w:lang w:val="zh-CN"/>
        </w:rPr>
        <w:t>万元=0.00%；202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年未购置设备，不涉及资产配置预算偏离度；未涉及政府采购。</w:t>
      </w:r>
    </w:p>
    <w:p w14:paraId="2264443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综上，根据评分标准，该项指标不扣分，得</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zh-CN"/>
        </w:rPr>
        <w:t>分。</w:t>
      </w:r>
    </w:p>
    <w:p w14:paraId="46F1C5C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）单位收入统筹</w:t>
      </w:r>
    </w:p>
    <w:p w14:paraId="06EA100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部门未有自有收入，不涉及单位收入统筹。</w:t>
      </w:r>
    </w:p>
    <w:p w14:paraId="28FEC90A">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综上，根据评分标准，该项指标不扣分，得</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分。</w:t>
      </w:r>
    </w:p>
    <w:p w14:paraId="363D6F2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支出执行进度</w:t>
      </w:r>
    </w:p>
    <w:p w14:paraId="5CEDC64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1至6月预算执行数为11689.91万元，部门全年预算数为20600.56万元，1至6月无支出预警金额和支出违规金额。</w:t>
      </w:r>
    </w:p>
    <w:p w14:paraId="010C6AE1">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1至10月预算执行数为16566.45万元，部门全年预算数为20600.56万元，1至10月无支出预警金额和支出违规金额。</w:t>
      </w:r>
    </w:p>
    <w:p w14:paraId="4DD0625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综上，根据评分标准，该项指标不扣分，得6分。</w:t>
      </w:r>
    </w:p>
    <w:p w14:paraId="7DD1577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（4）预算年终结余</w:t>
      </w:r>
    </w:p>
    <w:p w14:paraId="5F1438D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w:t>
      </w:r>
      <w:r>
        <w:rPr>
          <w:rFonts w:hint="default" w:ascii="仿宋_GB2312" w:hAnsi="仿宋_GB2312" w:eastAsia="仿宋_GB2312" w:cs="仿宋_GB2312"/>
          <w:sz w:val="32"/>
          <w:szCs w:val="32"/>
          <w:lang w:val="en-US" w:eastAsia="zh-CN"/>
        </w:rPr>
        <w:t>预算总金额为</w:t>
      </w:r>
      <w:r>
        <w:rPr>
          <w:rFonts w:hint="eastAsia" w:ascii="仿宋_GB2312" w:hAnsi="仿宋_GB2312" w:eastAsia="仿宋_GB2312" w:cs="仿宋_GB2312"/>
          <w:sz w:val="32"/>
          <w:szCs w:val="32"/>
          <w:lang w:val="en-US" w:eastAsia="zh-CN"/>
        </w:rPr>
        <w:t>20600.56</w:t>
      </w:r>
      <w:r>
        <w:rPr>
          <w:rFonts w:hint="default" w:ascii="仿宋_GB2312" w:hAnsi="仿宋_GB2312" w:eastAsia="仿宋_GB2312" w:cs="仿宋_GB2312"/>
          <w:sz w:val="32"/>
          <w:szCs w:val="32"/>
          <w:lang w:val="en-US" w:eastAsia="zh-CN"/>
        </w:rPr>
        <w:t>万元，年终部门预算注销金额为</w:t>
      </w:r>
      <w:r>
        <w:rPr>
          <w:rFonts w:hint="eastAsia" w:ascii="仿宋_GB2312" w:hAnsi="仿宋_GB2312" w:eastAsia="仿宋_GB2312" w:cs="仿宋_GB2312"/>
          <w:sz w:val="32"/>
          <w:szCs w:val="32"/>
          <w:lang w:val="en-US" w:eastAsia="zh-CN"/>
        </w:rPr>
        <w:t>0.00</w:t>
      </w:r>
      <w:r>
        <w:rPr>
          <w:rFonts w:hint="default" w:ascii="仿宋_GB2312" w:hAnsi="仿宋_GB2312" w:eastAsia="仿宋_GB2312" w:cs="仿宋_GB2312"/>
          <w:sz w:val="32"/>
          <w:szCs w:val="32"/>
          <w:lang w:val="en-US" w:eastAsia="zh-CN"/>
        </w:rPr>
        <w:t>万元，结转金额0.00万元</w:t>
      </w:r>
      <w:r>
        <w:rPr>
          <w:rFonts w:hint="eastAsia" w:ascii="仿宋_GB2312" w:hAnsi="仿宋_GB2312" w:eastAsia="仿宋_GB2312" w:cs="仿宋_GB2312"/>
          <w:sz w:val="32"/>
          <w:szCs w:val="32"/>
          <w:lang w:val="en-US" w:eastAsia="zh-CN"/>
        </w:rPr>
        <w:t>。</w:t>
      </w:r>
    </w:p>
    <w:p w14:paraId="07FFEC5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综上，根据评分标准，该项指标不扣分，得2分。</w:t>
      </w:r>
    </w:p>
    <w:p w14:paraId="4CDB8DC1">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（5）严控一般性支出</w:t>
      </w:r>
    </w:p>
    <w:p w14:paraId="5A92810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w:t>
      </w:r>
      <w:r>
        <w:rPr>
          <w:rFonts w:hint="default" w:ascii="仿宋_GB2312" w:hAnsi="仿宋_GB2312" w:eastAsia="仿宋_GB2312" w:cs="仿宋_GB2312"/>
          <w:sz w:val="32"/>
          <w:szCs w:val="32"/>
          <w:lang w:val="en-US" w:eastAsia="zh-CN"/>
        </w:rPr>
        <w:t xml:space="preserve">3-1 </w:t>
      </w:r>
      <w:r>
        <w:rPr>
          <w:rFonts w:hint="eastAsia" w:ascii="仿宋_GB2312" w:hAnsi="仿宋_GB2312" w:eastAsia="仿宋_GB2312" w:cs="仿宋_GB2312"/>
          <w:sz w:val="32"/>
          <w:szCs w:val="32"/>
          <w:lang w:val="en-US" w:eastAsia="zh-CN"/>
        </w:rPr>
        <w:t>一般性支出情况表</w:t>
      </w:r>
    </w:p>
    <w:p w14:paraId="547168D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单位：万元</w:t>
      </w:r>
    </w:p>
    <w:tbl>
      <w:tblPr>
        <w:tblStyle w:val="20"/>
        <w:tblW w:w="9870"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56"/>
        <w:gridCol w:w="1373"/>
        <w:gridCol w:w="1373"/>
        <w:gridCol w:w="1315"/>
        <w:gridCol w:w="1025"/>
        <w:gridCol w:w="1436"/>
        <w:gridCol w:w="1436"/>
        <w:gridCol w:w="956"/>
      </w:tblGrid>
      <w:tr w14:paraId="2A71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5" w:hRule="atLeast"/>
        </w:trPr>
        <w:tc>
          <w:tcPr>
            <w:tcW w:w="5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BE731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序号</w:t>
            </w:r>
          </w:p>
        </w:tc>
        <w:tc>
          <w:tcPr>
            <w:tcW w:w="16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6E560A">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项目名称</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7972498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3年度</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3ECC334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4年度</w:t>
            </w:r>
          </w:p>
        </w:tc>
        <w:tc>
          <w:tcPr>
            <w:tcW w:w="12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832FB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变动情况</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8FE574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3年度</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2F04501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4年度</w:t>
            </w:r>
          </w:p>
        </w:tc>
        <w:tc>
          <w:tcPr>
            <w:tcW w:w="8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E1B97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变动情况</w:t>
            </w:r>
          </w:p>
        </w:tc>
      </w:tr>
      <w:tr w14:paraId="00C0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5" w:hRule="atLeast"/>
        </w:trPr>
        <w:tc>
          <w:tcPr>
            <w:tcW w:w="571" w:type="dxa"/>
            <w:vMerge w:val="continue"/>
            <w:tcBorders>
              <w:top w:val="single" w:color="auto" w:sz="4" w:space="0"/>
              <w:left w:val="single" w:color="auto" w:sz="4" w:space="0"/>
              <w:bottom w:val="single" w:color="auto" w:sz="4" w:space="0"/>
              <w:right w:val="single" w:color="auto" w:sz="4" w:space="0"/>
            </w:tcBorders>
            <w:shd w:val="clear" w:color="auto" w:fill="D7D7D7"/>
            <w:vAlign w:val="center"/>
          </w:tcPr>
          <w:p w14:paraId="5548C72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p>
        </w:tc>
        <w:tc>
          <w:tcPr>
            <w:tcW w:w="1642" w:type="dxa"/>
            <w:vMerge w:val="continue"/>
            <w:tcBorders>
              <w:top w:val="single" w:color="auto" w:sz="4" w:space="0"/>
              <w:left w:val="single" w:color="auto" w:sz="4" w:space="0"/>
              <w:bottom w:val="single" w:color="auto" w:sz="4" w:space="0"/>
              <w:right w:val="single" w:color="auto" w:sz="4" w:space="0"/>
            </w:tcBorders>
            <w:shd w:val="clear" w:color="auto" w:fill="D7D7D7"/>
            <w:vAlign w:val="center"/>
          </w:tcPr>
          <w:p w14:paraId="49CA42D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6C0D4A5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财政拨款年初预算数</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34F38A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财政拨款年初预算数</w:t>
            </w:r>
          </w:p>
        </w:tc>
        <w:tc>
          <w:tcPr>
            <w:tcW w:w="12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67B42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09C9A1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财政拨款预算执行数</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4690514C">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财政拨款预算执行数</w:t>
            </w:r>
          </w:p>
        </w:tc>
        <w:tc>
          <w:tcPr>
            <w:tcW w:w="817" w:type="dxa"/>
            <w:vMerge w:val="continue"/>
            <w:tcBorders>
              <w:top w:val="single" w:color="auto" w:sz="4" w:space="0"/>
              <w:left w:val="single" w:color="auto" w:sz="4" w:space="0"/>
              <w:bottom w:val="single" w:color="auto" w:sz="4" w:space="0"/>
              <w:right w:val="single" w:color="auto" w:sz="4" w:space="0"/>
            </w:tcBorders>
            <w:shd w:val="clear" w:color="auto" w:fill="D7D7D7"/>
            <w:vAlign w:val="center"/>
          </w:tcPr>
          <w:p w14:paraId="2CF5A83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p>
        </w:tc>
      </w:tr>
      <w:tr w14:paraId="1A43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54F61AF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2672807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三公</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经费</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270B55F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993CC0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1C5B534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EDB2F6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6.55</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328E9E0C">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5.91</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5B2451B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r>
      <w:tr w14:paraId="7409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4CB7EFE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347C837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会议经费</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3AB1AF7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2AD344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7375D22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9943F0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1FEC382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3B197E5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r>
      <w:tr w14:paraId="393B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4E1D5CD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6EDF56C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培训经费</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03158047">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B7A9EA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36FEEBD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E6ED4F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7D393FE1">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0.13</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134F1DB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增加</w:t>
            </w:r>
          </w:p>
        </w:tc>
      </w:tr>
      <w:tr w14:paraId="2A58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4EB522D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12C8FCB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差旅经费</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076B368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736B8A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24E7313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584B27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16.68</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2757C73C">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9.51</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56008E5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减少</w:t>
            </w:r>
          </w:p>
        </w:tc>
      </w:tr>
      <w:tr w14:paraId="5A98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27CD4BEC">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7CA74ADA">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办节办展</w:t>
            </w:r>
          </w:p>
          <w:p w14:paraId="5BD2697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经费</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3411F25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716C93E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735291B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D1B0C6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62A6B36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3E9C2C1A">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r>
      <w:tr w14:paraId="10F9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5A589EA7">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122BE30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办公设备</w:t>
            </w:r>
          </w:p>
          <w:p w14:paraId="3D57B62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购置经费</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71B3DE3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796497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68C3CEA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AE5676C">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7AAF9A1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0.00</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4FD8F79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r>
      <w:tr w14:paraId="13E2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32A8F961">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5E12751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信息网络及软件购置更新经费</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1A18CE9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56EA82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3A39BA7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55D872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7FA66B2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1094188A">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r>
      <w:tr w14:paraId="2CCC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3D082FA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8</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72BC376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课题经费</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3E95599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207A5E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1F14EC1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2E40E9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26FD2A6C">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04A9CAD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r>
      <w:tr w14:paraId="1BC1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495F4FC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9</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7F9A730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合计</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75D8E66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516E061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27383C5A">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3C5EEBA">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23.36</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4A9B7E8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15.42</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3916668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减少</w:t>
            </w:r>
          </w:p>
        </w:tc>
      </w:tr>
    </w:tbl>
    <w:p w14:paraId="6F33DAC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综上，根据评分标准，该项指标扣2分，得3分。</w:t>
      </w:r>
    </w:p>
    <w:p w14:paraId="49D28C1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p>
    <w:p w14:paraId="0DD1CA2C">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财务管理</w:t>
      </w:r>
      <w:r>
        <w:rPr>
          <w:rFonts w:hint="eastAsia" w:ascii="仿宋_GB2312" w:hAnsi="仿宋_GB2312" w:eastAsia="仿宋_GB2312" w:cs="仿宋_GB2312"/>
          <w:sz w:val="32"/>
          <w:szCs w:val="32"/>
          <w:lang w:val="zh-CN"/>
        </w:rPr>
        <w:t>。</w:t>
      </w:r>
    </w:p>
    <w:p w14:paraId="69A5240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财务管理制度</w:t>
      </w:r>
    </w:p>
    <w:p w14:paraId="478C5FF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本部门</w:t>
      </w:r>
      <w:r>
        <w:rPr>
          <w:rFonts w:hint="eastAsia" w:ascii="仿宋_GB2312" w:hAnsi="仿宋_GB2312" w:eastAsia="仿宋_GB2312" w:cs="仿宋_GB2312"/>
          <w:sz w:val="32"/>
          <w:szCs w:val="32"/>
          <w:lang w:val="zh-CN" w:eastAsia="zh-CN"/>
        </w:rPr>
        <w:t>已建立《</w:t>
      </w:r>
      <w:r>
        <w:rPr>
          <w:rFonts w:hint="eastAsia" w:ascii="仿宋_GB2312" w:hAnsi="仿宋_GB2312" w:eastAsia="仿宋_GB2312" w:cs="仿宋_GB2312"/>
          <w:sz w:val="32"/>
          <w:szCs w:val="32"/>
          <w:lang w:val="en-US" w:eastAsia="zh-CN"/>
        </w:rPr>
        <w:t>马尔康市住房和城乡建设局财务管理制度</w:t>
      </w:r>
      <w:r>
        <w:rPr>
          <w:rFonts w:hint="eastAsia" w:ascii="仿宋_GB2312" w:hAnsi="仿宋_GB2312" w:eastAsia="仿宋_GB2312" w:cs="仿宋_GB2312"/>
          <w:sz w:val="32"/>
          <w:szCs w:val="32"/>
          <w:lang w:val="zh-CN" w:eastAsia="zh-CN"/>
        </w:rPr>
        <w:t>》，并将制度严格落到实处。</w:t>
      </w:r>
    </w:p>
    <w:p w14:paraId="50A69CB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综上，根据评分标准，该项指标不扣分，得4分。</w:t>
      </w:r>
    </w:p>
    <w:p w14:paraId="16CDA97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）财务岗位设置</w:t>
      </w:r>
    </w:p>
    <w:p w14:paraId="4E5DF71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本部门</w:t>
      </w:r>
      <w:r>
        <w:rPr>
          <w:rFonts w:hint="eastAsia" w:ascii="仿宋_GB2312" w:hAnsi="仿宋_GB2312" w:eastAsia="仿宋_GB2312" w:cs="仿宋_GB2312"/>
          <w:sz w:val="32"/>
          <w:szCs w:val="32"/>
          <w:lang w:val="zh-CN" w:eastAsia="zh-CN"/>
        </w:rPr>
        <w:t>已合理设置财务工作岗位，明确职责权限，并严格实行不相容岗位分离，岗位间职责清晰，各岗位按照工作流程有序进行。</w:t>
      </w:r>
    </w:p>
    <w:p w14:paraId="5398CEC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综上，根据评分标准，该项指标不扣分，得2分。</w:t>
      </w:r>
    </w:p>
    <w:p w14:paraId="77A8A0D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（3）资金使用规范</w:t>
      </w:r>
    </w:p>
    <w:p w14:paraId="3B0A230A">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w:t>
      </w:r>
      <w:r>
        <w:rPr>
          <w:rFonts w:hint="default" w:ascii="仿宋_GB2312" w:hAnsi="仿宋_GB2312" w:eastAsia="仿宋_GB2312" w:cs="仿宋_GB2312"/>
          <w:sz w:val="32"/>
          <w:szCs w:val="32"/>
          <w:lang w:val="en-US" w:eastAsia="zh-CN"/>
        </w:rPr>
        <w:t>资金严格按照相关财务管理制度进行使用，坚持量入为出、确保重点、厉行节约、注重实效、重大经济事项支出由</w:t>
      </w:r>
      <w:r>
        <w:rPr>
          <w:rFonts w:hint="eastAsia" w:ascii="仿宋_GB2312" w:hAnsi="仿宋_GB2312" w:eastAsia="仿宋_GB2312" w:cs="仿宋_GB2312"/>
          <w:sz w:val="32"/>
          <w:szCs w:val="32"/>
          <w:lang w:val="en-US" w:eastAsia="zh-CN"/>
        </w:rPr>
        <w:t>局党组</w:t>
      </w:r>
      <w:r>
        <w:rPr>
          <w:rFonts w:hint="default" w:ascii="仿宋_GB2312" w:hAnsi="仿宋_GB2312" w:eastAsia="仿宋_GB2312" w:cs="仿宋_GB2312"/>
          <w:sz w:val="32"/>
          <w:szCs w:val="32"/>
          <w:lang w:val="en-US" w:eastAsia="zh-CN"/>
        </w:rPr>
        <w:t>集体决策研究决定的原则，保证资金使用合法合规</w:t>
      </w:r>
      <w:r>
        <w:rPr>
          <w:rFonts w:hint="eastAsia" w:ascii="仿宋_GB2312" w:hAnsi="仿宋_GB2312" w:eastAsia="仿宋_GB2312" w:cs="仿宋_GB2312"/>
          <w:sz w:val="32"/>
          <w:szCs w:val="32"/>
          <w:lang w:val="en-US" w:eastAsia="zh-CN"/>
        </w:rPr>
        <w:t>。</w:t>
      </w:r>
    </w:p>
    <w:p w14:paraId="545FCD3A">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综上，根据评分标准，该项指标不扣分，得4分。</w:t>
      </w:r>
    </w:p>
    <w:p w14:paraId="3262912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zh-CN"/>
        </w:rPr>
        <w:t>资产管理</w:t>
      </w:r>
      <w:r>
        <w:rPr>
          <w:rFonts w:hint="eastAsia" w:ascii="仿宋_GB2312" w:hAnsi="仿宋_GB2312" w:eastAsia="仿宋_GB2312" w:cs="仿宋_GB2312"/>
          <w:sz w:val="32"/>
          <w:szCs w:val="32"/>
          <w:lang w:val="zh-CN"/>
        </w:rPr>
        <w:t>。围绕人均资产变化率、资产利用率、资产盘活率</w:t>
      </w:r>
      <w:r>
        <w:rPr>
          <w:rFonts w:hint="default" w:ascii="仿宋_GB2312" w:hAnsi="仿宋_GB2312" w:eastAsia="仿宋_GB2312" w:cs="仿宋_GB2312"/>
          <w:sz w:val="32"/>
          <w:szCs w:val="32"/>
          <w:lang w:val="zh-CN"/>
        </w:rPr>
        <w:t>进行绩效分析</w:t>
      </w:r>
      <w:r>
        <w:rPr>
          <w:rFonts w:hint="eastAsia" w:ascii="仿宋_GB2312" w:hAnsi="仿宋_GB2312" w:eastAsia="仿宋_GB2312" w:cs="仿宋_GB2312"/>
          <w:sz w:val="32"/>
          <w:szCs w:val="32"/>
          <w:lang w:val="zh-CN"/>
        </w:rPr>
        <w:t>。</w:t>
      </w:r>
    </w:p>
    <w:p w14:paraId="68DC9D6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zh-CN"/>
        </w:rPr>
        <w:t>采购管理</w:t>
      </w:r>
      <w:r>
        <w:rPr>
          <w:rFonts w:hint="eastAsia" w:ascii="仿宋_GB2312" w:hAnsi="仿宋_GB2312" w:eastAsia="仿宋_GB2312" w:cs="仿宋_GB2312"/>
          <w:sz w:val="32"/>
          <w:szCs w:val="32"/>
          <w:lang w:val="zh-CN"/>
        </w:rPr>
        <w:t>。围绕支持中小企业发展、采购执行率</w:t>
      </w:r>
      <w:r>
        <w:rPr>
          <w:rFonts w:hint="default" w:ascii="仿宋_GB2312" w:hAnsi="仿宋_GB2312" w:eastAsia="仿宋_GB2312" w:cs="仿宋_GB2312"/>
          <w:sz w:val="32"/>
          <w:szCs w:val="32"/>
          <w:lang w:val="zh-CN"/>
        </w:rPr>
        <w:t>进行绩效分析</w:t>
      </w:r>
      <w:r>
        <w:rPr>
          <w:rFonts w:hint="eastAsia" w:ascii="仿宋_GB2312" w:hAnsi="仿宋_GB2312" w:eastAsia="仿宋_GB2312" w:cs="仿宋_GB2312"/>
          <w:sz w:val="32"/>
          <w:szCs w:val="32"/>
          <w:lang w:val="zh-CN"/>
        </w:rPr>
        <w:t>。</w:t>
      </w:r>
    </w:p>
    <w:p w14:paraId="798C375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rPr>
        <w:t>（二）部门预算项目绩效分析。</w:t>
      </w:r>
    </w:p>
    <w:p w14:paraId="4BDFD62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en-US" w:eastAsia="zh-CN"/>
        </w:rPr>
        <w:t>常年项目绩效分析。</w:t>
      </w:r>
      <w:r>
        <w:rPr>
          <w:rFonts w:hint="default" w:ascii="仿宋_GB2312" w:hAnsi="仿宋_GB2312" w:eastAsia="仿宋_GB2312" w:cs="仿宋_GB2312"/>
          <w:sz w:val="32"/>
          <w:szCs w:val="32"/>
          <w:lang w:val="zh-CN" w:eastAsia="zh-CN"/>
        </w:rPr>
        <w:t>该类项目总数</w:t>
      </w:r>
      <w:r>
        <w:rPr>
          <w:rFonts w:hint="eastAsia" w:ascii="仿宋_GB2312" w:hAnsi="仿宋_GB2312" w:eastAsia="仿宋_GB2312" w:cs="仿宋_GB2312"/>
          <w:sz w:val="32"/>
          <w:szCs w:val="32"/>
          <w:lang w:val="en-US" w:eastAsia="zh-CN"/>
        </w:rPr>
        <w:t>14</w:t>
      </w:r>
      <w:r>
        <w:rPr>
          <w:rFonts w:hint="default" w:ascii="仿宋_GB2312" w:hAnsi="仿宋_GB2312" w:eastAsia="仿宋_GB2312" w:cs="仿宋_GB2312"/>
          <w:sz w:val="32"/>
          <w:szCs w:val="32"/>
          <w:lang w:val="zh-CN" w:eastAsia="zh-CN"/>
        </w:rPr>
        <w:t>个，涉及预算总金额</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1156.61</w:t>
      </w:r>
      <w:r>
        <w:rPr>
          <w:rFonts w:hint="default" w:ascii="仿宋_GB2312" w:hAnsi="仿宋_GB2312" w:eastAsia="仿宋_GB2312" w:cs="仿宋_GB2312"/>
          <w:sz w:val="32"/>
          <w:szCs w:val="32"/>
          <w:lang w:val="zh-CN" w:eastAsia="zh-CN"/>
        </w:rPr>
        <w:t>万元，</w:t>
      </w:r>
      <w:r>
        <w:rPr>
          <w:rFonts w:hint="default"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rPr>
        <w:t>1</w:t>
      </w:r>
      <w:r>
        <w:rPr>
          <w:rFonts w:hint="default"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rPr>
        <w:t>月预算执行总体进度为</w:t>
      </w:r>
      <w:r>
        <w:rPr>
          <w:rFonts w:hint="eastAsia" w:ascii="仿宋_GB2312" w:hAnsi="仿宋_GB2312" w:eastAsia="仿宋_GB2312" w:cs="仿宋_GB2312"/>
          <w:sz w:val="32"/>
          <w:szCs w:val="32"/>
          <w:lang w:val="en-US" w:eastAsia="zh-CN"/>
        </w:rPr>
        <w:t>100</w:t>
      </w:r>
      <w:r>
        <w:rPr>
          <w:rFonts w:hint="default"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zh-CN"/>
        </w:rPr>
        <w:t>%，其中：</w:t>
      </w:r>
      <w:r>
        <w:rPr>
          <w:rFonts w:hint="default" w:ascii="仿宋_GB2312" w:hAnsi="仿宋_GB2312" w:eastAsia="仿宋_GB2312" w:cs="仿宋_GB2312"/>
          <w:sz w:val="32"/>
          <w:szCs w:val="32"/>
          <w:lang w:val="zh-CN" w:eastAsia="zh-CN"/>
        </w:rPr>
        <w:t>预算结余率大于</w:t>
      </w:r>
      <w:r>
        <w:rPr>
          <w:rFonts w:hint="default"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val="zh-CN" w:eastAsia="zh-CN"/>
        </w:rPr>
        <w:t>的项目共计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zh-CN" w:eastAsia="zh-CN"/>
        </w:rPr>
        <w:t>个。</w:t>
      </w:r>
    </w:p>
    <w:p w14:paraId="455B42D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en-US" w:eastAsia="zh-CN"/>
        </w:rPr>
        <w:t>阶段</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一次性</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项目绩效分析。</w:t>
      </w:r>
      <w:r>
        <w:rPr>
          <w:rFonts w:hint="default" w:ascii="仿宋_GB2312" w:hAnsi="仿宋_GB2312" w:eastAsia="仿宋_GB2312" w:cs="仿宋_GB2312"/>
          <w:sz w:val="32"/>
          <w:szCs w:val="32"/>
          <w:lang w:val="zh-CN" w:eastAsia="zh-CN"/>
        </w:rPr>
        <w:t>该类项目总数</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zh-CN" w:eastAsia="zh-CN"/>
        </w:rPr>
        <w:t>个，涉及预算总金额</w:t>
      </w:r>
      <w:r>
        <w:rPr>
          <w:rFonts w:hint="eastAsia" w:ascii="仿宋_GB2312" w:hAnsi="仿宋_GB2312" w:eastAsia="仿宋_GB2312" w:cs="仿宋_GB2312"/>
          <w:sz w:val="32"/>
          <w:szCs w:val="32"/>
          <w:lang w:val="en-US" w:eastAsia="zh-CN"/>
        </w:rPr>
        <w:t>48.36</w:t>
      </w:r>
      <w:r>
        <w:rPr>
          <w:rFonts w:hint="default" w:ascii="仿宋_GB2312" w:hAnsi="仿宋_GB2312" w:eastAsia="仿宋_GB2312" w:cs="仿宋_GB2312"/>
          <w:sz w:val="32"/>
          <w:szCs w:val="32"/>
          <w:lang w:val="zh-CN" w:eastAsia="zh-CN"/>
        </w:rPr>
        <w:t>万元，</w:t>
      </w:r>
      <w:r>
        <w:rPr>
          <w:rFonts w:hint="default"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rPr>
        <w:t>1</w:t>
      </w:r>
      <w:r>
        <w:rPr>
          <w:rFonts w:hint="default"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rPr>
        <w:t>月预算执行总体进度为</w:t>
      </w:r>
      <w:r>
        <w:rPr>
          <w:rFonts w:hint="eastAsia" w:ascii="仿宋_GB2312" w:hAnsi="仿宋_GB2312" w:eastAsia="仿宋_GB2312" w:cs="仿宋_GB2312"/>
          <w:sz w:val="32"/>
          <w:szCs w:val="32"/>
          <w:lang w:val="en-US" w:eastAsia="zh-CN"/>
        </w:rPr>
        <w:t>100</w:t>
      </w:r>
      <w:r>
        <w:rPr>
          <w:rFonts w:hint="default" w:ascii="仿宋_GB2312" w:hAnsi="仿宋_GB2312" w:eastAsia="仿宋_GB2312" w:cs="仿宋_GB2312"/>
          <w:sz w:val="32"/>
          <w:szCs w:val="32"/>
          <w:lang w:val="zh-CN"/>
        </w:rPr>
        <w:t>%，其中：</w:t>
      </w:r>
      <w:r>
        <w:rPr>
          <w:rFonts w:hint="default" w:ascii="仿宋_GB2312" w:hAnsi="仿宋_GB2312" w:eastAsia="仿宋_GB2312" w:cs="仿宋_GB2312"/>
          <w:sz w:val="32"/>
          <w:szCs w:val="32"/>
          <w:lang w:val="zh-CN" w:eastAsia="zh-CN"/>
        </w:rPr>
        <w:t>预算结余率大于</w:t>
      </w:r>
      <w:r>
        <w:rPr>
          <w:rFonts w:hint="default"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val="zh-CN" w:eastAsia="zh-CN"/>
        </w:rPr>
        <w:t>的项目共计</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zh-CN" w:eastAsia="zh-CN"/>
        </w:rPr>
        <w:t>个。</w:t>
      </w:r>
    </w:p>
    <w:p w14:paraId="7A636FE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项目决策。</w:t>
      </w:r>
    </w:p>
    <w:p w14:paraId="6E91197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决策程序</w:t>
      </w:r>
    </w:p>
    <w:p w14:paraId="699A921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本部门预算阶段项目（含一次性项目）总数为17个，无未履行事前评估程序的部门预算阶段项目。</w:t>
      </w:r>
    </w:p>
    <w:p w14:paraId="68DA4E8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综上，根据评分标准，该项指标不扣分，得4分。</w:t>
      </w:r>
    </w:p>
    <w:p w14:paraId="29C05961">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（2）目标设置</w:t>
      </w:r>
    </w:p>
    <w:p w14:paraId="1E0C452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预算阶段项目（含一次性项目）总数为17个，无绩效目标与计划期内的任务量、预算安排不相匹配的部门预算阶段项目（含一次性项目）。</w:t>
      </w:r>
    </w:p>
    <w:p w14:paraId="1076E8E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综上，根据评分标准，该项指标不扣分，得4分。</w:t>
      </w:r>
    </w:p>
    <w:p w14:paraId="734EDF6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项目入库</w:t>
      </w:r>
    </w:p>
    <w:p w14:paraId="19B41A1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预算阶段项目（含一次性项目）总数为17个，无绩效目标与计划期内的任务量、预算安排不相匹配的部门预算阶段项目（含一次性项目）。</w:t>
      </w:r>
    </w:p>
    <w:p w14:paraId="1C44549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综上，根据评分标准，该项指标不扣分，得4分。</w:t>
      </w:r>
    </w:p>
    <w:p w14:paraId="2892369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p>
    <w:p w14:paraId="1A41FE4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项目执行</w:t>
      </w:r>
      <w:r>
        <w:rPr>
          <w:rFonts w:hint="eastAsia" w:ascii="仿宋_GB2312" w:hAnsi="仿宋_GB2312" w:eastAsia="仿宋_GB2312" w:cs="仿宋_GB2312"/>
          <w:sz w:val="32"/>
          <w:szCs w:val="32"/>
          <w:lang w:val="zh-CN"/>
        </w:rPr>
        <w:t>。</w:t>
      </w:r>
    </w:p>
    <w:p w14:paraId="50FE9CEC">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）资金执行同向</w:t>
      </w:r>
    </w:p>
    <w:p w14:paraId="0DF5DFF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预算阶段项目（含一次性项目）总数为</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val="zh-CN" w:eastAsia="zh-CN"/>
        </w:rPr>
        <w:t>个，无实际列支内容与绩效目标设置方向不相符的部门预算阶段项目（含一次性项目）。</w:t>
      </w:r>
    </w:p>
    <w:p w14:paraId="07510E0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综上，根据评分标准，该项指标不扣分，得4分。</w:t>
      </w:r>
    </w:p>
    <w:p w14:paraId="7C86D3E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）项目调整</w:t>
      </w:r>
    </w:p>
    <w:p w14:paraId="1372DD8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不涉及应采取收回预算、调整目标等处置措施的部门预算阶段项目（含一次性项目）。</w:t>
      </w:r>
    </w:p>
    <w:p w14:paraId="64F5FD8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综上，根据评分标准，该项指标不扣分，得4分。</w:t>
      </w:r>
    </w:p>
    <w:p w14:paraId="354D8801">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）执行结果</w:t>
      </w:r>
    </w:p>
    <w:p w14:paraId="5DCB266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预算结余率小于10%的常年项目数量为</w:t>
      </w:r>
      <w:r>
        <w:rPr>
          <w:rFonts w:hint="eastAsia" w:ascii="仿宋_GB2312" w:hAnsi="仿宋_GB2312" w:eastAsia="仿宋_GB2312" w:cs="仿宋_GB2312"/>
          <w:sz w:val="32"/>
          <w:szCs w:val="32"/>
          <w:lang w:val="en-US" w:eastAsia="zh-CN"/>
        </w:rPr>
        <w:t>14</w:t>
      </w:r>
      <w:r>
        <w:rPr>
          <w:rFonts w:hint="default" w:ascii="仿宋_GB2312" w:hAnsi="仿宋_GB2312" w:eastAsia="仿宋_GB2312" w:cs="仿宋_GB2312"/>
          <w:sz w:val="32"/>
          <w:szCs w:val="32"/>
          <w:lang w:val="zh-CN" w:eastAsia="zh-CN"/>
        </w:rPr>
        <w:t>个，部门预算常年项目总数为</w:t>
      </w:r>
      <w:r>
        <w:rPr>
          <w:rFonts w:hint="eastAsia" w:ascii="仿宋_GB2312" w:hAnsi="仿宋_GB2312" w:eastAsia="仿宋_GB2312" w:cs="仿宋_GB2312"/>
          <w:sz w:val="32"/>
          <w:szCs w:val="32"/>
          <w:lang w:val="en-US" w:eastAsia="zh-CN"/>
        </w:rPr>
        <w:t>14</w:t>
      </w:r>
      <w:r>
        <w:rPr>
          <w:rFonts w:hint="default" w:ascii="仿宋_GB2312" w:hAnsi="仿宋_GB2312" w:eastAsia="仿宋_GB2312" w:cs="仿宋_GB2312"/>
          <w:sz w:val="32"/>
          <w:szCs w:val="32"/>
          <w:lang w:val="zh-CN" w:eastAsia="zh-CN"/>
        </w:rPr>
        <w:t>个，预算结余率小于10%的一次性项目和阶段项目数量为</w:t>
      </w:r>
      <w:r>
        <w:rPr>
          <w:rFonts w:hint="eastAsia" w:ascii="仿宋_GB2312" w:hAnsi="仿宋_GB2312" w:eastAsia="仿宋_GB2312" w:cs="仿宋_GB2312"/>
          <w:sz w:val="32"/>
          <w:szCs w:val="32"/>
          <w:lang w:val="en-US" w:eastAsia="zh-CN"/>
        </w:rPr>
        <w:t>17</w:t>
      </w:r>
      <w:r>
        <w:rPr>
          <w:rFonts w:hint="default" w:ascii="仿宋_GB2312" w:hAnsi="仿宋_GB2312" w:eastAsia="仿宋_GB2312" w:cs="仿宋_GB2312"/>
          <w:sz w:val="32"/>
          <w:szCs w:val="32"/>
          <w:lang w:val="zh-CN" w:eastAsia="zh-CN"/>
        </w:rPr>
        <w:t>个，部门预算一次性项目和阶段项目总数为</w:t>
      </w:r>
      <w:r>
        <w:rPr>
          <w:rFonts w:hint="eastAsia" w:ascii="仿宋_GB2312" w:hAnsi="仿宋_GB2312" w:eastAsia="仿宋_GB2312" w:cs="仿宋_GB2312"/>
          <w:sz w:val="32"/>
          <w:szCs w:val="32"/>
          <w:lang w:val="en-US" w:eastAsia="zh-CN"/>
        </w:rPr>
        <w:t>17</w:t>
      </w:r>
      <w:r>
        <w:rPr>
          <w:rFonts w:hint="default" w:ascii="仿宋_GB2312" w:hAnsi="仿宋_GB2312" w:eastAsia="仿宋_GB2312" w:cs="仿宋_GB2312"/>
          <w:sz w:val="32"/>
          <w:szCs w:val="32"/>
          <w:lang w:val="zh-CN" w:eastAsia="zh-CN"/>
        </w:rPr>
        <w:t>个。</w:t>
      </w:r>
    </w:p>
    <w:p w14:paraId="2B74EAA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综上，根据评分标准，该项指标得4分。</w:t>
      </w:r>
    </w:p>
    <w:p w14:paraId="64D7BBB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p>
    <w:p w14:paraId="4D72665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目标实现。</w:t>
      </w:r>
    </w:p>
    <w:p w14:paraId="1910986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）目标完成</w:t>
      </w:r>
    </w:p>
    <w:p w14:paraId="6A2B5F2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预算阶段项目（含一次性项目）总数为</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val="zh-CN" w:eastAsia="zh-CN"/>
        </w:rPr>
        <w:t>个，已完成绩效目标数量指标的部门预算阶段项目（含一次性项目）数量为</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val="zh-CN" w:eastAsia="zh-CN"/>
        </w:rPr>
        <w:t>个。</w:t>
      </w:r>
    </w:p>
    <w:p w14:paraId="702AB82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综上，根据评分标准，该项指标不扣分，得4分。</w:t>
      </w:r>
    </w:p>
    <w:p w14:paraId="304738A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）目标偏离</w:t>
      </w:r>
    </w:p>
    <w:p w14:paraId="3977448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已完成预期指标值的数量指标中偏离度在30%内的指标个数为</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val="zh-CN" w:eastAsia="zh-CN"/>
        </w:rPr>
        <w:t>个，已完成预期指标值的数量指标个数为</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val="zh-CN" w:eastAsia="zh-CN"/>
        </w:rPr>
        <w:t>个。</w:t>
      </w:r>
    </w:p>
    <w:p w14:paraId="6E07E85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综上，根据评分标准，该项指标不扣分，得4分。</w:t>
      </w:r>
    </w:p>
    <w:p w14:paraId="0B0D9C6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）实现</w:t>
      </w:r>
      <w:r>
        <w:rPr>
          <w:rFonts w:hint="eastAsia" w:ascii="仿宋_GB2312" w:hAnsi="仿宋_GB2312" w:eastAsia="仿宋_GB2312" w:cs="仿宋_GB2312"/>
          <w:sz w:val="32"/>
          <w:szCs w:val="32"/>
          <w:lang w:val="en-US" w:eastAsia="zh-CN"/>
        </w:rPr>
        <w:t>效果</w:t>
      </w:r>
    </w:p>
    <w:p w14:paraId="5AF9B88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预算阶段项目（含一次性项目）总数为</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val="zh-CN" w:eastAsia="zh-CN"/>
        </w:rPr>
        <w:t>个，完成绩效目标效益指标的部门预算阶段项目（含一次性项目）数量为</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val="zh-CN" w:eastAsia="zh-CN"/>
        </w:rPr>
        <w:t>个，我所预算项目绩效目标效益指标实施效果较好，均已达到设定指标值。</w:t>
      </w:r>
    </w:p>
    <w:p w14:paraId="57A836B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综上，根据评分标准，该项指标得3分。</w:t>
      </w:r>
    </w:p>
    <w:p w14:paraId="367910E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重点领域</w:t>
      </w:r>
      <w:r>
        <w:rPr>
          <w:rFonts w:hint="default" w:ascii="仿宋_GB2312" w:hAnsi="仿宋_GB2312" w:eastAsia="仿宋_GB2312" w:cs="仿宋_GB2312"/>
          <w:sz w:val="32"/>
          <w:szCs w:val="32"/>
          <w:lang w:val="zh-CN"/>
        </w:rPr>
        <w:t>绩效分析</w:t>
      </w:r>
      <w:r>
        <w:rPr>
          <w:rFonts w:hint="default" w:ascii="仿宋_GB2312" w:hAnsi="仿宋_GB2312" w:eastAsia="仿宋_GB2312" w:cs="仿宋_GB2312"/>
          <w:sz w:val="32"/>
          <w:szCs w:val="32"/>
          <w:lang w:val="zh-CN" w:eastAsia="zh-CN"/>
        </w:rPr>
        <w:t>。</w:t>
      </w:r>
    </w:p>
    <w:p w14:paraId="4DCB753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1.行政事业性国有资产绩效分析。</w:t>
      </w:r>
    </w:p>
    <w:p w14:paraId="0D0E0BD7">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严格按照相关工作要求，在四川省行政事业性国有资产管理信息系统中对国有资产进行管理，按时将新购、满足固定资产登记条件的资产进行资产卡片新增。每月初按时填报资产月报，严格审核，确保数据准确、及时、完整性，有效夯实了行政事业性国有资产管理基础工作。</w:t>
      </w:r>
    </w:p>
    <w:p w14:paraId="3AABE7F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2.政府采购绩效分析。</w:t>
      </w:r>
    </w:p>
    <w:p w14:paraId="6BD513C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2024年本部门涉及政府采购183.55万元，严格按照政府采购流程制度执行。                                </w:t>
      </w:r>
    </w:p>
    <w:p w14:paraId="1BB0BC17">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绩效结果应用情况</w:t>
      </w:r>
      <w:r>
        <w:rPr>
          <w:rFonts w:hint="eastAsia" w:ascii="仿宋_GB2312" w:hAnsi="仿宋_GB2312" w:eastAsia="仿宋_GB2312" w:cs="仿宋_GB2312"/>
          <w:sz w:val="32"/>
          <w:szCs w:val="32"/>
          <w:lang w:val="zh-CN"/>
        </w:rPr>
        <w:t>。</w:t>
      </w:r>
    </w:p>
    <w:p w14:paraId="6379554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本部门在2024年圆满完成单位的年度任务，明确预算编制、预算分解、预算执行与分析、预算调整、决算管理、预算绩效管理及预决算信息公开管理等业务环节的管理要求，加强预算业务各环节的风险管控，并在日常的各个任务间提升我处的自身素质，提升隧道运行维护能力，夯实责任，筑牢安全生产防线，加强财务制度落实，提升财务业务水平，做好资料管理，推动工作高效开展</w:t>
      </w:r>
      <w:r>
        <w:rPr>
          <w:rFonts w:hint="eastAsia" w:ascii="仿宋_GB2312" w:hAnsi="仿宋_GB2312" w:eastAsia="仿宋_GB2312" w:cs="仿宋_GB2312"/>
          <w:sz w:val="32"/>
          <w:szCs w:val="32"/>
          <w:lang w:val="zh-CN" w:eastAsia="zh-CN"/>
        </w:rPr>
        <w:t>。</w:t>
      </w:r>
    </w:p>
    <w:p w14:paraId="7C86F751">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rPr>
      </w:pPr>
    </w:p>
    <w:p w14:paraId="07B7AC1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lang w:eastAsia="zh-CN"/>
        </w:rPr>
        <w:t>四、</w:t>
      </w:r>
      <w:r>
        <w:rPr>
          <w:rFonts w:hint="default" w:ascii="仿宋_GB2312" w:hAnsi="仿宋_GB2312" w:eastAsia="仿宋_GB2312" w:cs="仿宋_GB2312"/>
          <w:sz w:val="32"/>
          <w:szCs w:val="32"/>
        </w:rPr>
        <w:t>评价结论及建议</w:t>
      </w:r>
    </w:p>
    <w:p w14:paraId="0F76DA3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（一）评价结论。</w:t>
      </w:r>
    </w:p>
    <w:p w14:paraId="06D43C2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本部门履职效果和预算管理效果较好，财务管理、资产管理、采购管理规范，项目决策程序严格，项目执行进度良好，绩效目标实现程度良好。根据《阿坝州财政局关于开展2024年州级部门绩效自评工作的通知》中部门整体支出绩效评价指标体系，2023年度自评得分94.40分。</w:t>
      </w:r>
    </w:p>
    <w:p w14:paraId="415FD20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存在问题。</w:t>
      </w:r>
    </w:p>
    <w:p w14:paraId="73B868C7">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zh-CN" w:eastAsia="zh-CN"/>
        </w:rPr>
        <w:t>一般性支出管理有待加强</w:t>
      </w:r>
    </w:p>
    <w:p w14:paraId="1CBFC97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本部门</w:t>
      </w:r>
      <w:r>
        <w:rPr>
          <w:rFonts w:hint="default" w:ascii="仿宋_GB2312" w:hAnsi="仿宋_GB2312" w:eastAsia="仿宋_GB2312" w:cs="仿宋_GB2312"/>
          <w:sz w:val="32"/>
          <w:szCs w:val="32"/>
          <w:lang w:val="zh-CN" w:eastAsia="zh-CN"/>
        </w:rPr>
        <w:t>一般性支出202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zh-CN" w:eastAsia="zh-CN"/>
        </w:rPr>
        <w:t>年财政拨款预算执行数较202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zh-CN" w:eastAsia="zh-CN"/>
        </w:rPr>
        <w:t>年有所</w:t>
      </w:r>
      <w:r>
        <w:rPr>
          <w:rFonts w:hint="eastAsia" w:ascii="仿宋_GB2312" w:hAnsi="仿宋_GB2312" w:eastAsia="仿宋_GB2312" w:cs="仿宋_GB2312"/>
          <w:sz w:val="32"/>
          <w:szCs w:val="32"/>
          <w:lang w:val="en-US" w:eastAsia="zh-CN"/>
        </w:rPr>
        <w:t>减少</w:t>
      </w:r>
      <w:r>
        <w:rPr>
          <w:rFonts w:hint="default" w:ascii="仿宋_GB2312" w:hAnsi="仿宋_GB2312" w:eastAsia="仿宋_GB2312" w:cs="仿宋_GB2312"/>
          <w:sz w:val="32"/>
          <w:szCs w:val="32"/>
          <w:lang w:val="zh-CN" w:eastAsia="zh-CN"/>
        </w:rPr>
        <w:t>，原因是</w:t>
      </w:r>
      <w:r>
        <w:rPr>
          <w:rFonts w:hint="eastAsia" w:ascii="仿宋_GB2312" w:hAnsi="仿宋_GB2312" w:eastAsia="仿宋_GB2312" w:cs="仿宋_GB2312"/>
          <w:sz w:val="32"/>
          <w:szCs w:val="32"/>
          <w:lang w:val="en-US" w:eastAsia="zh-CN"/>
        </w:rPr>
        <w:t>项目减少，人员减少</w:t>
      </w:r>
      <w:r>
        <w:rPr>
          <w:rFonts w:hint="default" w:ascii="仿宋_GB2312" w:hAnsi="仿宋_GB2312" w:eastAsia="仿宋_GB2312" w:cs="仿宋_GB2312"/>
          <w:sz w:val="32"/>
          <w:szCs w:val="32"/>
          <w:lang w:val="zh-CN" w:eastAsia="zh-CN"/>
        </w:rPr>
        <w:t>。</w:t>
      </w:r>
    </w:p>
    <w:p w14:paraId="1F8E0BBC">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eastAsia="zh-CN"/>
        </w:rPr>
        <w:t>资产管理工作有待提升</w:t>
      </w:r>
    </w:p>
    <w:p w14:paraId="240914D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本部门</w:t>
      </w:r>
      <w:r>
        <w:rPr>
          <w:rFonts w:hint="default" w:ascii="仿宋_GB2312" w:hAnsi="仿宋_GB2312" w:eastAsia="仿宋_GB2312" w:cs="仿宋_GB2312"/>
          <w:sz w:val="32"/>
          <w:szCs w:val="32"/>
          <w:lang w:val="zh-CN" w:eastAsia="zh-CN"/>
        </w:rPr>
        <w:t>资产利用率较低，办公家具的超最低使用年限资产利用率小于省直行政事业单位平均值。</w:t>
      </w:r>
    </w:p>
    <w:p w14:paraId="4A5CA92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62D0F97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改进建议。</w:t>
      </w:r>
    </w:p>
    <w:p w14:paraId="1106D9D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1.严控一般性支出</w:t>
      </w:r>
    </w:p>
    <w:p w14:paraId="620260F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本部门将增强“过紧日子”思想意识，充分认识“过紧日子”的重要性和必要性，相关领导要以身作则，做好表率，层层压实责任，确保“过紧日子”思想深入人心，厉行节约措施落实到位。</w:t>
      </w:r>
    </w:p>
    <w:p w14:paraId="4461FB9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2.加强资产管理基础</w:t>
      </w:r>
    </w:p>
    <w:p w14:paraId="07E1A62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是优化管理流程。制定并执行资产从采购、使用、维护、到报废的全生命周期管理流程；定期对资产进行盘点，确保账实相符，及早发现并处理异常情况；建立和优化资产管理的标准流程，确保各环节有章可循，减少人为错误。</w:t>
      </w:r>
    </w:p>
    <w:p w14:paraId="4F4DD3F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二是加强人员培训。定期对资产管理人员进行专业培训，增强他们的工作技能和责任意识；编写详细的操作手册和指南，帮助员工了解和遵守资产管理的相关规定。</w:t>
      </w:r>
    </w:p>
    <w:p w14:paraId="7838B80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三是建立健全的制度。明确各部门和岗位在资产管理中的职责，确保责任落实到人；制定合理的奖惩机制，激励员工积极参与资产管理工作，对违规行为进行有效约束。</w:t>
      </w:r>
    </w:p>
    <w:p w14:paraId="66D1319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6C63572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7D074DC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5BDC12B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附件2：2024年马尔康市住房和城乡建设局预算项目自评表</w:t>
      </w:r>
    </w:p>
    <w:p w14:paraId="30C2D99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172884A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4C882E8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1256DF4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object>
          <v:shape id="_x0000_i1025" o:spt="75" type="#_x0000_t75" style="height:66pt;width:72.75pt;" o:ole="t" filled="f" o:preferrelative="t" stroked="f" coordsize="21600,21600">
            <v:path/>
            <v:fill on="f" focussize="0,0"/>
            <v:stroke on="f"/>
            <v:imagedata r:id="rId14" o:title=""/>
            <o:lock v:ext="edit" aspectratio="t"/>
            <w10:wrap type="none"/>
            <w10:anchorlock/>
          </v:shape>
          <o:OLEObject Type="Embed" ProgID="Excel.Sheet.12" ShapeID="_x0000_i1025" DrawAspect="Icon" ObjectID="_1468075725" r:id="rId13">
            <o:LockedField>false</o:LockedField>
          </o:OLEObject>
        </w:object>
      </w:r>
    </w:p>
    <w:p w14:paraId="1ACF751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18609F6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2660BAA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7989825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2B505F3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1E0CB78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1C3DD55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348F927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1215C13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2F8E572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235D1E7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_GB2312" w:hAnsi="仿宋_GB2312" w:eastAsia="仿宋_GB2312" w:cs="仿宋_GB2312"/>
          <w:color w:val="333333"/>
          <w:sz w:val="32"/>
          <w:szCs w:val="32"/>
          <w:lang w:val="en-US" w:eastAsia="zh-CN"/>
        </w:rPr>
      </w:pPr>
    </w:p>
    <w:p w14:paraId="070BF1C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48701DF6">
      <w:pPr>
        <w:snapToGrid w:val="0"/>
        <w:spacing w:line="600" w:lineRule="exact"/>
        <w:jc w:val="center"/>
        <w:rPr>
          <w:rFonts w:hint="eastAsia" w:ascii="仿宋_GB2312" w:hAnsi="仿宋_GB2312" w:eastAsia="仿宋_GB2312" w:cs="仿宋_GB2312"/>
          <w:color w:val="333333"/>
          <w:sz w:val="32"/>
          <w:szCs w:val="32"/>
          <w:lang w:val="en-US" w:eastAsia="zh-CN"/>
        </w:rPr>
      </w:pPr>
    </w:p>
    <w:p w14:paraId="122A6361">
      <w:pPr>
        <w:snapToGrid w:val="0"/>
        <w:spacing w:line="600" w:lineRule="exact"/>
        <w:jc w:val="center"/>
        <w:rPr>
          <w:rFonts w:hint="eastAsia" w:ascii="仿宋_GB2312" w:hAnsi="仿宋_GB2312" w:eastAsia="仿宋_GB2312" w:cs="仿宋_GB2312"/>
          <w:color w:val="333333"/>
          <w:sz w:val="32"/>
          <w:szCs w:val="32"/>
          <w:lang w:val="en-US" w:eastAsia="zh-CN"/>
        </w:rPr>
      </w:pPr>
    </w:p>
    <w:p w14:paraId="3C87E4FA">
      <w:pPr>
        <w:snapToGrid w:val="0"/>
        <w:spacing w:line="600" w:lineRule="exact"/>
        <w:jc w:val="center"/>
        <w:rPr>
          <w:rFonts w:hint="eastAsia" w:ascii="仿宋_GB2312" w:hAnsi="仿宋_GB2312" w:eastAsia="仿宋_GB2312" w:cs="仿宋_GB2312"/>
          <w:color w:val="333333"/>
          <w:sz w:val="32"/>
          <w:szCs w:val="32"/>
          <w:lang w:val="en-US" w:eastAsia="zh-CN"/>
        </w:rPr>
      </w:pPr>
    </w:p>
    <w:p w14:paraId="0CA2C217">
      <w:pPr>
        <w:snapToGrid w:val="0"/>
        <w:spacing w:line="600" w:lineRule="exact"/>
        <w:jc w:val="center"/>
        <w:rPr>
          <w:rFonts w:hint="eastAsia" w:ascii="仿宋_GB2312" w:hAnsi="仿宋_GB2312" w:eastAsia="仿宋_GB2312" w:cs="仿宋_GB2312"/>
          <w:color w:val="333333"/>
          <w:sz w:val="32"/>
          <w:szCs w:val="32"/>
          <w:lang w:val="en-US" w:eastAsia="zh-CN"/>
        </w:rPr>
      </w:pPr>
    </w:p>
    <w:p w14:paraId="77063883">
      <w:pPr>
        <w:snapToGrid w:val="0"/>
        <w:spacing w:line="600" w:lineRule="exact"/>
        <w:jc w:val="center"/>
        <w:rPr>
          <w:rFonts w:hint="eastAsia" w:ascii="仿宋_GB2312" w:hAnsi="仿宋_GB2312" w:eastAsia="仿宋_GB2312" w:cs="仿宋_GB2312"/>
          <w:color w:val="333333"/>
          <w:sz w:val="32"/>
          <w:szCs w:val="32"/>
          <w:lang w:val="en-US" w:eastAsia="zh-CN"/>
        </w:rPr>
      </w:pPr>
    </w:p>
    <w:p w14:paraId="1B991E64">
      <w:pPr>
        <w:snapToGrid w:val="0"/>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333333"/>
          <w:sz w:val="32"/>
          <w:szCs w:val="32"/>
          <w:lang w:val="en-US" w:eastAsia="zh-CN"/>
        </w:rPr>
        <w:t>附件3：</w:t>
      </w:r>
      <w:r>
        <w:rPr>
          <w:rFonts w:hint="eastAsia" w:ascii="仿宋_GB2312" w:hAnsi="仿宋_GB2312" w:eastAsia="仿宋_GB2312" w:cs="仿宋_GB2312"/>
          <w:sz w:val="32"/>
          <w:szCs w:val="32"/>
          <w:lang w:val="en-US" w:eastAsia="zh-CN"/>
        </w:rPr>
        <w:t>四川省马尔康市住房和城乡建设局</w:t>
      </w:r>
    </w:p>
    <w:p w14:paraId="7525A32A">
      <w:pPr>
        <w:snapToGrid w:val="0"/>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马尔康市城镇供暖配套设施建设项目</w:t>
      </w:r>
    </w:p>
    <w:p w14:paraId="18CD4BCD">
      <w:pPr>
        <w:snapToGrid w:val="0"/>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绩效评估报告</w:t>
      </w:r>
    </w:p>
    <w:p w14:paraId="6344EF7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_GB2312" w:hAnsi="Times New Roman" w:eastAsia="仿宋_GB2312" w:cs="Times New Roman"/>
          <w:kern w:val="2"/>
          <w:sz w:val="32"/>
          <w:szCs w:val="32"/>
          <w:lang w:val="en-US" w:eastAsia="zh-CN" w:bidi="ar-SA"/>
        </w:rPr>
      </w:pPr>
    </w:p>
    <w:p w14:paraId="2AB71DC6">
      <w:pPr>
        <w:pStyle w:val="41"/>
        <w:keepNext w:val="0"/>
        <w:keepLines w:val="0"/>
        <w:pageBreakBefore w:val="0"/>
        <w:widowControl w:val="0"/>
        <w:kinsoku/>
        <w:wordWrap/>
        <w:overflowPunct/>
        <w:topLinePunct w:val="0"/>
        <w:autoSpaceDE/>
        <w:autoSpaceDN/>
        <w:bidi w:val="0"/>
        <w:spacing w:line="578" w:lineRule="exact"/>
        <w:ind w:left="0" w:leftChars="0"/>
        <w:jc w:val="both"/>
        <w:textAlignment w:val="auto"/>
        <w:rPr>
          <w:rFonts w:hint="eastAsia" w:ascii="方正小标宋简体" w:hAnsi="方正小标宋简体" w:eastAsia="方正小标宋简体" w:cs="方正小标宋简体"/>
          <w:color w:val="auto"/>
          <w:kern w:val="2"/>
          <w:sz w:val="44"/>
          <w:szCs w:val="44"/>
          <w:highlight w:val="none"/>
          <w:lang w:val="en-US" w:eastAsia="zh-CN"/>
        </w:rPr>
      </w:pPr>
    </w:p>
    <w:p w14:paraId="3A6F1DE3">
      <w:pPr>
        <w:snapToGrid w:val="0"/>
        <w:spacing w:line="600" w:lineRule="exact"/>
        <w:jc w:val="center"/>
        <w:rPr>
          <w:rFonts w:ascii="宋体" w:hAnsi="宋体" w:eastAsia="宋体" w:cs="宋体"/>
          <w:b/>
          <w:bCs w:val="0"/>
          <w:sz w:val="40"/>
          <w:szCs w:val="40"/>
        </w:rPr>
      </w:pPr>
      <w:r>
        <w:rPr>
          <w:rFonts w:hint="eastAsia" w:ascii="宋体" w:hAnsi="宋体" w:eastAsia="宋体" w:cs="宋体"/>
          <w:b/>
          <w:bCs w:val="0"/>
          <w:sz w:val="40"/>
          <w:szCs w:val="40"/>
        </w:rPr>
        <w:t>四川省马尔康市住房和城乡建设局</w:t>
      </w:r>
    </w:p>
    <w:p w14:paraId="77302271">
      <w:pPr>
        <w:snapToGrid w:val="0"/>
        <w:spacing w:line="600" w:lineRule="exact"/>
        <w:jc w:val="center"/>
        <w:rPr>
          <w:rFonts w:hint="eastAsia" w:ascii="宋体" w:hAnsi="宋体" w:eastAsia="宋体" w:cs="宋体"/>
          <w:b/>
          <w:bCs w:val="0"/>
          <w:sz w:val="40"/>
          <w:szCs w:val="40"/>
        </w:rPr>
      </w:pPr>
      <w:r>
        <w:rPr>
          <w:rFonts w:hint="eastAsia" w:ascii="宋体" w:hAnsi="宋体" w:eastAsia="宋体" w:cs="宋体"/>
          <w:b/>
          <w:bCs w:val="0"/>
          <w:sz w:val="40"/>
          <w:szCs w:val="40"/>
        </w:rPr>
        <w:t>马尔康市</w:t>
      </w:r>
      <w:r>
        <w:rPr>
          <w:rFonts w:hint="eastAsia" w:ascii="宋体" w:hAnsi="宋体" w:eastAsia="宋体" w:cs="宋体"/>
          <w:b/>
          <w:bCs w:val="0"/>
          <w:sz w:val="40"/>
          <w:szCs w:val="40"/>
          <w:lang w:val="en-US" w:eastAsia="zh-CN"/>
        </w:rPr>
        <w:t>城镇供暖配套设施建设</w:t>
      </w:r>
      <w:r>
        <w:rPr>
          <w:rFonts w:hint="eastAsia" w:ascii="宋体" w:hAnsi="宋体" w:eastAsia="宋体" w:cs="宋体"/>
          <w:b/>
          <w:bCs w:val="0"/>
          <w:sz w:val="40"/>
          <w:szCs w:val="40"/>
        </w:rPr>
        <w:t>项目</w:t>
      </w:r>
    </w:p>
    <w:p w14:paraId="3A8189E7">
      <w:pPr>
        <w:snapToGrid w:val="0"/>
        <w:spacing w:line="600" w:lineRule="exact"/>
        <w:jc w:val="center"/>
        <w:rPr>
          <w:rFonts w:ascii="宋体" w:hAnsi="宋体" w:eastAsia="宋体" w:cs="宋体"/>
          <w:b/>
          <w:bCs w:val="0"/>
          <w:sz w:val="40"/>
          <w:szCs w:val="40"/>
        </w:rPr>
      </w:pPr>
      <w:r>
        <w:rPr>
          <w:rFonts w:hint="eastAsia" w:ascii="宋体" w:hAnsi="宋体" w:eastAsia="宋体" w:cs="宋体"/>
          <w:b/>
          <w:bCs w:val="0"/>
          <w:sz w:val="40"/>
          <w:szCs w:val="40"/>
        </w:rPr>
        <w:t>绩效评估报告</w:t>
      </w:r>
    </w:p>
    <w:p w14:paraId="77D112E5">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p>
    <w:p w14:paraId="00EDB80C">
      <w:pPr>
        <w:pStyle w:val="41"/>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14:paraId="55D2044F">
      <w:pPr>
        <w:keepNext w:val="0"/>
        <w:keepLines w:val="0"/>
        <w:pageBreakBefore w:val="0"/>
        <w:widowControl w:val="0"/>
        <w:kinsoku/>
        <w:wordWrap/>
        <w:overflowPunct/>
        <w:topLinePunct w:val="0"/>
        <w:autoSpaceDE/>
        <w:autoSpaceDN/>
        <w:bidi w:val="0"/>
        <w:adjustRightInd w:val="0"/>
        <w:snapToGrid w:val="0"/>
        <w:spacing w:line="578" w:lineRule="exact"/>
        <w:ind w:firstLine="420" w:firstLineChars="200"/>
        <w:textAlignment w:val="auto"/>
        <w:rPr>
          <w:rFonts w:ascii="黑体" w:hAnsi="宋体" w:eastAsia="黑体"/>
          <w:highlight w:val="none"/>
          <w:lang w:val="zh-CN"/>
        </w:rPr>
      </w:pPr>
      <w:r>
        <w:rPr>
          <w:rFonts w:hint="eastAsia" w:ascii="黑体" w:hAnsi="宋体" w:eastAsia="黑体"/>
          <w:highlight w:val="none"/>
        </w:rPr>
        <w:t>一、</w:t>
      </w:r>
      <w:r>
        <w:rPr>
          <w:rFonts w:hint="eastAsia" w:ascii="黑体" w:hAnsi="宋体" w:eastAsia="黑体"/>
          <w:highlight w:val="none"/>
          <w:lang w:val="zh-CN"/>
        </w:rPr>
        <w:t>项目概况</w:t>
      </w:r>
    </w:p>
    <w:p w14:paraId="4A6090EE">
      <w:pPr>
        <w:keepNext w:val="0"/>
        <w:keepLines w:val="0"/>
        <w:widowControl/>
        <w:suppressLineNumbers w:val="0"/>
        <w:ind w:left="420" w:leftChars="200" w:firstLine="0" w:firstLineChars="0"/>
        <w:jc w:val="left"/>
        <w:rPr>
          <w:rFonts w:hint="eastAsia" w:ascii="仿宋_GB2312" w:hAnsi="仿宋_GB2312" w:cs="仿宋_GB2312"/>
          <w:b/>
          <w:bCs w:val="0"/>
          <w:color w:val="auto"/>
          <w:kern w:val="0"/>
          <w:sz w:val="32"/>
          <w:szCs w:val="32"/>
          <w:highlight w:val="none"/>
          <w:u w:val="none"/>
          <w:shd w:val="clear" w:color="auto" w:fill="FFFFFF"/>
          <w:lang w:val="en-US" w:eastAsia="zh-CN"/>
        </w:rPr>
      </w:pPr>
      <w:r>
        <w:rPr>
          <w:rFonts w:hint="eastAsia" w:ascii="楷体_GB2312" w:hAnsi="宋体" w:eastAsia="楷体_GB2312"/>
          <w:b/>
          <w:color w:val="auto"/>
          <w:sz w:val="32"/>
          <w:szCs w:val="32"/>
          <w:highlight w:val="none"/>
          <w:u w:val="none"/>
          <w:lang w:val="zh-CN"/>
        </w:rPr>
        <w:t>（一）设立背景及基本情况。</w:t>
      </w:r>
      <w:r>
        <w:rPr>
          <w:rFonts w:hint="eastAsia" w:ascii="仿宋_GB2312" w:hAnsi="仿宋_GB2312" w:cs="仿宋_GB2312"/>
          <w:b/>
          <w:bCs w:val="0"/>
          <w:sz w:val="32"/>
          <w:szCs w:val="32"/>
          <w:lang w:eastAsia="zh-CN"/>
        </w:rPr>
        <w:t>一</w:t>
      </w:r>
      <w:r>
        <w:rPr>
          <w:rFonts w:hint="eastAsia" w:ascii="仿宋_GB2312" w:hAnsi="仿宋_GB2312" w:cs="仿宋_GB2312"/>
          <w:b/>
          <w:bCs w:val="0"/>
          <w:color w:val="auto"/>
          <w:sz w:val="32"/>
          <w:szCs w:val="32"/>
          <w:lang w:eastAsia="zh-CN"/>
        </w:rPr>
        <w:t>是</w:t>
      </w:r>
      <w:r>
        <w:rPr>
          <w:rFonts w:hint="eastAsia" w:ascii="仿宋_GB2312" w:hAnsi="仿宋_GB2312" w:cs="仿宋_GB2312"/>
          <w:b/>
          <w:bCs w:val="0"/>
          <w:color w:val="auto"/>
          <w:kern w:val="0"/>
          <w:sz w:val="32"/>
          <w:szCs w:val="32"/>
          <w:highlight w:val="none"/>
          <w:u w:val="none"/>
          <w:shd w:val="clear" w:color="auto" w:fill="FFFFFF"/>
          <w:lang w:val="en-US" w:eastAsia="zh-CN"/>
        </w:rPr>
        <w:t>项目设立原因及背景。</w:t>
      </w:r>
    </w:p>
    <w:p w14:paraId="7C712AF0">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四川省阿坝藏族羌族自治州属于高原高寒地区，因地理位置地势 条件限制，多数县气候较为恶劣，冬季气温极低，冰冻期长。近几年， 国家及四川省高度重视川西高寒地区供暖建设，也投入了大量资金， 根据阿坝藏族羌族自治州各县气候情况，规划逐步对各县进行供暖建设。目前期间，阿坝藏族羌族自治州各个（市）县城都在分步实现集 中供暖建设项目。因建设资金有限，且马尔康市全市供暖工程量较大， 故采取了分期实施。本项目为马尔康市城镇供暖配套设施建设项目， 拟对马尔康市涉及的学校、政府办公、周转房等民生关注度高的公共 服务场所规划进行供暖建设。</w:t>
      </w:r>
    </w:p>
    <w:p w14:paraId="675A1DB2">
      <w:pPr>
        <w:keepNext w:val="0"/>
        <w:keepLines w:val="0"/>
        <w:widowControl/>
        <w:suppressLineNumbers w:val="0"/>
        <w:jc w:val="left"/>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cs="仿宋_GB2312"/>
        </w:rPr>
        <w:t>和服务水平。</w:t>
      </w:r>
      <w:r>
        <w:rPr>
          <w:rFonts w:hint="eastAsia" w:ascii="仿宋_GB2312" w:hAnsi="仿宋_GB2312" w:cs="仿宋_GB2312"/>
          <w:b/>
          <w:bCs w:val="0"/>
          <w:sz w:val="32"/>
          <w:szCs w:val="32"/>
          <w:lang w:val="en-US" w:eastAsia="zh-CN"/>
        </w:rPr>
        <w:t>二是</w:t>
      </w:r>
      <w:r>
        <w:rPr>
          <w:rFonts w:hint="eastAsia" w:ascii="仿宋_GB2312" w:hAnsi="仿宋_GB2312" w:cs="仿宋_GB2312"/>
          <w:b/>
          <w:bCs w:val="0"/>
          <w:sz w:val="32"/>
          <w:szCs w:val="32"/>
          <w:lang w:val="zh-CN" w:eastAsia="zh-CN"/>
        </w:rPr>
        <w:t>项目立项、资金申报的依据。</w:t>
      </w:r>
      <w:r>
        <w:rPr>
          <w:rFonts w:hint="eastAsia" w:ascii="仿宋_GB2312" w:hAnsi="仿宋_GB2312" w:eastAsia="仿宋_GB2312" w:cs="仿宋_GB2312"/>
          <w:color w:val="auto"/>
          <w:kern w:val="0"/>
          <w:sz w:val="32"/>
          <w:szCs w:val="32"/>
          <w:highlight w:val="none"/>
          <w:u w:val="none"/>
          <w:shd w:val="clear" w:color="auto" w:fill="FFFFFF"/>
          <w:lang w:val="en-US" w:eastAsia="zh-CN"/>
        </w:rPr>
        <w:t>马尔康市城镇</w:t>
      </w:r>
      <w:r>
        <w:rPr>
          <w:rFonts w:hint="eastAsia" w:ascii="仿宋_GB2312" w:hAnsi="仿宋_GB2312" w:cs="仿宋_GB2312"/>
          <w:color w:val="auto"/>
          <w:kern w:val="0"/>
          <w:sz w:val="32"/>
          <w:szCs w:val="32"/>
          <w:highlight w:val="none"/>
          <w:u w:val="none"/>
          <w:shd w:val="clear" w:color="auto" w:fill="FFFFFF"/>
          <w:lang w:val="en-US" w:eastAsia="zh-CN"/>
        </w:rPr>
        <w:t>供暖配套设施建设</w:t>
      </w:r>
      <w:r>
        <w:rPr>
          <w:rFonts w:hint="eastAsia" w:ascii="仿宋_GB2312" w:hAnsi="仿宋_GB2312" w:eastAsia="仿宋_GB2312" w:cs="仿宋_GB2312"/>
          <w:color w:val="auto"/>
          <w:kern w:val="0"/>
          <w:sz w:val="32"/>
          <w:szCs w:val="32"/>
          <w:highlight w:val="none"/>
          <w:u w:val="none"/>
          <w:shd w:val="clear" w:color="auto" w:fill="FFFFFF"/>
          <w:lang w:val="en-US" w:eastAsia="zh-CN"/>
        </w:rPr>
        <w:t>项目可行性研究报告于202</w:t>
      </w:r>
      <w:r>
        <w:rPr>
          <w:rFonts w:hint="eastAsia" w:ascii="仿宋_GB2312" w:hAnsi="仿宋_GB2312" w:cs="仿宋_GB2312"/>
          <w:color w:val="auto"/>
          <w:kern w:val="0"/>
          <w:sz w:val="32"/>
          <w:szCs w:val="32"/>
          <w:highlight w:val="none"/>
          <w:u w:val="none"/>
          <w:shd w:val="clear" w:color="auto" w:fill="FFFFFF"/>
          <w:lang w:val="en-US" w:eastAsia="zh-CN"/>
        </w:rPr>
        <w:t>4</w:t>
      </w:r>
      <w:r>
        <w:rPr>
          <w:rFonts w:hint="eastAsia" w:ascii="仿宋_GB2312" w:hAnsi="仿宋_GB2312" w:eastAsia="仿宋_GB2312" w:cs="仿宋_GB2312"/>
          <w:color w:val="auto"/>
          <w:kern w:val="0"/>
          <w:sz w:val="32"/>
          <w:szCs w:val="32"/>
          <w:highlight w:val="none"/>
          <w:u w:val="none"/>
          <w:shd w:val="clear" w:color="auto" w:fill="FFFFFF"/>
          <w:lang w:val="en-US" w:eastAsia="zh-CN"/>
        </w:rPr>
        <w:t xml:space="preserve"> 年立项并实施，争取</w:t>
      </w:r>
      <w:r>
        <w:rPr>
          <w:rFonts w:hint="eastAsia" w:ascii="仿宋_GB2312" w:hAnsi="仿宋_GB2312" w:cs="仿宋_GB2312"/>
          <w:color w:val="auto"/>
          <w:kern w:val="0"/>
          <w:sz w:val="32"/>
          <w:szCs w:val="32"/>
          <w:highlight w:val="none"/>
          <w:u w:val="none"/>
          <w:shd w:val="clear" w:color="auto" w:fill="FFFFFF"/>
          <w:lang w:val="en-US" w:eastAsia="zh-CN"/>
        </w:rPr>
        <w:t>一般债券资金</w:t>
      </w:r>
      <w:r>
        <w:rPr>
          <w:rFonts w:hint="eastAsia" w:ascii="仿宋_GB2312" w:hAnsi="仿宋_GB2312" w:eastAsia="仿宋_GB2312" w:cs="仿宋_GB2312"/>
          <w:color w:val="auto"/>
          <w:kern w:val="0"/>
          <w:sz w:val="32"/>
          <w:szCs w:val="32"/>
          <w:highlight w:val="none"/>
          <w:u w:val="none"/>
          <w:shd w:val="clear" w:color="auto" w:fill="FFFFFF"/>
          <w:lang w:val="zh-CN" w:eastAsia="zh-CN"/>
        </w:rPr>
        <w:t>，</w:t>
      </w:r>
      <w:r>
        <w:rPr>
          <w:rFonts w:hint="eastAsia" w:ascii="仿宋_GB2312" w:hAnsi="仿宋_GB2312" w:cs="仿宋_GB2312"/>
          <w:b/>
          <w:bCs w:val="0"/>
          <w:sz w:val="32"/>
          <w:szCs w:val="32"/>
          <w:lang w:val="en-US" w:eastAsia="zh-CN"/>
        </w:rPr>
        <w:t>三是</w:t>
      </w:r>
      <w:r>
        <w:rPr>
          <w:rFonts w:hint="eastAsia" w:ascii="仿宋_GB2312" w:hAnsi="仿宋_GB2312" w:cs="仿宋_GB2312"/>
          <w:b/>
          <w:bCs w:val="0"/>
          <w:sz w:val="32"/>
          <w:szCs w:val="32"/>
          <w:lang w:val="zh-CN" w:eastAsia="zh-CN"/>
        </w:rPr>
        <w:t>项目主要内容。</w:t>
      </w:r>
      <w:r>
        <w:rPr>
          <w:rFonts w:hint="eastAsia" w:ascii="宋体" w:hAnsi="宋体" w:eastAsia="宋体" w:cs="宋体"/>
          <w:color w:val="000000"/>
          <w:kern w:val="0"/>
          <w:sz w:val="28"/>
          <w:szCs w:val="28"/>
          <w:lang w:val="en-US" w:eastAsia="zh-CN" w:bidi="ar"/>
        </w:rPr>
        <w:t xml:space="preserve">本次工程项目位于马尔康市，对已建成的学校、政府办公等公共 建筑及周转房等 </w:t>
      </w:r>
      <w:r>
        <w:rPr>
          <w:rFonts w:hint="default" w:ascii="Times New Roman" w:hAnsi="Times New Roman" w:eastAsia="宋体" w:cs="Times New Roman"/>
          <w:color w:val="000000"/>
          <w:kern w:val="0"/>
          <w:sz w:val="28"/>
          <w:szCs w:val="28"/>
          <w:lang w:val="en-US" w:eastAsia="zh-CN" w:bidi="ar"/>
        </w:rPr>
        <w:t xml:space="preserve">28 </w:t>
      </w:r>
      <w:r>
        <w:rPr>
          <w:rFonts w:hint="eastAsia" w:ascii="宋体" w:hAnsi="宋体" w:eastAsia="宋体" w:cs="宋体"/>
          <w:color w:val="000000"/>
          <w:kern w:val="0"/>
          <w:sz w:val="28"/>
          <w:szCs w:val="28"/>
          <w:lang w:val="en-US" w:eastAsia="zh-CN" w:bidi="ar"/>
        </w:rPr>
        <w:t xml:space="preserve">个热源基站覆盖的各建筑进行供暖末端设施安装， 覆盖室内末端总供热面积约 </w:t>
      </w:r>
      <w:r>
        <w:rPr>
          <w:rFonts w:hint="default" w:ascii="Times New Roman" w:hAnsi="Times New Roman" w:eastAsia="宋体" w:cs="Times New Roman"/>
          <w:color w:val="000000"/>
          <w:kern w:val="0"/>
          <w:sz w:val="28"/>
          <w:szCs w:val="28"/>
          <w:lang w:val="en-US" w:eastAsia="zh-CN" w:bidi="ar"/>
        </w:rPr>
        <w:t xml:space="preserve">24.56 </w:t>
      </w:r>
      <w:r>
        <w:rPr>
          <w:rFonts w:hint="eastAsia" w:ascii="宋体" w:hAnsi="宋体" w:eastAsia="宋体" w:cs="宋体"/>
          <w:color w:val="000000"/>
          <w:kern w:val="0"/>
          <w:sz w:val="28"/>
          <w:szCs w:val="28"/>
          <w:lang w:val="en-US" w:eastAsia="zh-CN" w:bidi="ar"/>
        </w:rPr>
        <w:t xml:space="preserve">万平方米，共 </w:t>
      </w:r>
      <w:r>
        <w:rPr>
          <w:rFonts w:hint="default" w:ascii="Times New Roman" w:hAnsi="Times New Roman" w:eastAsia="宋体" w:cs="Times New Roman"/>
          <w:color w:val="000000"/>
          <w:kern w:val="0"/>
          <w:sz w:val="28"/>
          <w:szCs w:val="28"/>
          <w:lang w:val="en-US" w:eastAsia="zh-CN" w:bidi="ar"/>
        </w:rPr>
        <w:t xml:space="preserve">76 </w:t>
      </w:r>
      <w:r>
        <w:rPr>
          <w:rFonts w:hint="eastAsia" w:ascii="宋体" w:hAnsi="宋体" w:eastAsia="宋体" w:cs="宋体"/>
          <w:color w:val="000000"/>
          <w:kern w:val="0"/>
          <w:sz w:val="28"/>
          <w:szCs w:val="28"/>
          <w:lang w:val="en-US" w:eastAsia="zh-CN" w:bidi="ar"/>
        </w:rPr>
        <w:t>栋建筑的室内末端采暖。</w:t>
      </w:r>
      <w:r>
        <w:rPr>
          <w:rFonts w:hint="eastAsia" w:ascii="仿宋_GB2312" w:hAnsi="仿宋_GB2312" w:cs="仿宋_GB2312"/>
          <w:b/>
          <w:bCs w:val="0"/>
          <w:sz w:val="32"/>
          <w:szCs w:val="32"/>
          <w:lang w:val="en-US" w:eastAsia="zh-CN"/>
        </w:rPr>
        <w:t>四是</w:t>
      </w:r>
      <w:r>
        <w:rPr>
          <w:rFonts w:hint="eastAsia" w:ascii="仿宋_GB2312" w:hAnsi="仿宋_GB2312" w:cs="仿宋_GB2312"/>
          <w:b/>
          <w:bCs w:val="0"/>
          <w:sz w:val="32"/>
          <w:szCs w:val="32"/>
          <w:lang w:val="zh-CN" w:eastAsia="zh-CN"/>
        </w:rPr>
        <w:t>主管部门职能。</w:t>
      </w:r>
      <w:r>
        <w:rPr>
          <w:rFonts w:hint="eastAsia" w:ascii="仿宋_GB2312" w:hAnsi="仿宋_GB2312" w:eastAsia="仿宋_GB2312" w:cs="仿宋_GB2312"/>
          <w:sz w:val="32"/>
          <w:szCs w:val="32"/>
          <w:lang w:val="zh-CN" w:eastAsia="zh-CN"/>
        </w:rPr>
        <w:t>马尔康市</w:t>
      </w:r>
      <w:r>
        <w:rPr>
          <w:rFonts w:hint="eastAsia" w:ascii="仿宋_GB2312" w:hAnsi="仿宋_GB2312" w:cs="仿宋_GB2312"/>
          <w:sz w:val="32"/>
          <w:szCs w:val="32"/>
          <w:lang w:val="en-US" w:eastAsia="zh-CN"/>
        </w:rPr>
        <w:t>住房和城乡建设局</w:t>
      </w:r>
      <w:r>
        <w:rPr>
          <w:rFonts w:hint="eastAsia" w:ascii="仿宋_GB2312" w:hAnsi="仿宋_GB2312" w:eastAsia="仿宋_GB2312" w:cs="仿宋_GB2312"/>
          <w:sz w:val="32"/>
          <w:szCs w:val="32"/>
          <w:lang w:val="zh-CN" w:eastAsia="zh-CN"/>
        </w:rPr>
        <w:t>作为项目的主管部门，具有</w:t>
      </w:r>
      <w:r>
        <w:rPr>
          <w:rFonts w:hint="eastAsia" w:ascii="仿宋_GB2312" w:hAnsi="仿宋_GB2312" w:eastAsia="仿宋_GB2312" w:cs="仿宋_GB2312"/>
          <w:sz w:val="32"/>
          <w:szCs w:val="32"/>
          <w:lang w:val="en-US" w:eastAsia="zh-CN"/>
        </w:rPr>
        <w:t>督促代建单位、项目管理单位、设计单位、施工单位等参建各</w:t>
      </w:r>
      <w:r>
        <w:rPr>
          <w:rFonts w:hint="eastAsia" w:ascii="仿宋_GB2312" w:hAnsi="仿宋_GB2312" w:eastAsia="仿宋_GB2312" w:cs="仿宋_GB2312"/>
          <w:b w:val="0"/>
          <w:bCs w:val="0"/>
          <w:kern w:val="0"/>
          <w:sz w:val="32"/>
          <w:szCs w:val="32"/>
          <w:lang w:val="en-US" w:eastAsia="zh-CN" w:bidi="ar"/>
        </w:rPr>
        <w:t>方</w:t>
      </w:r>
      <w:r>
        <w:rPr>
          <w:rFonts w:hint="eastAsia" w:ascii="仿宋_GB2312" w:hAnsi="仿宋_GB2312" w:eastAsia="仿宋_GB2312" w:cs="仿宋_GB2312"/>
          <w:sz w:val="32"/>
          <w:szCs w:val="32"/>
        </w:rPr>
        <w:t>落实安全措施和节能环保要求的，加强项目建设过程安全</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，全面落实各项安全、环保技术措施，严格按照国、省有关规定规范施工</w:t>
      </w:r>
      <w:r>
        <w:rPr>
          <w:rFonts w:hint="eastAsia" w:ascii="仿宋_GB2312" w:hAnsi="仿宋_GB2312" w:cs="仿宋_GB2312"/>
          <w:sz w:val="32"/>
          <w:szCs w:val="32"/>
          <w:lang w:eastAsia="zh-CN"/>
        </w:rPr>
        <w:t>的职能职责</w:t>
      </w:r>
      <w:r>
        <w:rPr>
          <w:rFonts w:hint="eastAsia" w:ascii="仿宋_GB2312" w:hAnsi="仿宋_GB2312" w:eastAsia="仿宋_GB2312" w:cs="仿宋_GB2312"/>
          <w:sz w:val="32"/>
          <w:szCs w:val="32"/>
        </w:rPr>
        <w:t>。</w:t>
      </w:r>
    </w:p>
    <w:p w14:paraId="2EDB9510">
      <w:pPr>
        <w:numPr>
          <w:ilvl w:val="0"/>
          <w:numId w:val="8"/>
        </w:numPr>
        <w:pBdr>
          <w:bottom w:val="single" w:color="FFFFFF" w:sz="4" w:space="28"/>
        </w:pBdr>
        <w:topLinePunct/>
        <w:adjustRightInd w:val="0"/>
        <w:snapToGrid w:val="0"/>
        <w:spacing w:line="520" w:lineRule="exact"/>
        <w:ind w:firstLine="643" w:firstLineChars="200"/>
        <w:jc w:val="left"/>
        <w:rPr>
          <w:rFonts w:hint="eastAsia" w:ascii="仿宋_GB2312" w:hAnsi="仿宋_GB2312" w:eastAsia="宋体" w:cs="仿宋_GB2312"/>
          <w:b/>
          <w:bCs w:val="0"/>
          <w:sz w:val="32"/>
          <w:szCs w:val="32"/>
          <w:lang w:val="zh-CN" w:eastAsia="zh-CN"/>
        </w:rPr>
      </w:pP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_GB2312" w:hAnsi="仿宋_GB2312" w:cs="仿宋_GB2312"/>
          <w:b/>
          <w:bCs w:val="0"/>
          <w:sz w:val="32"/>
          <w:szCs w:val="32"/>
          <w:lang w:val="zh-CN" w:eastAsia="zh-CN"/>
        </w:rPr>
        <w:t>一是项目资金管理办法制定情况。</w:t>
      </w:r>
      <w:r>
        <w:rPr>
          <w:rFonts w:hint="eastAsia" w:ascii="仿宋_GB2312" w:hAnsi="仿宋_GB2312" w:cs="仿宋_GB2312"/>
          <w:sz w:val="32"/>
          <w:szCs w:val="32"/>
          <w:lang w:val="en-US" w:eastAsia="zh-CN"/>
        </w:rPr>
        <w:t>市住建局</w:t>
      </w:r>
      <w:r>
        <w:rPr>
          <w:rFonts w:hint="eastAsia" w:ascii="仿宋_GB2312" w:hAnsi="仿宋_GB2312" w:eastAsia="仿宋_GB2312" w:cs="仿宋_GB2312"/>
          <w:sz w:val="32"/>
          <w:szCs w:val="32"/>
          <w:lang w:val="zh-CN" w:eastAsia="zh-CN"/>
        </w:rPr>
        <w:t>根据《会计法》等国家有关法律、法规组织和开展</w:t>
      </w:r>
      <w:r>
        <w:rPr>
          <w:rFonts w:hint="eastAsia" w:ascii="仿宋_GB2312" w:hAnsi="仿宋_GB2312" w:eastAsia="仿宋_GB2312" w:cs="仿宋_GB2312"/>
          <w:sz w:val="32"/>
          <w:szCs w:val="32"/>
          <w:lang w:val="en-US" w:eastAsia="zh-CN"/>
        </w:rPr>
        <w:t>本项目</w:t>
      </w:r>
      <w:r>
        <w:rPr>
          <w:rFonts w:hint="eastAsia" w:ascii="仿宋_GB2312" w:hAnsi="仿宋_GB2312" w:eastAsia="仿宋_GB2312" w:cs="仿宋_GB2312"/>
          <w:sz w:val="32"/>
          <w:szCs w:val="32"/>
          <w:lang w:val="zh-CN" w:eastAsia="zh-CN"/>
        </w:rPr>
        <w:t>的会计核算和财务管理，</w:t>
      </w:r>
      <w:r>
        <w:rPr>
          <w:rFonts w:hint="eastAsia" w:ascii="仿宋_GB2312" w:hAnsi="仿宋_GB2312" w:eastAsia="仿宋_GB2312" w:cs="仿宋_GB2312"/>
          <w:sz w:val="32"/>
          <w:szCs w:val="32"/>
          <w:lang w:val="en-US" w:eastAsia="zh-CN"/>
        </w:rPr>
        <w:t>保障</w:t>
      </w:r>
      <w:r>
        <w:rPr>
          <w:rFonts w:hint="eastAsia" w:ascii="仿宋_GB2312" w:hAnsi="仿宋_GB2312" w:eastAsia="仿宋_GB2312" w:cs="仿宋_GB2312"/>
          <w:sz w:val="32"/>
          <w:szCs w:val="32"/>
          <w:lang w:val="zh-CN" w:eastAsia="zh-CN"/>
        </w:rPr>
        <w:t>财务管理制度健全，严格执行财务管理制度，资金拨付与工程进度、质量挂钩，根据进度逐步拨付。</w:t>
      </w:r>
      <w:r>
        <w:rPr>
          <w:rFonts w:hint="eastAsia" w:ascii="仿宋_GB2312" w:hAnsi="仿宋_GB2312" w:cs="仿宋_GB2312"/>
          <w:b/>
          <w:bCs w:val="0"/>
          <w:sz w:val="32"/>
          <w:szCs w:val="32"/>
          <w:lang w:val="zh-CN" w:eastAsia="zh-CN"/>
        </w:rPr>
        <w:t>二是项目实施目的和主要工作任务</w:t>
      </w:r>
      <w:r>
        <w:rPr>
          <w:rFonts w:hint="eastAsia" w:ascii="仿宋_GB2312" w:hAnsi="仿宋_GB2312" w:cs="仿宋_GB2312"/>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本项目为马尔康市城镇供暖配套设施建设项目， 拟对马尔康市涉及的学校、政府办公、周转房等民生关注度高的公共服务场所规划进行供暖建设</w:t>
      </w:r>
      <w:r>
        <w:rPr>
          <w:rFonts w:hint="eastAsia" w:ascii="Times New Roman" w:hAnsi="Times New Roman"/>
          <w:szCs w:val="32"/>
        </w:rPr>
        <w:t>。</w:t>
      </w:r>
      <w:r>
        <w:rPr>
          <w:rFonts w:hint="eastAsia" w:ascii="仿宋_GB2312" w:hAnsi="仿宋_GB2312" w:cs="仿宋_GB2312"/>
          <w:b/>
          <w:bCs w:val="0"/>
          <w:sz w:val="32"/>
          <w:szCs w:val="32"/>
          <w:lang w:val="en-US" w:eastAsia="zh-CN"/>
        </w:rPr>
        <w:t>三是项目支持方向。</w:t>
      </w:r>
      <w:r>
        <w:rPr>
          <w:rFonts w:hint="eastAsia" w:ascii="仿宋_GB2312" w:hAnsi="仿宋_GB2312" w:eastAsia="仿宋_GB2312" w:cs="仿宋_GB2312"/>
          <w:b w:val="0"/>
          <w:bCs/>
          <w:color w:val="auto"/>
          <w:kern w:val="0"/>
          <w:sz w:val="32"/>
          <w:szCs w:val="32"/>
          <w:highlight w:val="none"/>
          <w:u w:val="none"/>
          <w:shd w:val="clear" w:color="auto" w:fill="FFFFFF"/>
          <w:lang w:val="en-US" w:eastAsia="zh-CN"/>
        </w:rPr>
        <w:t>项</w:t>
      </w:r>
      <w:r>
        <w:rPr>
          <w:rFonts w:hint="eastAsia" w:ascii="仿宋_GB2312" w:hAnsi="仿宋_GB2312" w:eastAsia="仿宋_GB2312" w:cs="仿宋_GB2312"/>
          <w:color w:val="auto"/>
          <w:kern w:val="0"/>
          <w:sz w:val="32"/>
          <w:szCs w:val="32"/>
          <w:highlight w:val="none"/>
          <w:u w:val="none"/>
          <w:shd w:val="clear" w:color="auto" w:fill="FFFFFF"/>
          <w:lang w:val="en-US" w:eastAsia="zh-CN"/>
        </w:rPr>
        <w:t>目总投资</w:t>
      </w:r>
      <w:r>
        <w:rPr>
          <w:rFonts w:hint="eastAsia" w:ascii="仿宋_GB2312" w:hAnsi="仿宋_GB2312" w:eastAsia="宋体" w:cs="仿宋_GB2312"/>
          <w:b/>
          <w:bCs w:val="0"/>
          <w:sz w:val="32"/>
          <w:szCs w:val="32"/>
          <w:lang w:val="en-US" w:eastAsia="zh-CN"/>
        </w:rPr>
        <w:t>为8174.28万元,资金来源为申报一般债券资金</w:t>
      </w:r>
    </w:p>
    <w:p w14:paraId="6CCC2A36">
      <w:pPr>
        <w:numPr>
          <w:ilvl w:val="0"/>
          <w:numId w:val="8"/>
        </w:numPr>
        <w:pBdr>
          <w:bottom w:val="single" w:color="FFFFFF" w:sz="4" w:space="28"/>
        </w:pBdr>
        <w:topLinePunct/>
        <w:adjustRightInd w:val="0"/>
        <w:snapToGrid w:val="0"/>
        <w:spacing w:line="520" w:lineRule="exact"/>
        <w:ind w:firstLine="643" w:firstLineChars="200"/>
        <w:jc w:val="left"/>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宋体" w:cs="仿宋_GB2312"/>
          <w:b/>
          <w:bCs w:val="0"/>
          <w:sz w:val="32"/>
          <w:szCs w:val="32"/>
          <w:lang w:val="en-US" w:eastAsia="zh-CN"/>
        </w:rPr>
        <w:t>预算安排及分配管理</w:t>
      </w:r>
      <w:r>
        <w:rPr>
          <w:rFonts w:hint="eastAsia" w:ascii="仿宋_GB2312" w:hAnsi="仿宋_GB2312" w:eastAsia="宋体" w:cs="仿宋_GB2312"/>
          <w:b/>
          <w:bCs w:val="0"/>
          <w:sz w:val="32"/>
          <w:szCs w:val="32"/>
          <w:lang w:val="zh-CN" w:eastAsia="zh-CN"/>
        </w:rPr>
        <w:t>。</w:t>
      </w:r>
      <w:r>
        <w:rPr>
          <w:rFonts w:hint="eastAsia" w:ascii="仿宋_GB2312" w:hAnsi="仿宋_GB2312" w:eastAsia="仿宋_GB2312" w:cs="仿宋_GB2312"/>
          <w:color w:val="auto"/>
          <w:kern w:val="0"/>
          <w:sz w:val="32"/>
          <w:szCs w:val="32"/>
          <w:highlight w:val="none"/>
          <w:u w:val="none"/>
          <w:shd w:val="clear" w:color="auto" w:fill="FFFFFF"/>
          <w:lang w:val="zh-CN" w:eastAsia="zh-CN"/>
        </w:rPr>
        <w:t>申</w:t>
      </w:r>
      <w:r>
        <w:rPr>
          <w:rFonts w:hint="eastAsia" w:ascii="仿宋_GB2312" w:hAnsi="仿宋_GB2312" w:eastAsia="仿宋_GB2312" w:cs="仿宋_GB2312"/>
          <w:color w:val="auto"/>
          <w:kern w:val="0"/>
          <w:sz w:val="32"/>
          <w:szCs w:val="32"/>
          <w:highlight w:val="none"/>
          <w:u w:val="none"/>
          <w:shd w:val="clear" w:color="auto" w:fill="FFFFFF"/>
          <w:lang w:val="en-US" w:eastAsia="zh-CN"/>
        </w:rPr>
        <w:t>报项目预算金额为10685.86万元，对项目投入经济性的评估是在项目事前绩效评估、预算测算的基础上，按照厉行节约的要求，结合项目开支情况、实际需求、相关费用标准及市场价格水平，按照合同约定依法依规支付。</w:t>
      </w:r>
    </w:p>
    <w:p w14:paraId="25F89B7B">
      <w:pPr>
        <w:numPr>
          <w:ilvl w:val="0"/>
          <w:numId w:val="8"/>
        </w:numPr>
        <w:pBdr>
          <w:bottom w:val="single" w:color="FFFFFF" w:sz="4" w:space="28"/>
        </w:pBdr>
        <w:topLinePunct/>
        <w:adjustRightInd w:val="0"/>
        <w:snapToGrid w:val="0"/>
        <w:spacing w:line="520" w:lineRule="exact"/>
        <w:ind w:firstLine="643" w:firstLineChars="200"/>
        <w:jc w:val="left"/>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宋体" w:cs="仿宋_GB2312"/>
          <w:b/>
          <w:bCs w:val="0"/>
          <w:sz w:val="32"/>
          <w:szCs w:val="32"/>
          <w:lang w:val="zh-CN" w:eastAsia="zh-CN"/>
        </w:rPr>
        <w:t>项目绩效目标设置。</w:t>
      </w:r>
      <w:r>
        <w:rPr>
          <w:rFonts w:hint="eastAsia" w:ascii="仿宋_GB2312" w:hAnsi="仿宋_GB2312" w:eastAsia="仿宋_GB2312" w:cs="仿宋_GB2312"/>
          <w:color w:val="auto"/>
          <w:kern w:val="0"/>
          <w:sz w:val="32"/>
          <w:szCs w:val="32"/>
          <w:highlight w:val="none"/>
          <w:u w:val="none"/>
          <w:shd w:val="clear" w:color="auto" w:fill="FFFFFF"/>
          <w:lang w:val="zh-CN" w:eastAsia="zh-CN"/>
        </w:rPr>
        <w:t>项目编制了管理方案，组织机构健全，职责分工明确，有具体的实施时间，有明确的工作程序，基础设施条件能够有效保障，具有相应的质量检查、考核等必要的控制措施或手段。</w:t>
      </w:r>
    </w:p>
    <w:p w14:paraId="743E2206">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420" w:firstLineChars="200"/>
        <w:jc w:val="left"/>
        <w:textAlignment w:val="auto"/>
        <w:rPr>
          <w:rFonts w:eastAsia="仿宋_GB2312" w:cs="Times New Roman"/>
          <w:szCs w:val="32"/>
        </w:rPr>
      </w:pPr>
      <w:r>
        <w:rPr>
          <w:rFonts w:hint="eastAsia" w:ascii="黑体" w:hAnsi="宋体" w:eastAsia="黑体"/>
          <w:highlight w:val="none"/>
        </w:rPr>
        <w:t>二、</w:t>
      </w:r>
      <w:r>
        <w:rPr>
          <w:rFonts w:hint="eastAsia" w:ascii="黑体" w:hAnsi="宋体" w:eastAsia="黑体"/>
          <w:highlight w:val="none"/>
          <w:lang w:eastAsia="zh-CN"/>
        </w:rPr>
        <w:t>评价实施</w:t>
      </w:r>
    </w:p>
    <w:p w14:paraId="3CC33291">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3" w:firstLineChars="200"/>
        <w:jc w:val="left"/>
        <w:textAlignment w:val="auto"/>
        <w:rPr>
          <w:rFonts w:hint="eastAsia" w:ascii="仿宋_GB2312" w:cs="Times New Roman"/>
          <w:kern w:val="2"/>
          <w:sz w:val="32"/>
          <w:szCs w:val="32"/>
          <w:lang w:val="en-US" w:eastAsia="zh-CN" w:bidi="ar-SA"/>
        </w:rPr>
      </w:pPr>
      <w:r>
        <w:rPr>
          <w:rFonts w:hint="eastAsia" w:ascii="楷体_GB2312" w:hAnsi="宋体" w:eastAsia="楷体_GB2312"/>
          <w:b/>
          <w:color w:val="auto"/>
          <w:sz w:val="32"/>
          <w:szCs w:val="32"/>
          <w:highlight w:val="none"/>
          <w:u w:val="none"/>
          <w:lang w:val="zh-CN"/>
        </w:rPr>
        <w:t>（一）评价目的。</w:t>
      </w:r>
      <w:r>
        <w:rPr>
          <w:rFonts w:hint="eastAsia" w:ascii="仿宋_GB2312" w:hAnsi="Times New Roman" w:eastAsia="仿宋_GB2312" w:cs="Times New Roman"/>
          <w:kern w:val="2"/>
          <w:sz w:val="32"/>
          <w:szCs w:val="32"/>
          <w:lang w:val="en-US" w:eastAsia="zh-CN" w:bidi="ar-SA"/>
        </w:rPr>
        <w:t>通过绩效评估将绩效管理规范化，为项目设立和预算安排提供重要参考依据，提高预算编制科学性、合理性，优化财政支出结构，从源头上防控财政资源配置的低效无效，提高财政资源配置效率和财政资金使用效益。</w:t>
      </w:r>
      <w:r>
        <w:rPr>
          <w:rFonts w:hint="eastAsia" w:ascii="仿宋_GB2312" w:cs="Times New Roman"/>
          <w:kern w:val="2"/>
          <w:sz w:val="32"/>
          <w:szCs w:val="32"/>
          <w:lang w:val="en-US" w:eastAsia="zh-CN" w:bidi="ar-SA"/>
        </w:rPr>
        <w:t xml:space="preserve">        </w:t>
      </w:r>
    </w:p>
    <w:p w14:paraId="3554E6DA">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宋体" w:eastAsia="楷体_GB2312"/>
          <w:b/>
          <w:color w:val="auto"/>
          <w:sz w:val="32"/>
          <w:szCs w:val="32"/>
          <w:highlight w:val="none"/>
          <w:u w:val="none"/>
          <w:lang w:val="zh-CN"/>
        </w:rPr>
        <w:t>（二）预设问题及评价重点。</w:t>
      </w:r>
      <w:r>
        <w:rPr>
          <w:rFonts w:hint="eastAsia" w:ascii="仿宋_GB2312" w:hAnsi="仿宋_GB2312" w:eastAsia="仿宋_GB2312" w:cs="仿宋_GB2312"/>
          <w:sz w:val="32"/>
          <w:szCs w:val="32"/>
          <w:lang w:val="en-US" w:eastAsia="zh-CN"/>
        </w:rPr>
        <w:t>按照绩效评价指标体系</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马尔康市</w:t>
      </w:r>
      <w:r>
        <w:rPr>
          <w:rFonts w:hint="eastAsia" w:ascii="仿宋_GB2312" w:hAnsi="仿宋_GB2312" w:cs="仿宋_GB2312"/>
          <w:sz w:val="32"/>
          <w:szCs w:val="32"/>
          <w:lang w:val="en-US" w:eastAsia="zh-CN"/>
        </w:rPr>
        <w:t>城镇供暖配套设施建设</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zh-CN" w:eastAsia="zh-CN"/>
        </w:rPr>
        <w:t>的资金管理规范，使用合法合规，专款专用，资金支出控制在预算范围内，实施效果达到群众</w:t>
      </w:r>
      <w:r>
        <w:rPr>
          <w:rFonts w:hint="eastAsia" w:ascii="仿宋_GB2312" w:hAnsi="仿宋_GB2312" w:eastAsia="仿宋_GB2312" w:cs="仿宋_GB2312"/>
          <w:sz w:val="32"/>
          <w:szCs w:val="32"/>
          <w:lang w:val="en-US" w:eastAsia="zh-CN"/>
        </w:rPr>
        <w:t>100%满意度。</w:t>
      </w:r>
    </w:p>
    <w:p w14:paraId="74F1F985">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sz w:val="32"/>
          <w:szCs w:val="32"/>
          <w:lang w:val="zh-CN" w:eastAsia="zh-CN"/>
        </w:rPr>
      </w:pPr>
      <w:r>
        <w:rPr>
          <w:rFonts w:hint="eastAsia" w:ascii="楷体_GB2312" w:hAnsi="宋体" w:eastAsia="楷体_GB2312"/>
          <w:b/>
          <w:color w:val="auto"/>
          <w:sz w:val="32"/>
          <w:szCs w:val="32"/>
          <w:highlight w:val="none"/>
          <w:u w:val="none"/>
          <w:lang w:val="zh-CN"/>
        </w:rPr>
        <w:t>（三）评价选点。</w:t>
      </w:r>
      <w:r>
        <w:rPr>
          <w:rFonts w:hint="eastAsia" w:ascii="仿宋_GB2312" w:hAnsi="仿宋_GB2312" w:eastAsia="仿宋_GB2312" w:cs="仿宋_GB2312"/>
          <w:sz w:val="32"/>
          <w:szCs w:val="32"/>
          <w:lang w:val="en-US" w:eastAsia="zh-CN"/>
        </w:rPr>
        <w:t>马尔康市马尔康镇</w:t>
      </w:r>
      <w:r>
        <w:rPr>
          <w:rFonts w:hint="eastAsia" w:ascii="仿宋_GB2312" w:hAnsi="仿宋_GB2312" w:eastAsia="仿宋_GB2312" w:cs="仿宋_GB2312"/>
          <w:sz w:val="32"/>
          <w:szCs w:val="32"/>
          <w:lang w:val="zh-CN" w:eastAsia="zh-CN"/>
        </w:rPr>
        <w:t>。</w:t>
      </w:r>
    </w:p>
    <w:p w14:paraId="41E4FD03">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宋体" w:eastAsia="楷体_GB2312"/>
          <w:b/>
          <w:color w:val="auto"/>
          <w:sz w:val="32"/>
          <w:szCs w:val="32"/>
          <w:highlight w:val="none"/>
          <w:u w:val="none"/>
          <w:lang w:val="zh-CN"/>
        </w:rPr>
        <w:t>（四）评价方法。</w:t>
      </w:r>
      <w:r>
        <w:rPr>
          <w:rFonts w:hint="eastAsia" w:ascii="仿宋_GB2312" w:hAnsi="仿宋_GB2312" w:eastAsia="仿宋_GB2312" w:cs="仿宋_GB2312"/>
          <w:sz w:val="32"/>
          <w:szCs w:val="32"/>
          <w:lang w:val="en-US" w:eastAsia="zh-CN"/>
        </w:rPr>
        <w:t>根据项目情况和评价重点，用来收集相关材料和开展具体评价的方法。包括：采用成本效益分析法、标杆管理法、案卷研究法、单位自评法、实地勘察法、问卷调查法、座谈调研法等多种方法。</w:t>
      </w:r>
    </w:p>
    <w:p w14:paraId="1C62CD94">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3" w:firstLineChars="200"/>
        <w:jc w:val="left"/>
        <w:textAlignment w:val="auto"/>
        <w:rPr>
          <w:rFonts w:hint="eastAsia" w:cs="Times New Roman"/>
          <w:szCs w:val="32"/>
          <w:lang w:eastAsia="zh-CN"/>
        </w:rPr>
      </w:pPr>
      <w:r>
        <w:rPr>
          <w:rFonts w:hint="eastAsia" w:ascii="楷体_GB2312" w:hAnsi="宋体" w:eastAsia="楷体_GB2312"/>
          <w:b/>
          <w:color w:val="auto"/>
          <w:sz w:val="32"/>
          <w:szCs w:val="32"/>
          <w:highlight w:val="none"/>
          <w:u w:val="none"/>
          <w:lang w:val="zh-CN"/>
        </w:rPr>
        <w:t>（五）评价组织。</w:t>
      </w:r>
      <w:r>
        <w:rPr>
          <w:rFonts w:hint="eastAsia" w:ascii="仿宋_GB2312" w:hAnsi="仿宋_GB2312" w:cs="仿宋_GB2312"/>
          <w:sz w:val="32"/>
          <w:szCs w:val="32"/>
          <w:lang w:val="en-US" w:eastAsia="zh-CN"/>
        </w:rPr>
        <w:t>马尔康市住房和城乡建设局局长茹雪梅</w:t>
      </w:r>
      <w:r>
        <w:rPr>
          <w:rFonts w:hint="eastAsia" w:ascii="仿宋_GB2312" w:hAnsi="仿宋_GB2312" w:cs="仿宋_GB2312"/>
          <w:sz w:val="32"/>
          <w:szCs w:val="32"/>
          <w:lang w:val="zh-CN" w:eastAsia="zh-CN"/>
        </w:rPr>
        <w:t>负责项目</w:t>
      </w:r>
      <w:r>
        <w:rPr>
          <w:rFonts w:hint="eastAsia" w:ascii="仿宋_GB2312" w:hAnsi="仿宋_GB2312" w:eastAsia="仿宋_GB2312" w:cs="仿宋_GB2312"/>
          <w:sz w:val="32"/>
          <w:szCs w:val="32"/>
          <w:lang w:val="zh-CN" w:eastAsia="zh-CN"/>
        </w:rPr>
        <w:t>绩效评价的总体安排和部署</w:t>
      </w:r>
      <w:r>
        <w:rPr>
          <w:rFonts w:hint="eastAsia" w:ascii="仿宋_GB2312" w:hAnsi="仿宋_GB2312" w:cs="仿宋_GB2312"/>
          <w:sz w:val="32"/>
          <w:szCs w:val="32"/>
          <w:lang w:val="zh-CN" w:eastAsia="zh-CN"/>
        </w:rPr>
        <w:t>，</w:t>
      </w:r>
      <w:r>
        <w:rPr>
          <w:rFonts w:hint="eastAsia" w:ascii="仿宋_GB2312" w:hAnsi="仿宋_GB2312" w:cs="仿宋_GB2312"/>
          <w:sz w:val="32"/>
          <w:szCs w:val="32"/>
          <w:lang w:val="en-US" w:eastAsia="zh-CN"/>
        </w:rPr>
        <w:t>马尔康市住房和城乡建设局副局长、城建股和财务室工作人员</w:t>
      </w:r>
      <w:r>
        <w:rPr>
          <w:rFonts w:hint="eastAsia" w:ascii="仿宋_GB2312" w:hAnsi="仿宋_GB2312" w:eastAsia="仿宋_GB2312" w:cs="仿宋_GB2312"/>
          <w:sz w:val="32"/>
          <w:szCs w:val="32"/>
          <w:lang w:val="zh-CN" w:eastAsia="zh-CN"/>
        </w:rPr>
        <w:t>负责执行上级安排的评价任务</w:t>
      </w:r>
      <w:r>
        <w:rPr>
          <w:rFonts w:hint="eastAsia" w:cs="Times New Roman"/>
          <w:szCs w:val="32"/>
          <w:lang w:eastAsia="zh-CN"/>
        </w:rPr>
        <w:t>。</w:t>
      </w:r>
    </w:p>
    <w:p w14:paraId="27EECF4F">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0" w:firstLineChars="200"/>
        <w:jc w:val="left"/>
        <w:textAlignment w:val="auto"/>
        <w:rPr>
          <w:rFonts w:hint="eastAsia"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7AAB3AB9">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eastAsia="zh-CN"/>
        </w:rPr>
        <w:t>根据</w:t>
      </w:r>
      <w:r>
        <w:rPr>
          <w:rFonts w:hint="eastAsia" w:ascii="仿宋_GB2312" w:hAnsi="仿宋_GB2312" w:eastAsia="仿宋_GB2312" w:cs="仿宋_GB2312"/>
          <w:sz w:val="32"/>
          <w:szCs w:val="32"/>
          <w:lang w:val="zh-CN" w:eastAsia="zh-CN"/>
        </w:rPr>
        <w:t>项目</w:t>
      </w:r>
      <w:r>
        <w:rPr>
          <w:rFonts w:hint="default" w:ascii="仿宋_GB2312" w:hAnsi="仿宋_GB2312" w:eastAsia="仿宋_GB2312" w:cs="仿宋_GB2312"/>
          <w:sz w:val="32"/>
          <w:szCs w:val="32"/>
          <w:lang w:val="zh-CN" w:eastAsia="zh-CN"/>
        </w:rPr>
        <w:t>预算绩效评价指标体系“</w:t>
      </w:r>
      <w:r>
        <w:rPr>
          <w:rFonts w:hint="eastAsia" w:ascii="仿宋_GB2312" w:hAnsi="仿宋_GB2312" w:eastAsia="仿宋_GB2312" w:cs="仿宋_GB2312"/>
          <w:sz w:val="32"/>
          <w:szCs w:val="32"/>
          <w:lang w:val="zh-CN" w:eastAsia="zh-CN"/>
        </w:rPr>
        <w:t>通用指标</w:t>
      </w:r>
      <w:r>
        <w:rPr>
          <w:rFonts w:hint="default"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eastAsia="zh-CN"/>
        </w:rPr>
        <w:t>“专用指标”“个性指标”</w:t>
      </w:r>
      <w:r>
        <w:rPr>
          <w:rFonts w:hint="default" w:ascii="仿宋_GB2312" w:hAnsi="仿宋_GB2312" w:eastAsia="仿宋_GB2312" w:cs="仿宋_GB2312"/>
          <w:sz w:val="32"/>
          <w:szCs w:val="32"/>
          <w:lang w:val="zh-CN" w:eastAsia="zh-CN"/>
        </w:rPr>
        <w:t>涉及</w:t>
      </w:r>
      <w:r>
        <w:rPr>
          <w:rFonts w:hint="eastAsia" w:ascii="仿宋_GB2312" w:hAnsi="仿宋_GB2312" w:eastAsia="仿宋_GB2312" w:cs="仿宋_GB2312"/>
          <w:sz w:val="32"/>
          <w:szCs w:val="32"/>
          <w:lang w:val="zh-CN" w:eastAsia="zh-CN"/>
        </w:rPr>
        <w:t>二、三级</w:t>
      </w:r>
      <w:r>
        <w:rPr>
          <w:rFonts w:hint="default" w:ascii="仿宋_GB2312" w:hAnsi="仿宋_GB2312" w:eastAsia="仿宋_GB2312" w:cs="仿宋_GB2312"/>
          <w:sz w:val="32"/>
          <w:szCs w:val="32"/>
          <w:lang w:val="zh-CN" w:eastAsia="zh-CN"/>
        </w:rPr>
        <w:t>指标进行</w:t>
      </w:r>
      <w:r>
        <w:rPr>
          <w:rFonts w:hint="eastAsia" w:ascii="仿宋_GB2312" w:hAnsi="仿宋_GB2312" w:eastAsia="仿宋_GB2312" w:cs="仿宋_GB2312"/>
          <w:sz w:val="32"/>
          <w:szCs w:val="32"/>
          <w:lang w:val="zh-CN" w:eastAsia="zh-CN"/>
        </w:rPr>
        <w:t>逐项</w:t>
      </w:r>
      <w:r>
        <w:rPr>
          <w:rFonts w:hint="default" w:ascii="仿宋_GB2312" w:hAnsi="仿宋_GB2312" w:eastAsia="仿宋_GB2312" w:cs="仿宋_GB2312"/>
          <w:sz w:val="32"/>
          <w:szCs w:val="32"/>
          <w:lang w:val="zh-CN" w:eastAsia="zh-CN"/>
        </w:rPr>
        <w:t>绩效分析</w:t>
      </w:r>
      <w:r>
        <w:rPr>
          <w:rFonts w:hint="eastAsia" w:ascii="仿宋_GB2312" w:hAnsi="仿宋_GB2312" w:eastAsia="仿宋_GB2312" w:cs="仿宋_GB2312"/>
          <w:sz w:val="32"/>
          <w:szCs w:val="32"/>
          <w:lang w:val="zh-CN" w:eastAsia="zh-CN"/>
        </w:rPr>
        <w:t>并评分</w:t>
      </w:r>
      <w:r>
        <w:rPr>
          <w:rFonts w:hint="eastAsia" w:ascii="仿宋_GB2312" w:hAnsi="仿宋_GB2312" w:eastAsia="仿宋_GB2312" w:cs="仿宋_GB2312"/>
          <w:sz w:val="32"/>
          <w:szCs w:val="32"/>
          <w:lang w:val="en-US" w:eastAsia="zh-CN"/>
        </w:rPr>
        <w:t>。</w:t>
      </w:r>
    </w:p>
    <w:p w14:paraId="7D2888C9">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0" w:firstLineChars="200"/>
        <w:jc w:val="left"/>
        <w:textAlignment w:val="auto"/>
        <w:rPr>
          <w:rFonts w:hint="eastAsia" w:ascii="黑体" w:hAnsi="宋体" w:eastAsia="黑体" w:cs="Times New Roman"/>
          <w:color w:val="auto"/>
          <w:sz w:val="32"/>
          <w:szCs w:val="32"/>
          <w:highlight w:val="none"/>
          <w:u w:val="none"/>
          <w:lang w:val="en-US" w:eastAsia="zh-CN"/>
        </w:rPr>
      </w:pPr>
      <w:r>
        <w:rPr>
          <w:rFonts w:hint="eastAsia" w:ascii="黑体" w:hAnsi="宋体" w:eastAsia="黑体" w:cs="Times New Roman"/>
          <w:color w:val="auto"/>
          <w:sz w:val="32"/>
          <w:szCs w:val="32"/>
          <w:highlight w:val="none"/>
          <w:u w:val="none"/>
          <w:lang w:val="zh-CN"/>
        </w:rPr>
        <w:t>（一）</w:t>
      </w:r>
      <w:r>
        <w:rPr>
          <w:rFonts w:hint="eastAsia" w:ascii="黑体" w:hAnsi="宋体" w:eastAsia="黑体" w:cs="Times New Roman"/>
          <w:color w:val="auto"/>
          <w:sz w:val="32"/>
          <w:szCs w:val="32"/>
          <w:highlight w:val="none"/>
          <w:u w:val="none"/>
          <w:lang w:val="en-US" w:eastAsia="zh-CN"/>
        </w:rPr>
        <w:t>通用指标</w:t>
      </w:r>
      <w:r>
        <w:rPr>
          <w:rFonts w:hint="default" w:ascii="黑体" w:hAnsi="宋体" w:eastAsia="黑体" w:cs="Times New Roman"/>
          <w:color w:val="auto"/>
          <w:sz w:val="32"/>
          <w:szCs w:val="32"/>
          <w:highlight w:val="none"/>
          <w:u w:val="none"/>
          <w:lang w:val="zh-CN"/>
        </w:rPr>
        <w:t>绩效分析。</w:t>
      </w:r>
    </w:p>
    <w:p w14:paraId="26BB5DC2">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项目决策。项目的设立、调整完全符合资金管理基本规范和决策程序要求；符合中央、省委省政府有关决策部署安排，项目绩效目标设置科学合理；资金与项目总体规划、相关行业事业发展相匹配，属于政府支持范围。</w:t>
      </w:r>
      <w:r>
        <w:rPr>
          <w:rFonts w:hint="eastAsia" w:ascii="仿宋_GB2312" w:hAnsi="仿宋_GB2312" w:eastAsia="仿宋_GB2312" w:cs="仿宋_GB2312"/>
          <w:sz w:val="32"/>
          <w:szCs w:val="32"/>
          <w:lang w:val="en-US" w:eastAsia="zh-CN"/>
        </w:rPr>
        <w:t>项目决策评分为18分。</w:t>
      </w:r>
    </w:p>
    <w:p w14:paraId="6D2C2A56">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项目管理。围绕制度办法、分配管理、绩效监管进行绩效分析。资金管理办法等管理制度体系健全完善，不存在管理制度缺失、管理办法过期</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val="zh-CN" w:eastAsia="zh-CN"/>
        </w:rPr>
        <w:t>情况；资金分配因素选取充分考虑</w:t>
      </w:r>
      <w:r>
        <w:rPr>
          <w:rFonts w:hint="eastAsia" w:ascii="仿宋_GB2312" w:hAnsi="仿宋_GB2312" w:eastAsia="仿宋_GB2312" w:cs="仿宋_GB2312"/>
          <w:sz w:val="32"/>
          <w:szCs w:val="32"/>
          <w:lang w:val="en-US" w:eastAsia="zh-CN"/>
        </w:rPr>
        <w:t>我市事业</w:t>
      </w:r>
      <w:r>
        <w:rPr>
          <w:rFonts w:hint="eastAsia" w:ascii="仿宋_GB2312" w:hAnsi="仿宋_GB2312" w:eastAsia="仿宋_GB2312" w:cs="仿宋_GB2312"/>
          <w:sz w:val="32"/>
          <w:szCs w:val="32"/>
          <w:lang w:val="zh-CN" w:eastAsia="zh-CN"/>
        </w:rPr>
        <w:t>发展实际和发展需求，</w:t>
      </w:r>
      <w:r>
        <w:rPr>
          <w:rFonts w:hint="eastAsia" w:ascii="仿宋_GB2312" w:hAnsi="仿宋_GB2312" w:eastAsia="仿宋_GB2312" w:cs="仿宋_GB2312"/>
          <w:sz w:val="32"/>
          <w:szCs w:val="32"/>
          <w:lang w:val="en-US" w:eastAsia="zh-CN"/>
        </w:rPr>
        <w:t>分配公平合理，有效实行入库项目动态管理，严格项目申报审核程序，项目审批合规合法，资金分配严格按管理办法执行，决策程序符合管理要求，及时高效；项目按省州要求全面完成绩效目标（含事前评估）、绩效评价，州发改委对马尔康市预算绩效管理要求到位，不存在对市县资金分配和项目管理指导力度不够的情况，按时在项目完工后验收后开展评价、监督、指导等工作。项目管理评分为18分。</w:t>
      </w:r>
    </w:p>
    <w:p w14:paraId="2C3EC484">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3.项目实施。项目资金使用、拨付符合资金管理办法，不存在超范围、超标准、超进度使用专项资金，不存在资金损失浪费、长期沉淀、截留、挤占、挪用、虚列支出等情况。项目实施评分为9分。</w:t>
      </w:r>
    </w:p>
    <w:p w14:paraId="142A5E64">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4.项目结果。围绕</w:t>
      </w:r>
      <w:r>
        <w:rPr>
          <w:rFonts w:hint="eastAsia" w:ascii="仿宋_GB2312" w:hAnsi="仿宋_GB2312" w:eastAsia="仿宋_GB2312" w:cs="仿宋_GB2312"/>
          <w:sz w:val="32"/>
          <w:szCs w:val="32"/>
          <w:lang w:val="zh-CN" w:eastAsia="zh-CN"/>
        </w:rPr>
        <w:t>目标完成、完成时效进行绩效分析。项目</w:t>
      </w:r>
      <w:r>
        <w:rPr>
          <w:rFonts w:hint="eastAsia" w:ascii="仿宋_GB2312" w:hAnsi="仿宋_GB2312" w:eastAsia="仿宋_GB2312" w:cs="仿宋_GB2312"/>
          <w:sz w:val="32"/>
          <w:szCs w:val="32"/>
          <w:lang w:val="en-US" w:eastAsia="zh-CN"/>
        </w:rPr>
        <w:t>于2024年按期</w:t>
      </w:r>
      <w:r>
        <w:rPr>
          <w:rFonts w:hint="eastAsia" w:ascii="仿宋_GB2312" w:hAnsi="仿宋_GB2312" w:eastAsia="仿宋_GB2312" w:cs="仿宋_GB2312"/>
          <w:sz w:val="32"/>
          <w:szCs w:val="32"/>
          <w:lang w:val="zh-CN" w:eastAsia="zh-CN"/>
        </w:rPr>
        <w:t>完成预期目标，</w:t>
      </w:r>
      <w:r>
        <w:rPr>
          <w:rFonts w:hint="eastAsia" w:ascii="仿宋_GB2312" w:hAnsi="仿宋_GB2312" w:eastAsia="仿宋_GB2312" w:cs="仿宋_GB2312"/>
          <w:sz w:val="32"/>
          <w:szCs w:val="32"/>
          <w:lang w:val="en-US" w:eastAsia="zh-CN"/>
        </w:rPr>
        <w:t>完成供暖设施设备安装。</w:t>
      </w:r>
      <w:r>
        <w:rPr>
          <w:rFonts w:hint="eastAsia" w:ascii="仿宋_GB2312" w:hAnsi="仿宋_GB2312" w:eastAsia="仿宋_GB2312" w:cs="仿宋_GB2312"/>
          <w:sz w:val="32"/>
          <w:szCs w:val="32"/>
          <w:lang w:val="zh-CN" w:eastAsia="zh-CN"/>
        </w:rPr>
        <w:t>实施结果与绩效目标相匹配</w:t>
      </w:r>
      <w:r>
        <w:rPr>
          <w:rFonts w:hint="eastAsia" w:ascii="仿宋_GB2312" w:hAnsi="仿宋_GB2312" w:eastAsia="仿宋_GB2312" w:cs="仿宋_GB2312"/>
          <w:sz w:val="32"/>
          <w:szCs w:val="32"/>
          <w:lang w:val="en-US" w:eastAsia="zh-CN"/>
        </w:rPr>
        <w:t>。项目结果评分为9分。</w:t>
      </w:r>
    </w:p>
    <w:p w14:paraId="27633B46">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outlineLvl w:val="9"/>
        <w:rPr>
          <w:rFonts w:hint="eastAsia" w:ascii="楷体_GB2312" w:hAnsi="楷体_GB2312" w:eastAsia="楷体_GB2312" w:cs="楷体_GB2312"/>
          <w:color w:val="auto"/>
          <w:szCs w:val="32"/>
          <w:lang w:val="zh-CN" w:eastAsia="zh-CN"/>
        </w:rPr>
      </w:pPr>
      <w:r>
        <w:rPr>
          <w:rFonts w:hint="eastAsia" w:ascii="黑体" w:hAnsi="宋体" w:eastAsia="黑体" w:cs="Times New Roman"/>
          <w:color w:val="auto"/>
          <w:sz w:val="32"/>
          <w:szCs w:val="32"/>
          <w:highlight w:val="none"/>
          <w:u w:val="none"/>
          <w:lang w:val="zh-CN"/>
        </w:rPr>
        <w:t>（二）</w:t>
      </w:r>
      <w:r>
        <w:rPr>
          <w:rFonts w:hint="eastAsia" w:ascii="黑体" w:hAnsi="宋体" w:eastAsia="黑体" w:cs="Times New Roman"/>
          <w:color w:val="auto"/>
          <w:sz w:val="32"/>
          <w:szCs w:val="32"/>
          <w:highlight w:val="none"/>
          <w:u w:val="none"/>
          <w:lang w:val="en-US" w:eastAsia="zh-CN"/>
        </w:rPr>
        <w:t>专用指</w:t>
      </w:r>
      <w:r>
        <w:rPr>
          <w:rFonts w:hint="eastAsia" w:ascii="楷体_GB2312" w:hAnsi="宋体" w:eastAsia="楷体_GB2312" w:cs="Times New Roman"/>
          <w:b/>
          <w:color w:val="auto"/>
          <w:sz w:val="32"/>
          <w:szCs w:val="32"/>
          <w:highlight w:val="none"/>
          <w:u w:val="none"/>
          <w:lang w:val="en-US" w:eastAsia="zh-CN"/>
        </w:rPr>
        <w:t>标</w:t>
      </w:r>
      <w:r>
        <w:rPr>
          <w:rFonts w:hint="default" w:ascii="黑体" w:hAnsi="宋体" w:eastAsia="黑体" w:cs="Times New Roman"/>
          <w:color w:val="auto"/>
          <w:sz w:val="32"/>
          <w:szCs w:val="32"/>
          <w:highlight w:val="none"/>
          <w:u w:val="none"/>
          <w:lang w:val="zh-CN"/>
        </w:rPr>
        <w:t>绩效分析。</w:t>
      </w:r>
      <w:r>
        <w:rPr>
          <w:rFonts w:hint="eastAsia" w:ascii="黑体" w:hAnsi="宋体" w:eastAsia="黑体" w:cs="Times New Roman"/>
          <w:color w:val="auto"/>
          <w:sz w:val="32"/>
          <w:szCs w:val="32"/>
          <w:highlight w:val="none"/>
          <w:u w:val="none"/>
          <w:lang w:val="en-US" w:eastAsia="zh-CN"/>
        </w:rPr>
        <w:t>2</w:t>
      </w:r>
      <w:r>
        <w:rPr>
          <w:rFonts w:hint="eastAsia" w:ascii="仿宋_GB2312" w:hAnsi="仿宋_GB2312" w:cs="仿宋_GB2312"/>
          <w:sz w:val="32"/>
          <w:szCs w:val="32"/>
          <w:lang w:val="en-US" w:eastAsia="zh-CN"/>
        </w:rPr>
        <w:t>024年建设项目项目建设完工，达到项目预期。专用指标绩效评分为30分。</w:t>
      </w:r>
    </w:p>
    <w:p w14:paraId="57BB3BFE">
      <w:pPr>
        <w:keepNext w:val="0"/>
        <w:keepLines w:val="0"/>
        <w:pageBreakBefore w:val="0"/>
        <w:widowControl w:val="0"/>
        <w:kinsoku/>
        <w:wordWrap/>
        <w:overflowPunct w:val="0"/>
        <w:topLinePunct w:val="0"/>
        <w:autoSpaceDE/>
        <w:autoSpaceDN/>
        <w:bidi w:val="0"/>
        <w:adjustRightInd w:val="0"/>
        <w:snapToGrid w:val="0"/>
        <w:spacing w:line="560" w:lineRule="exact"/>
        <w:ind w:firstLine="640"/>
        <w:textAlignment w:val="auto"/>
        <w:outlineLvl w:val="9"/>
        <w:rPr>
          <w:rFonts w:hint="eastAsia" w:ascii="仿宋_GB2312" w:hAnsi="仿宋_GB2312" w:eastAsia="宋体" w:cs="仿宋_GB2312"/>
          <w:sz w:val="32"/>
          <w:szCs w:val="32"/>
          <w:lang w:val="en-US" w:eastAsia="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w:t>
      </w:r>
      <w:r>
        <w:rPr>
          <w:rFonts w:hint="eastAsia" w:ascii="黑体" w:hAnsi="宋体" w:eastAsia="黑体" w:cs="Times New Roman"/>
          <w:color w:val="auto"/>
          <w:sz w:val="32"/>
          <w:szCs w:val="32"/>
          <w:highlight w:val="none"/>
          <w:u w:val="none"/>
          <w:lang w:val="en-US" w:eastAsia="zh-CN"/>
        </w:rPr>
        <w:t>性指标</w:t>
      </w:r>
      <w:r>
        <w:rPr>
          <w:rFonts w:hint="default" w:ascii="黑体" w:hAnsi="宋体" w:eastAsia="黑体" w:cs="Times New Roman"/>
          <w:color w:val="auto"/>
          <w:sz w:val="32"/>
          <w:szCs w:val="32"/>
          <w:highlight w:val="none"/>
          <w:u w:val="none"/>
          <w:lang w:val="zh-CN" w:eastAsia="zh-CN"/>
        </w:rPr>
        <w:t>绩效分析。</w:t>
      </w:r>
      <w:r>
        <w:rPr>
          <w:rFonts w:hint="eastAsia" w:ascii="仿宋_GB2312" w:hAnsi="仿宋_GB2312" w:eastAsia="宋体" w:cs="仿宋_GB2312"/>
          <w:sz w:val="32"/>
          <w:szCs w:val="32"/>
          <w:lang w:val="zh-CN" w:eastAsia="zh-CN"/>
        </w:rPr>
        <w:t>根据项目个性自行设定部分指标，反映该项指标执行完成情况。</w:t>
      </w:r>
      <w:r>
        <w:rPr>
          <w:rFonts w:hint="eastAsia" w:ascii="仿宋_GB2312" w:hAnsi="仿宋_GB2312" w:eastAsia="宋体" w:cs="仿宋_GB2312"/>
          <w:sz w:val="32"/>
          <w:szCs w:val="32"/>
          <w:lang w:val="en-US" w:eastAsia="zh-CN"/>
        </w:rPr>
        <w:t>基础设施建设项目</w:t>
      </w:r>
      <w:r>
        <w:rPr>
          <w:rFonts w:hint="eastAsia" w:ascii="仿宋_GB2312" w:hAnsi="仿宋_GB2312" w:eastAsia="宋体" w:cs="仿宋_GB2312"/>
          <w:sz w:val="32"/>
          <w:szCs w:val="32"/>
          <w:lang w:val="zh-CN" w:eastAsia="zh-CN"/>
        </w:rPr>
        <w:t>建设内容</w:t>
      </w:r>
      <w:r>
        <w:rPr>
          <w:rFonts w:hint="eastAsia" w:ascii="仿宋_GB2312" w:hAnsi="仿宋_GB2312" w:eastAsia="宋体" w:cs="仿宋_GB2312"/>
          <w:sz w:val="32"/>
          <w:szCs w:val="32"/>
          <w:lang w:val="en-US" w:eastAsia="zh-CN"/>
        </w:rPr>
        <w:t>严格</w:t>
      </w:r>
      <w:r>
        <w:rPr>
          <w:rFonts w:hint="eastAsia" w:ascii="仿宋_GB2312" w:hAnsi="仿宋_GB2312" w:eastAsia="宋体" w:cs="仿宋_GB2312"/>
          <w:sz w:val="32"/>
          <w:szCs w:val="32"/>
          <w:lang w:val="zh-CN" w:eastAsia="zh-CN"/>
        </w:rPr>
        <w:t>按照申报方案实施，项目质量是否达到</w:t>
      </w:r>
      <w:r>
        <w:rPr>
          <w:rFonts w:hint="eastAsia" w:ascii="仿宋_GB2312" w:hAnsi="仿宋_GB2312" w:eastAsia="宋体" w:cs="仿宋_GB2312"/>
          <w:sz w:val="32"/>
          <w:szCs w:val="32"/>
          <w:lang w:val="en-US" w:eastAsia="zh-CN"/>
        </w:rPr>
        <w:t>投运，项目建成后成效发挥显著，提升城市形象、完善城市功能、提升人民群众幸福感。个性指标</w:t>
      </w:r>
      <w:r>
        <w:rPr>
          <w:rFonts w:hint="default" w:ascii="仿宋_GB2312" w:hAnsi="仿宋_GB2312" w:eastAsia="宋体" w:cs="仿宋_GB2312"/>
          <w:sz w:val="32"/>
          <w:szCs w:val="32"/>
          <w:lang w:val="zh-CN" w:eastAsia="zh-CN"/>
        </w:rPr>
        <w:t>绩效</w:t>
      </w:r>
      <w:r>
        <w:rPr>
          <w:rFonts w:hint="eastAsia" w:ascii="仿宋_GB2312" w:hAnsi="仿宋_GB2312" w:eastAsia="宋体" w:cs="仿宋_GB2312"/>
          <w:sz w:val="32"/>
          <w:szCs w:val="32"/>
          <w:lang w:val="en-US" w:eastAsia="zh-CN"/>
        </w:rPr>
        <w:t>评分为16分。</w:t>
      </w:r>
    </w:p>
    <w:p w14:paraId="2A4E6659">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14:paraId="06A71607">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通过项目的</w:t>
      </w:r>
      <w:r>
        <w:rPr>
          <w:rFonts w:hint="eastAsia" w:ascii="仿宋_GB2312" w:hAnsi="仿宋_GB2312" w:eastAsia="仿宋_GB2312" w:cs="仿宋_GB2312"/>
          <w:kern w:val="2"/>
          <w:sz w:val="32"/>
          <w:szCs w:val="32"/>
          <w:lang w:val="zh-CN" w:eastAsia="zh-CN" w:bidi="ar-SA"/>
        </w:rPr>
        <w:t>设立背景及基本情况，</w:t>
      </w:r>
      <w:r>
        <w:rPr>
          <w:rFonts w:hint="default" w:ascii="仿宋_GB2312" w:hAnsi="仿宋_GB2312" w:eastAsia="仿宋_GB2312" w:cs="仿宋_GB2312"/>
          <w:kern w:val="2"/>
          <w:sz w:val="32"/>
          <w:szCs w:val="32"/>
          <w:lang w:val="en-US" w:eastAsia="zh-CN" w:bidi="ar-SA"/>
        </w:rPr>
        <w:t>实施目的及支持方向</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预算安排及分配管理</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zh-CN" w:eastAsia="zh-CN" w:bidi="ar-SA"/>
        </w:rPr>
        <w:t>项目绩效目标设置方面综合评价内容较好，</w:t>
      </w:r>
      <w:r>
        <w:rPr>
          <w:rFonts w:hint="eastAsia" w:ascii="仿宋_GB2312" w:hAnsi="仿宋_GB2312" w:eastAsia="仿宋_GB2312" w:cs="仿宋_GB2312"/>
          <w:kern w:val="2"/>
          <w:sz w:val="32"/>
          <w:szCs w:val="32"/>
          <w:lang w:val="en-US" w:eastAsia="zh-CN" w:bidi="ar-SA"/>
        </w:rPr>
        <w:t>评分为100分。项目建成后成效发挥显著，提升城市形象、完善城市功能、提升人民群众幸福感。</w:t>
      </w:r>
    </w:p>
    <w:p w14:paraId="2BC76039">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cs="Times New Roman"/>
          <w:color w:val="auto"/>
          <w:sz w:val="32"/>
          <w:szCs w:val="32"/>
          <w:highlight w:val="none"/>
          <w:u w:val="none"/>
          <w:lang w:eastAsia="zh-CN"/>
        </w:rPr>
        <w:t>五、</w:t>
      </w:r>
      <w:r>
        <w:rPr>
          <w:rFonts w:hint="eastAsia" w:ascii="黑体" w:hAnsi="宋体" w:eastAsia="黑体" w:cs="Times New Roman"/>
          <w:color w:val="auto"/>
          <w:sz w:val="32"/>
          <w:szCs w:val="32"/>
          <w:highlight w:val="none"/>
          <w:u w:val="none"/>
          <w:lang w:eastAsia="zh-CN"/>
        </w:rPr>
        <w:t>存在主要问题</w:t>
      </w:r>
    </w:p>
    <w:p w14:paraId="38A994A5">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无</w:t>
      </w:r>
    </w:p>
    <w:p w14:paraId="551689C4">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4653628E">
      <w:pPr>
        <w:tabs>
          <w:tab w:val="left" w:pos="1911"/>
        </w:tabs>
        <w:jc w:val="left"/>
        <w:rPr>
          <w:rFonts w:hint="eastAsia" w:ascii="仿宋_GB2312" w:hAnsi="仿宋_GB2312" w:eastAsia="仿宋_GB2312" w:cs="仿宋_GB2312"/>
          <w:b w:val="0"/>
          <w:bCs w:val="0"/>
          <w:kern w:val="0"/>
          <w:position w:val="0"/>
          <w:sz w:val="32"/>
          <w:szCs w:val="32"/>
          <w:highlight w:val="none"/>
          <w:lang w:val="e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w:t>
      </w:r>
      <w:bookmarkStart w:id="56" w:name="_Hlk110546638"/>
      <w:r>
        <w:rPr>
          <w:rFonts w:hint="eastAsia" w:ascii="仿宋_GB2312" w:hAnsi="仿宋_GB2312" w:cs="仿宋_GB2312"/>
          <w:b w:val="0"/>
          <w:bCs w:val="0"/>
          <w:kern w:val="0"/>
          <w:position w:val="0"/>
          <w:sz w:val="32"/>
          <w:szCs w:val="32"/>
          <w:highlight w:val="none"/>
          <w:lang w:val="en-US" w:eastAsia="zh-CN" w:bidi="ar-SA"/>
        </w:rPr>
        <w:t>无</w:t>
      </w:r>
    </w:p>
    <w:bookmarkEnd w:id="56"/>
    <w:p w14:paraId="1A928138">
      <w:pPr>
        <w:keepNext w:val="0"/>
        <w:keepLines w:val="0"/>
        <w:pageBreakBefore w:val="0"/>
        <w:kinsoku/>
        <w:wordWrap/>
        <w:overflowPunct/>
        <w:topLinePunct w:val="0"/>
        <w:autoSpaceDE/>
        <w:autoSpaceDN/>
        <w:bidi w:val="0"/>
        <w:adjustRightInd/>
        <w:snapToGrid w:val="0"/>
        <w:spacing w:line="578" w:lineRule="exact"/>
        <w:ind w:left="0" w:leftChars="0" w:firstLine="420" w:firstLineChars="200"/>
        <w:textAlignment w:val="auto"/>
        <w:outlineLvl w:val="9"/>
        <w:rPr>
          <w:rFonts w:hint="eastAsia" w:ascii="Times New Roman" w:hAnsi="Times New Roman" w:cs="Times New Roman"/>
          <w:color w:val="000000"/>
          <w:kern w:val="0"/>
          <w:szCs w:val="32"/>
          <w:highlight w:val="none"/>
          <w:shd w:val="clear" w:color="auto" w:fill="FFFFFF"/>
          <w:lang w:val="zh-CN" w:eastAsia="zh-CN"/>
        </w:rPr>
      </w:pPr>
    </w:p>
    <w:p w14:paraId="651ED5DF">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hint="eastAsia" w:ascii="仿宋_GB2312" w:hAnsi="仿宋_GB2312" w:eastAsia="仿宋_GB2312" w:cs="仿宋_GB2312"/>
          <w:color w:val="333333"/>
          <w:sz w:val="32"/>
          <w:szCs w:val="32"/>
          <w:lang w:val="en-US" w:eastAsia="zh-CN"/>
        </w:rPr>
      </w:pPr>
    </w:p>
    <w:p w14:paraId="3CCDDDDB">
      <w:pPr>
        <w:pStyle w:val="6"/>
        <w:rPr>
          <w:rFonts w:hint="eastAsia"/>
          <w:lang w:val="en-US" w:eastAsia="zh-CN"/>
        </w:rPr>
      </w:pPr>
    </w:p>
    <w:p w14:paraId="759E4007">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_GB2312" w:eastAsia="仿宋_GB2312" w:cs="仿宋_GB2312"/>
          <w:color w:val="333333"/>
          <w:sz w:val="32"/>
          <w:szCs w:val="32"/>
          <w:lang w:val="en-US" w:eastAsia="zh-CN"/>
        </w:rPr>
      </w:pPr>
    </w:p>
    <w:p w14:paraId="25AB5901">
      <w:pPr>
        <w:numPr>
          <w:ilvl w:val="0"/>
          <w:numId w:val="5"/>
        </w:numPr>
        <w:spacing w:line="600" w:lineRule="exact"/>
        <w:ind w:left="0" w:leftChars="0" w:firstLine="660" w:firstLineChars="150"/>
        <w:jc w:val="left"/>
        <w:outlineLvl w:val="0"/>
        <w:rPr>
          <w:rFonts w:ascii="仿宋" w:hAnsi="仿宋" w:eastAsia="仿宋"/>
          <w:color w:val="auto"/>
          <w:highlight w:val="none"/>
        </w:rPr>
      </w:pPr>
      <w:bookmarkStart w:id="57" w:name="_Toc15396618"/>
      <w:r>
        <w:rPr>
          <w:rStyle w:val="32"/>
          <w:rFonts w:hint="eastAsia" w:ascii="黑体" w:hAnsi="黑体" w:eastAsia="黑体"/>
          <w:b w:val="0"/>
          <w:color w:val="auto"/>
          <w:highlight w:val="none"/>
        </w:rPr>
        <w:t>附表</w:t>
      </w:r>
      <w:bookmarkEnd w:id="55"/>
      <w:bookmarkEnd w:id="57"/>
      <w:bookmarkStart w:id="58" w:name="_Toc15396619"/>
    </w:p>
    <w:p w14:paraId="4279BE9A">
      <w:pPr>
        <w:pStyle w:val="3"/>
        <w:rPr>
          <w:rFonts w:hint="eastAsia" w:ascii="仿宋" w:hAnsi="仿宋" w:eastAsia="仿宋"/>
          <w:b w:val="0"/>
          <w:color w:val="auto"/>
          <w:highlight w:val="none"/>
        </w:rPr>
      </w:pPr>
      <w:r>
        <w:rPr>
          <w:rFonts w:hint="eastAsia" w:ascii="仿宋" w:hAnsi="仿宋" w:eastAsia="仿宋"/>
          <w:b w:val="0"/>
          <w:color w:val="auto"/>
          <w:highlight w:val="none"/>
        </w:rPr>
        <w:t>一、收入支出决算总表</w:t>
      </w:r>
      <w:bookmarkEnd w:id="58"/>
    </w:p>
    <w:p w14:paraId="02F9DFDE">
      <w:pPr>
        <w:pStyle w:val="3"/>
        <w:rPr>
          <w:rFonts w:ascii="仿宋" w:hAnsi="仿宋" w:eastAsia="仿宋"/>
          <w:color w:val="auto"/>
          <w:highlight w:val="none"/>
        </w:rPr>
      </w:pPr>
      <w:bookmarkStart w:id="59" w:name="_Toc15396620"/>
      <w:r>
        <w:rPr>
          <w:rFonts w:hint="eastAsia" w:ascii="仿宋" w:hAnsi="仿宋" w:eastAsia="仿宋"/>
          <w:b w:val="0"/>
          <w:color w:val="auto"/>
          <w:highlight w:val="none"/>
        </w:rPr>
        <w:t>二、收</w:t>
      </w:r>
      <w:r>
        <w:rPr>
          <w:rStyle w:val="33"/>
          <w:rFonts w:hint="eastAsia" w:ascii="仿宋" w:hAnsi="仿宋" w:eastAsia="仿宋"/>
          <w:b w:val="0"/>
          <w:bCs w:val="0"/>
          <w:color w:val="auto"/>
          <w:highlight w:val="none"/>
        </w:rPr>
        <w:t>入决算表</w:t>
      </w:r>
      <w:bookmarkEnd w:id="59"/>
    </w:p>
    <w:p w14:paraId="34FA3F55">
      <w:pPr>
        <w:pStyle w:val="3"/>
        <w:rPr>
          <w:rFonts w:ascii="仿宋" w:hAnsi="仿宋" w:eastAsia="仿宋"/>
          <w:color w:val="auto"/>
          <w:highlight w:val="none"/>
        </w:rPr>
      </w:pPr>
      <w:bookmarkStart w:id="60" w:name="_Toc15396621"/>
      <w:r>
        <w:rPr>
          <w:rStyle w:val="33"/>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3"/>
          <w:rFonts w:hint="eastAsia" w:ascii="仿宋" w:hAnsi="仿宋" w:eastAsia="仿宋"/>
          <w:b w:val="0"/>
          <w:bCs w:val="0"/>
          <w:color w:val="auto"/>
          <w:highlight w:val="none"/>
        </w:rPr>
        <w:t>出决算表</w:t>
      </w:r>
      <w:bookmarkEnd w:id="60"/>
    </w:p>
    <w:p w14:paraId="292C06A8">
      <w:pPr>
        <w:pStyle w:val="3"/>
        <w:rPr>
          <w:rFonts w:ascii="仿宋" w:hAnsi="仿宋" w:eastAsia="仿宋"/>
          <w:b w:val="0"/>
          <w:color w:val="auto"/>
          <w:highlight w:val="none"/>
        </w:rPr>
      </w:pPr>
      <w:bookmarkStart w:id="61" w:name="_Toc15396622"/>
      <w:r>
        <w:rPr>
          <w:rStyle w:val="33"/>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3"/>
          <w:rFonts w:hint="eastAsia" w:ascii="仿宋" w:hAnsi="仿宋" w:eastAsia="仿宋"/>
          <w:b w:val="0"/>
          <w:bCs w:val="0"/>
          <w:color w:val="auto"/>
          <w:highlight w:val="none"/>
        </w:rPr>
        <w:t>政拨款收入支出决算总表</w:t>
      </w:r>
      <w:bookmarkEnd w:id="61"/>
    </w:p>
    <w:p w14:paraId="4824E4DC">
      <w:pPr>
        <w:pStyle w:val="3"/>
        <w:rPr>
          <w:rStyle w:val="33"/>
          <w:rFonts w:ascii="仿宋" w:hAnsi="仿宋" w:eastAsia="仿宋"/>
          <w:b w:val="0"/>
          <w:bCs w:val="0"/>
          <w:color w:val="auto"/>
          <w:highlight w:val="none"/>
        </w:rPr>
      </w:pPr>
      <w:bookmarkStart w:id="62" w:name="_Toc15396623"/>
      <w:r>
        <w:rPr>
          <w:rStyle w:val="33"/>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3"/>
          <w:rFonts w:hint="eastAsia" w:ascii="仿宋" w:hAnsi="仿宋" w:eastAsia="仿宋"/>
          <w:b w:val="0"/>
          <w:bCs w:val="0"/>
          <w:color w:val="auto"/>
          <w:highlight w:val="none"/>
        </w:rPr>
        <w:t>政拨款支出决算明细表</w:t>
      </w:r>
      <w:bookmarkEnd w:id="62"/>
      <w:bookmarkStart w:id="63" w:name="_Toc15396624"/>
    </w:p>
    <w:p w14:paraId="680428AA">
      <w:pPr>
        <w:pStyle w:val="3"/>
        <w:rPr>
          <w:rFonts w:ascii="仿宋" w:hAnsi="仿宋" w:eastAsia="仿宋"/>
          <w:color w:val="auto"/>
          <w:highlight w:val="none"/>
        </w:rPr>
      </w:pPr>
      <w:r>
        <w:rPr>
          <w:rStyle w:val="33"/>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3"/>
          <w:rFonts w:hint="eastAsia" w:ascii="仿宋" w:hAnsi="仿宋" w:eastAsia="仿宋"/>
          <w:b w:val="0"/>
          <w:bCs w:val="0"/>
          <w:color w:val="auto"/>
          <w:highlight w:val="none"/>
        </w:rPr>
        <w:t>般公共预算财政拨款支出决算表</w:t>
      </w:r>
      <w:bookmarkEnd w:id="63"/>
    </w:p>
    <w:p w14:paraId="1B353936">
      <w:pPr>
        <w:pStyle w:val="3"/>
        <w:rPr>
          <w:rFonts w:ascii="仿宋" w:hAnsi="仿宋" w:eastAsia="仿宋"/>
          <w:color w:val="auto"/>
          <w:highlight w:val="none"/>
        </w:rPr>
      </w:pPr>
      <w:bookmarkStart w:id="64" w:name="_Toc15396625"/>
      <w:r>
        <w:rPr>
          <w:rStyle w:val="33"/>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3"/>
          <w:rFonts w:hint="eastAsia" w:ascii="仿宋" w:hAnsi="仿宋" w:eastAsia="仿宋"/>
          <w:b w:val="0"/>
          <w:bCs w:val="0"/>
          <w:color w:val="auto"/>
          <w:highlight w:val="none"/>
        </w:rPr>
        <w:t>般公共预算财政拨款支出决算明细表</w:t>
      </w:r>
      <w:bookmarkEnd w:id="64"/>
    </w:p>
    <w:p w14:paraId="1ADBCB12">
      <w:pPr>
        <w:pStyle w:val="3"/>
        <w:rPr>
          <w:rFonts w:ascii="仿宋" w:hAnsi="仿宋" w:eastAsia="仿宋"/>
          <w:color w:val="auto"/>
          <w:highlight w:val="none"/>
        </w:rPr>
      </w:pPr>
      <w:bookmarkStart w:id="65" w:name="_Toc15396626"/>
      <w:r>
        <w:rPr>
          <w:rStyle w:val="33"/>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3"/>
          <w:rFonts w:hint="eastAsia" w:ascii="仿宋" w:hAnsi="仿宋" w:eastAsia="仿宋"/>
          <w:b w:val="0"/>
          <w:bCs w:val="0"/>
          <w:color w:val="auto"/>
          <w:highlight w:val="none"/>
        </w:rPr>
        <w:t>般公共预算财政拨款基本支出决算表</w:t>
      </w:r>
      <w:bookmarkEnd w:id="65"/>
    </w:p>
    <w:p w14:paraId="6C2FAEF4">
      <w:pPr>
        <w:pStyle w:val="3"/>
        <w:rPr>
          <w:rFonts w:ascii="仿宋" w:hAnsi="仿宋" w:eastAsia="仿宋"/>
          <w:color w:val="auto"/>
          <w:highlight w:val="none"/>
        </w:rPr>
      </w:pPr>
      <w:bookmarkStart w:id="66" w:name="_Toc15396627"/>
      <w:r>
        <w:rPr>
          <w:rStyle w:val="33"/>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3"/>
          <w:rFonts w:hint="eastAsia" w:ascii="仿宋" w:hAnsi="仿宋" w:eastAsia="仿宋"/>
          <w:b w:val="0"/>
          <w:bCs w:val="0"/>
          <w:color w:val="auto"/>
          <w:highlight w:val="none"/>
        </w:rPr>
        <w:t>般公共预算财政拨款项目支出决算表</w:t>
      </w:r>
      <w:bookmarkEnd w:id="66"/>
    </w:p>
    <w:p w14:paraId="2F0E6465">
      <w:pPr>
        <w:pStyle w:val="3"/>
        <w:rPr>
          <w:rFonts w:ascii="仿宋" w:hAnsi="仿宋" w:eastAsia="仿宋"/>
          <w:color w:val="auto"/>
          <w:highlight w:val="none"/>
        </w:rPr>
      </w:pPr>
      <w:bookmarkStart w:id="67" w:name="_Toc15396628"/>
      <w:r>
        <w:rPr>
          <w:rStyle w:val="33"/>
          <w:rFonts w:hint="eastAsia" w:ascii="仿宋" w:hAnsi="仿宋" w:eastAsia="仿宋"/>
          <w:b w:val="0"/>
          <w:bCs w:val="0"/>
          <w:color w:val="auto"/>
          <w:highlight w:val="none"/>
        </w:rPr>
        <w:t>十、</w:t>
      </w:r>
      <w:bookmarkEnd w:id="67"/>
      <w:r>
        <w:rPr>
          <w:rFonts w:hint="eastAsia" w:ascii="仿宋" w:hAnsi="仿宋" w:eastAsia="仿宋"/>
          <w:b w:val="0"/>
          <w:color w:val="auto"/>
          <w:highlight w:val="none"/>
        </w:rPr>
        <w:t>政</w:t>
      </w:r>
      <w:r>
        <w:rPr>
          <w:rStyle w:val="33"/>
          <w:rFonts w:hint="eastAsia" w:ascii="仿宋" w:hAnsi="仿宋" w:eastAsia="仿宋"/>
          <w:b w:val="0"/>
          <w:bCs w:val="0"/>
          <w:color w:val="auto"/>
          <w:highlight w:val="none"/>
        </w:rPr>
        <w:t>府性基金预算财政拨款收入支出决算表</w:t>
      </w:r>
    </w:p>
    <w:p w14:paraId="308CD334">
      <w:pPr>
        <w:pStyle w:val="3"/>
        <w:rPr>
          <w:rFonts w:ascii="仿宋" w:hAnsi="仿宋" w:eastAsia="仿宋"/>
          <w:color w:val="auto"/>
          <w:highlight w:val="none"/>
        </w:rPr>
      </w:pPr>
      <w:bookmarkStart w:id="68" w:name="_Toc15396629"/>
      <w:r>
        <w:rPr>
          <w:rStyle w:val="33"/>
          <w:rFonts w:hint="eastAsia" w:ascii="仿宋" w:hAnsi="仿宋" w:eastAsia="仿宋"/>
          <w:b w:val="0"/>
          <w:bCs w:val="0"/>
          <w:color w:val="auto"/>
          <w:highlight w:val="none"/>
        </w:rPr>
        <w:t>十一、</w:t>
      </w:r>
      <w:bookmarkEnd w:id="68"/>
      <w:r>
        <w:rPr>
          <w:rFonts w:hint="eastAsia" w:ascii="仿宋" w:hAnsi="仿宋" w:eastAsia="仿宋"/>
          <w:b w:val="0"/>
          <w:color w:val="auto"/>
          <w:highlight w:val="none"/>
        </w:rPr>
        <w:t>国</w:t>
      </w:r>
      <w:r>
        <w:rPr>
          <w:rStyle w:val="33"/>
          <w:rFonts w:hint="eastAsia" w:ascii="仿宋" w:hAnsi="仿宋" w:eastAsia="仿宋"/>
          <w:b w:val="0"/>
          <w:bCs w:val="0"/>
          <w:color w:val="auto"/>
          <w:highlight w:val="none"/>
        </w:rPr>
        <w:t>有资本经营预算</w:t>
      </w:r>
      <w:r>
        <w:rPr>
          <w:rStyle w:val="33"/>
          <w:rFonts w:hint="eastAsia" w:ascii="仿宋" w:hAnsi="仿宋" w:eastAsia="仿宋"/>
          <w:b w:val="0"/>
          <w:bCs w:val="0"/>
          <w:color w:val="auto"/>
          <w:highlight w:val="none"/>
          <w:lang w:eastAsia="zh-CN"/>
        </w:rPr>
        <w:t>财政拨款收入</w:t>
      </w:r>
      <w:r>
        <w:rPr>
          <w:rStyle w:val="33"/>
          <w:rFonts w:hint="eastAsia" w:ascii="仿宋" w:hAnsi="仿宋" w:eastAsia="仿宋"/>
          <w:b w:val="0"/>
          <w:bCs w:val="0"/>
          <w:color w:val="auto"/>
          <w:highlight w:val="none"/>
        </w:rPr>
        <w:t>支出决算表</w:t>
      </w:r>
    </w:p>
    <w:p w14:paraId="488B26D2">
      <w:pPr>
        <w:pStyle w:val="3"/>
        <w:rPr>
          <w:rFonts w:ascii="仿宋" w:hAnsi="仿宋" w:eastAsia="仿宋"/>
          <w:color w:val="auto"/>
          <w:highlight w:val="none"/>
        </w:rPr>
      </w:pPr>
      <w:bookmarkStart w:id="69" w:name="_Toc15396630"/>
      <w:r>
        <w:rPr>
          <w:rStyle w:val="33"/>
          <w:rFonts w:hint="eastAsia" w:ascii="仿宋" w:hAnsi="仿宋" w:eastAsia="仿宋"/>
          <w:b w:val="0"/>
          <w:bCs w:val="0"/>
          <w:color w:val="auto"/>
          <w:highlight w:val="none"/>
        </w:rPr>
        <w:t>十二、</w:t>
      </w:r>
      <w:bookmarkEnd w:id="69"/>
      <w:r>
        <w:rPr>
          <w:rStyle w:val="33"/>
          <w:rFonts w:hint="eastAsia" w:ascii="仿宋" w:hAnsi="仿宋" w:eastAsia="仿宋"/>
          <w:b w:val="0"/>
          <w:bCs w:val="0"/>
          <w:color w:val="auto"/>
          <w:highlight w:val="none"/>
          <w:lang w:eastAsia="zh-CN"/>
        </w:rPr>
        <w:t>国有资本经营预算财政拨款支出决算表</w:t>
      </w:r>
    </w:p>
    <w:p w14:paraId="209630FB">
      <w:pPr>
        <w:pStyle w:val="3"/>
        <w:rPr>
          <w:rFonts w:hint="eastAsia" w:eastAsia="仿宋"/>
          <w:color w:val="auto"/>
          <w:highlight w:val="none"/>
          <w:lang w:eastAsia="zh-CN"/>
        </w:rPr>
      </w:pPr>
      <w:bookmarkStart w:id="70" w:name="_Toc15396631"/>
      <w:r>
        <w:rPr>
          <w:rStyle w:val="33"/>
          <w:rFonts w:hint="eastAsia" w:ascii="仿宋" w:hAnsi="仿宋" w:eastAsia="仿宋"/>
          <w:b w:val="0"/>
          <w:bCs w:val="0"/>
          <w:color w:val="auto"/>
          <w:highlight w:val="none"/>
        </w:rPr>
        <w:t>十三、</w:t>
      </w:r>
      <w:bookmarkEnd w:id="70"/>
      <w:r>
        <w:rPr>
          <w:rStyle w:val="33"/>
          <w:rFonts w:hint="eastAsia" w:ascii="仿宋" w:hAnsi="仿宋" w:eastAsia="仿宋"/>
          <w:b w:val="0"/>
          <w:bCs w:val="0"/>
          <w:color w:val="auto"/>
          <w:highlight w:val="none"/>
          <w:lang w:eastAsia="zh-CN"/>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0761A90">
        <w:pPr>
          <w:pStyle w:val="11"/>
          <w:jc w:val="center"/>
        </w:pPr>
        <w:r>
          <w:fldChar w:fldCharType="begin"/>
        </w:r>
        <w:r>
          <w:instrText xml:space="preserve">PAGE   \* MERGEFORMAT</w:instrText>
        </w:r>
        <w:r>
          <w:fldChar w:fldCharType="separate"/>
        </w:r>
        <w:r>
          <w:rPr>
            <w:lang w:val="zh-CN"/>
          </w:rPr>
          <w:t>8</w:t>
        </w:r>
        <w:r>
          <w:fldChar w:fldCharType="end"/>
        </w:r>
      </w:p>
    </w:sdtContent>
  </w:sdt>
  <w:p w14:paraId="60BE0D57">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137A0">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DDA6E"/>
    <w:multiLevelType w:val="singleLevel"/>
    <w:tmpl w:val="8E1DDA6E"/>
    <w:lvl w:ilvl="0" w:tentative="0">
      <w:start w:val="3"/>
      <w:numFmt w:val="decimal"/>
      <w:lvlText w:val="%1."/>
      <w:lvlJc w:val="left"/>
      <w:pPr>
        <w:tabs>
          <w:tab w:val="left" w:pos="312"/>
        </w:tabs>
      </w:pPr>
    </w:lvl>
  </w:abstractNum>
  <w:abstractNum w:abstractNumId="1">
    <w:nsid w:val="B693A570"/>
    <w:multiLevelType w:val="singleLevel"/>
    <w:tmpl w:val="B693A570"/>
    <w:lvl w:ilvl="0" w:tentative="0">
      <w:start w:val="2"/>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4">
    <w:nsid w:val="0053208E"/>
    <w:multiLevelType w:val="singleLevel"/>
    <w:tmpl w:val="0053208E"/>
    <w:lvl w:ilvl="0" w:tentative="0">
      <w:start w:val="7"/>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37B6A08A"/>
    <w:multiLevelType w:val="singleLevel"/>
    <w:tmpl w:val="37B6A08A"/>
    <w:lvl w:ilvl="0" w:tentative="0">
      <w:start w:val="2"/>
      <w:numFmt w:val="chineseCounting"/>
      <w:suff w:val="nothing"/>
      <w:lvlText w:val="（%1）"/>
      <w:lvlJc w:val="left"/>
      <w:rPr>
        <w:rFonts w:hint="eastAsia"/>
      </w:rPr>
    </w:lvl>
  </w:abstractNum>
  <w:abstractNum w:abstractNumId="7">
    <w:nsid w:val="3818A09A"/>
    <w:multiLevelType w:val="singleLevel"/>
    <w:tmpl w:val="3818A09A"/>
    <w:lvl w:ilvl="0" w:tentative="0">
      <w:start w:val="1"/>
      <w:numFmt w:val="chineseCounting"/>
      <w:suff w:val="nothing"/>
      <w:lvlText w:val="%1、"/>
      <w:lvlJc w:val="left"/>
      <w:rPr>
        <w:rFonts w:hint="eastAsia"/>
      </w:rPr>
    </w:lvl>
  </w:abstractNum>
  <w:num w:numId="1">
    <w:abstractNumId w:val="7"/>
  </w:num>
  <w:num w:numId="2">
    <w:abstractNumId w:val="5"/>
  </w:num>
  <w:num w:numId="3">
    <w:abstractNumId w:val="0"/>
  </w:num>
  <w:num w:numId="4">
    <w:abstractNumId w:val="2"/>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lZTNhY2EwY2RjODBmODk3YzBmOTA2NTI0Zjc5NW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151DB9"/>
    <w:rsid w:val="053A62B5"/>
    <w:rsid w:val="064C262D"/>
    <w:rsid w:val="09ED3100"/>
    <w:rsid w:val="09FE6958"/>
    <w:rsid w:val="0A2032A3"/>
    <w:rsid w:val="0B1F4982"/>
    <w:rsid w:val="0B8A37D8"/>
    <w:rsid w:val="0C6240A5"/>
    <w:rsid w:val="10C055FF"/>
    <w:rsid w:val="111E5122"/>
    <w:rsid w:val="118107EC"/>
    <w:rsid w:val="11DD6519"/>
    <w:rsid w:val="16BB723D"/>
    <w:rsid w:val="16C826A5"/>
    <w:rsid w:val="18015F3F"/>
    <w:rsid w:val="196274C3"/>
    <w:rsid w:val="1BE8440E"/>
    <w:rsid w:val="1D155CEE"/>
    <w:rsid w:val="20F57F95"/>
    <w:rsid w:val="240371BF"/>
    <w:rsid w:val="25711CC6"/>
    <w:rsid w:val="25C741E6"/>
    <w:rsid w:val="27842671"/>
    <w:rsid w:val="28474412"/>
    <w:rsid w:val="29FD04D3"/>
    <w:rsid w:val="2ABE7A3E"/>
    <w:rsid w:val="2CA234A8"/>
    <w:rsid w:val="2E7F188E"/>
    <w:rsid w:val="2EFA178C"/>
    <w:rsid w:val="30B46D73"/>
    <w:rsid w:val="3119074E"/>
    <w:rsid w:val="315F792B"/>
    <w:rsid w:val="319F7F4E"/>
    <w:rsid w:val="3720190B"/>
    <w:rsid w:val="383D272C"/>
    <w:rsid w:val="39AE70AB"/>
    <w:rsid w:val="3AEA295B"/>
    <w:rsid w:val="3AF21AFA"/>
    <w:rsid w:val="3C0C0783"/>
    <w:rsid w:val="3F9F3A96"/>
    <w:rsid w:val="48BF60AB"/>
    <w:rsid w:val="493C27E9"/>
    <w:rsid w:val="496F39ED"/>
    <w:rsid w:val="49FF41D3"/>
    <w:rsid w:val="4A076A23"/>
    <w:rsid w:val="4BE068DB"/>
    <w:rsid w:val="4BF6002B"/>
    <w:rsid w:val="4CA5530C"/>
    <w:rsid w:val="4E2E1C77"/>
    <w:rsid w:val="4ECE2238"/>
    <w:rsid w:val="4ED82367"/>
    <w:rsid w:val="51DB4B86"/>
    <w:rsid w:val="55333C3E"/>
    <w:rsid w:val="563720E0"/>
    <w:rsid w:val="577B61C8"/>
    <w:rsid w:val="605633B3"/>
    <w:rsid w:val="63DF01FD"/>
    <w:rsid w:val="64CA39A1"/>
    <w:rsid w:val="66822C7A"/>
    <w:rsid w:val="69630ADE"/>
    <w:rsid w:val="6C4A05C8"/>
    <w:rsid w:val="6D3B1A89"/>
    <w:rsid w:val="70DB6E00"/>
    <w:rsid w:val="70E45F37"/>
    <w:rsid w:val="71BF4EC2"/>
    <w:rsid w:val="72734D90"/>
    <w:rsid w:val="7412278C"/>
    <w:rsid w:val="79E7B28D"/>
    <w:rsid w:val="7DA07633"/>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spacing w:before="156" w:beforeLines="50" w:line="360" w:lineRule="auto"/>
      <w:ind w:firstLine="480" w:firstLineChars="200"/>
    </w:pPr>
    <w:rPr>
      <w:rFonts w:eastAsia="仿宋"/>
      <w:sz w:val="24"/>
      <w:szCs w:val="23"/>
      <w:lang w:eastAsia="ar-SA"/>
    </w:rPr>
  </w:style>
  <w:style w:type="paragraph" w:styleId="6">
    <w:name w:val="Body Text"/>
    <w:basedOn w:val="1"/>
    <w:next w:val="1"/>
    <w:link w:val="29"/>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ody Text Indent 2"/>
    <w:basedOn w:val="1"/>
    <w:qFormat/>
    <w:uiPriority w:val="99"/>
    <w:pPr>
      <w:spacing w:line="560" w:lineRule="atLeast"/>
      <w:ind w:firstLine="640" w:firstLineChars="200"/>
    </w:pPr>
    <w:rPr>
      <w:rFonts w:ascii="宋体" w:hAnsi="宋体" w:cs="宋体"/>
      <w:color w:val="FF0000"/>
    </w:rPr>
  </w:style>
  <w:style w:type="paragraph" w:styleId="10">
    <w:name w:val="Balloon Text"/>
    <w:basedOn w:val="1"/>
    <w:link w:val="35"/>
    <w:semiHidden/>
    <w:unhideWhenUsed/>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0"/>
    <w:pPr>
      <w:ind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paragraph" w:styleId="16">
    <w:name w:val="Body Text 2"/>
    <w:basedOn w:val="1"/>
    <w:qFormat/>
    <w:uiPriority w:val="0"/>
  </w:style>
  <w:style w:type="paragraph" w:styleId="17">
    <w:name w:val="Normal (Web)"/>
    <w:basedOn w:val="1"/>
    <w:qFormat/>
    <w:uiPriority w:val="99"/>
    <w:pPr>
      <w:spacing w:beforeAutospacing="1" w:afterAutospacing="1"/>
      <w:jc w:val="left"/>
    </w:pPr>
    <w:rPr>
      <w:kern w:val="0"/>
      <w:sz w:val="24"/>
      <w:szCs w:val="24"/>
    </w:rPr>
  </w:style>
  <w:style w:type="paragraph" w:styleId="18">
    <w:name w:val="Body Text First Indent 2"/>
    <w:basedOn w:val="7"/>
    <w:unhideWhenUsed/>
    <w:qFormat/>
    <w:uiPriority w:val="0"/>
    <w:pPr>
      <w:widowControl w:val="0"/>
      <w:spacing w:after="120"/>
      <w:ind w:left="420" w:leftChars="200" w:firstLine="420" w:firstLineChars="200"/>
    </w:pPr>
    <w:rPr>
      <w:rFonts w:ascii="仿宋_GB2312" w:hAnsi="仿宋_GB2312" w:eastAsia="仿宋_GB2312" w:cs="Times New Roman"/>
      <w:kern w:val="2"/>
      <w:sz w:val="32"/>
      <w:szCs w:val="24"/>
      <w:lang w:val="en-US" w:eastAsia="zh-CN" w:bidi="ar-SA"/>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99"/>
    <w:rPr>
      <w:b/>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customStyle="1" w:styleId="24">
    <w:name w:val="Header Char"/>
    <w:basedOn w:val="21"/>
    <w:semiHidden/>
    <w:qFormat/>
    <w:uiPriority w:val="99"/>
    <w:rPr>
      <w:rFonts w:ascii="Times New Roman" w:hAnsi="Times New Roman"/>
      <w:sz w:val="18"/>
      <w:szCs w:val="18"/>
    </w:rPr>
  </w:style>
  <w:style w:type="character" w:customStyle="1" w:styleId="25">
    <w:name w:val="页眉 Char"/>
    <w:link w:val="12"/>
    <w:semiHidden/>
    <w:qFormat/>
    <w:locked/>
    <w:uiPriority w:val="99"/>
    <w:rPr>
      <w:sz w:val="18"/>
    </w:rPr>
  </w:style>
  <w:style w:type="character" w:customStyle="1" w:styleId="26">
    <w:name w:val="Footer Char"/>
    <w:basedOn w:val="21"/>
    <w:semiHidden/>
    <w:qFormat/>
    <w:uiPriority w:val="99"/>
    <w:rPr>
      <w:rFonts w:ascii="Times New Roman" w:hAnsi="Times New Roman"/>
      <w:sz w:val="18"/>
      <w:szCs w:val="18"/>
    </w:rPr>
  </w:style>
  <w:style w:type="character" w:customStyle="1" w:styleId="27">
    <w:name w:val="页脚 Char"/>
    <w:link w:val="11"/>
    <w:qFormat/>
    <w:locked/>
    <w:uiPriority w:val="99"/>
    <w:rPr>
      <w:sz w:val="18"/>
    </w:rPr>
  </w:style>
  <w:style w:type="character" w:customStyle="1" w:styleId="28">
    <w:name w:val="Body Text Char"/>
    <w:basedOn w:val="21"/>
    <w:semiHidden/>
    <w:qFormat/>
    <w:uiPriority w:val="99"/>
    <w:rPr>
      <w:rFonts w:ascii="Times New Roman" w:hAnsi="Times New Roman"/>
      <w:szCs w:val="24"/>
    </w:rPr>
  </w:style>
  <w:style w:type="character" w:customStyle="1" w:styleId="29">
    <w:name w:val="正文文本 Char"/>
    <w:link w:val="6"/>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Char"/>
    <w:basedOn w:val="21"/>
    <w:link w:val="2"/>
    <w:qFormat/>
    <w:uiPriority w:val="9"/>
    <w:rPr>
      <w:rFonts w:ascii="Times New Roman" w:hAnsi="Times New Roman"/>
      <w:b/>
      <w:bCs/>
      <w:kern w:val="44"/>
      <w:sz w:val="44"/>
      <w:szCs w:val="44"/>
    </w:rPr>
  </w:style>
  <w:style w:type="character" w:customStyle="1" w:styleId="33">
    <w:name w:val="标题 2 Char"/>
    <w:basedOn w:val="21"/>
    <w:link w:val="3"/>
    <w:qFormat/>
    <w:uiPriority w:val="9"/>
    <w:rPr>
      <w:rFonts w:asciiTheme="majorHAnsi" w:hAnsiTheme="majorHAnsi" w:eastAsiaTheme="majorEastAsia" w:cstheme="majorBidi"/>
      <w:b/>
      <w:bCs/>
      <w:kern w:val="2"/>
      <w:sz w:val="32"/>
      <w:szCs w:val="32"/>
    </w:rPr>
  </w:style>
  <w:style w:type="paragraph" w:customStyle="1" w:styleId="34">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1"/>
    <w:link w:val="10"/>
    <w:semiHidden/>
    <w:qFormat/>
    <w:uiPriority w:val="99"/>
    <w:rPr>
      <w:rFonts w:ascii="Times New Roman" w:hAnsi="Times New Roman"/>
      <w:kern w:val="2"/>
      <w:sz w:val="18"/>
      <w:szCs w:val="18"/>
    </w:rPr>
  </w:style>
  <w:style w:type="character" w:customStyle="1" w:styleId="36">
    <w:name w:val="标题 3 Char"/>
    <w:basedOn w:val="21"/>
    <w:link w:val="4"/>
    <w:qFormat/>
    <w:uiPriority w:val="9"/>
    <w:rPr>
      <w:rFonts w:ascii="Times New Roman" w:hAnsi="Times New Roman"/>
      <w:b/>
      <w:bCs/>
      <w:kern w:val="2"/>
      <w:sz w:val="32"/>
      <w:szCs w:val="32"/>
    </w:rPr>
  </w:style>
  <w:style w:type="paragraph" w:customStyle="1" w:styleId="37">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普通(网站) Char"/>
    <w:basedOn w:val="1"/>
    <w:qFormat/>
    <w:uiPriority w:val="0"/>
    <w:pPr>
      <w:spacing w:before="100" w:beforeAutospacing="1" w:after="100" w:afterAutospacing="1"/>
      <w:ind w:left="0" w:right="0"/>
      <w:jc w:val="left"/>
    </w:pPr>
    <w:rPr>
      <w:rFonts w:hint="eastAsia" w:ascii="仿宋" w:hAnsi="仿宋" w:eastAsia="仿宋" w:cs="仿宋"/>
      <w:color w:val="000000"/>
      <w:kern w:val="0"/>
      <w:sz w:val="24"/>
      <w:szCs w:val="24"/>
      <w:lang w:val="en-US" w:eastAsia="zh-CN" w:bidi="ar"/>
    </w:rPr>
  </w:style>
  <w:style w:type="character" w:customStyle="1" w:styleId="39">
    <w:name w:val="18"/>
    <w:basedOn w:val="21"/>
    <w:qFormat/>
    <w:uiPriority w:val="0"/>
    <w:rPr>
      <w:rFonts w:hint="default" w:ascii="Times New Roman" w:hAnsi="Times New Roman" w:cs="Times New Roman"/>
      <w:b/>
    </w:rPr>
  </w:style>
  <w:style w:type="character" w:customStyle="1" w:styleId="40">
    <w:name w:val="16"/>
    <w:basedOn w:val="21"/>
    <w:qFormat/>
    <w:uiPriority w:val="0"/>
    <w:rPr>
      <w:rFonts w:hint="default" w:ascii="Times New Roman" w:hAnsi="Times New Roman" w:cs="Times New Roman"/>
      <w:b/>
    </w:rPr>
  </w:style>
  <w:style w:type="paragraph" w:customStyle="1" w:styleId="41">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8.emf"/><Relationship Id="rId13" Type="http://schemas.openxmlformats.org/officeDocument/2006/relationships/oleObject" Target="embeddings/oleObject1.bin"/><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52</Pages>
  <Words>857</Words>
  <Characters>876</Characters>
  <Lines>61</Lines>
  <Paragraphs>17</Paragraphs>
  <TotalTime>0</TotalTime>
  <ScaleCrop>false</ScaleCrop>
  <LinksUpToDate>false</LinksUpToDate>
  <CharactersWithSpaces>882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Leader</cp:lastModifiedBy>
  <cp:lastPrinted>2025-10-23T07:24:32Z</cp:lastPrinted>
  <dcterms:modified xsi:type="dcterms:W3CDTF">2025-10-23T07:24:35Z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08E625D97E664FF19788A2D839BC61B4_13</vt:lpwstr>
  </property>
  <property fmtid="{D5CDD505-2E9C-101B-9397-08002B2CF9AE}" pid="4" name="KSOTemplateDocerSaveRecord">
    <vt:lpwstr>eyJoZGlkIjoiYTFlZTNhY2EwY2RjODBmODk3YzBmOTA2NTI0Zjc5NWIiLCJ1c2VySWQiOiI0NTY2NDU5NDQifQ==</vt:lpwstr>
  </property>
</Properties>
</file>