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DFE2A">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p>
    <w:p w14:paraId="7CB7E22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p>
    <w:p w14:paraId="5AA98DDA">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p>
    <w:p w14:paraId="2FD36128">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p>
    <w:p w14:paraId="50EB34D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p>
    <w:p w14:paraId="32B74EC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rPr>
        <w:t>四川省</w:t>
      </w:r>
      <w:r>
        <w:rPr>
          <w:rFonts w:hint="eastAsia" w:ascii="方正公文小标宋" w:hAnsi="方正公文小标宋" w:eastAsia="方正公文小标宋" w:cs="方正公文小标宋"/>
          <w:color w:val="auto"/>
          <w:sz w:val="44"/>
          <w:szCs w:val="44"/>
          <w:lang w:val="en-US" w:eastAsia="zh-CN"/>
        </w:rPr>
        <w:t>阿坝州马尔康市</w:t>
      </w:r>
      <w:r>
        <w:rPr>
          <w:rFonts w:hint="eastAsia" w:ascii="方正公文小标宋" w:hAnsi="方正公文小标宋" w:eastAsia="方正公文小标宋" w:cs="方正公文小标宋"/>
          <w:color w:val="auto"/>
          <w:sz w:val="44"/>
          <w:szCs w:val="44"/>
        </w:rPr>
        <w:t>住房城乡建设</w:t>
      </w:r>
    </w:p>
    <w:p w14:paraId="5A0A40CF">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rPr>
        <w:t>“十五五”规划</w:t>
      </w:r>
    </w:p>
    <w:p w14:paraId="658ED17B">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lang w:val="en-US" w:eastAsia="zh-CN"/>
        </w:rPr>
      </w:pPr>
      <w:r>
        <w:rPr>
          <w:rFonts w:hint="eastAsia" w:ascii="方正公文小标宋" w:hAnsi="方正公文小标宋" w:eastAsia="方正公文小标宋" w:cs="方正公文小标宋"/>
          <w:color w:val="auto"/>
          <w:sz w:val="44"/>
          <w:szCs w:val="44"/>
          <w:lang w:eastAsia="zh-CN"/>
        </w:rPr>
        <w:t>（送审版）</w:t>
      </w:r>
    </w:p>
    <w:p w14:paraId="48DEF31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14:paraId="1400ED4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19D887E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6371095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093A233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0490D55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3650FFF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747412F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4A5738B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28AD9FC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73B926A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0576E08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0429905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327E07A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马尔康市住房和城乡建设局</w:t>
      </w:r>
    </w:p>
    <w:p w14:paraId="3BE4E25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2026年05月</w:t>
      </w:r>
    </w:p>
    <w:p w14:paraId="23489BE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0F3B8FD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sz w:val="44"/>
          <w:szCs w:val="44"/>
        </w:rPr>
        <w:sectPr>
          <w:pgSz w:w="11906" w:h="16838"/>
          <w:pgMar w:top="1440" w:right="1800" w:bottom="1440" w:left="1800" w:header="851" w:footer="992" w:gutter="0"/>
          <w:cols w:space="720" w:num="1"/>
          <w:docGrid w:type="lines" w:linePitch="312" w:charSpace="0"/>
        </w:sectPr>
      </w:pPr>
    </w:p>
    <w:p w14:paraId="631F9EB4">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6AB5B76D">
      <w:pPr>
        <w:shd w:val="clear"/>
        <w:spacing w:before="0" w:beforeLines="0" w:after="0" w:afterLines="0" w:line="240" w:lineRule="auto"/>
        <w:ind w:left="0" w:leftChars="0" w:right="0" w:rightChars="0" w:firstLine="0" w:firstLineChars="0"/>
        <w:jc w:val="center"/>
        <w:rPr>
          <w:rFonts w:hint="eastAsia" w:ascii="方正大标宋简体" w:hAnsi="方正大标宋简体" w:eastAsia="方正大标宋简体" w:cs="方正大标宋简体"/>
          <w:color w:val="auto"/>
          <w:sz w:val="44"/>
          <w:szCs w:val="44"/>
        </w:rPr>
      </w:pPr>
      <w:r>
        <w:rPr>
          <w:rFonts w:hint="eastAsia" w:ascii="方正大标宋简体" w:hAnsi="方正大标宋简体" w:eastAsia="方正大标宋简体" w:cs="方正大标宋简体"/>
          <w:color w:val="auto"/>
          <w:sz w:val="44"/>
          <w:szCs w:val="44"/>
        </w:rPr>
        <w:t>目</w:t>
      </w:r>
      <w:r>
        <w:rPr>
          <w:rFonts w:hint="eastAsia" w:ascii="方正大标宋简体" w:hAnsi="方正大标宋简体" w:eastAsia="方正大标宋简体" w:cs="方正大标宋简体"/>
          <w:color w:val="auto"/>
          <w:sz w:val="44"/>
          <w:szCs w:val="44"/>
          <w:lang w:val="en-US" w:eastAsia="zh-CN"/>
        </w:rPr>
        <w:t xml:space="preserve">  </w:t>
      </w:r>
      <w:r>
        <w:rPr>
          <w:rFonts w:hint="eastAsia" w:ascii="方正大标宋简体" w:hAnsi="方正大标宋简体" w:eastAsia="方正大标宋简体" w:cs="方正大标宋简体"/>
          <w:color w:val="auto"/>
          <w:sz w:val="44"/>
          <w:szCs w:val="44"/>
        </w:rPr>
        <w:t>录</w:t>
      </w:r>
    </w:p>
    <w:p w14:paraId="3F8E0AA5">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
          <w:bCs/>
          <w:color w:val="auto"/>
          <w:kern w:val="0"/>
          <w:sz w:val="28"/>
          <w:szCs w:val="28"/>
          <w:lang w:val="en-US" w:eastAsia="zh-CN" w:bidi="ar"/>
        </w:rPr>
        <w:fldChar w:fldCharType="begin"/>
      </w:r>
      <w:r>
        <w:rPr>
          <w:rFonts w:hint="eastAsia" w:ascii="仿宋" w:hAnsi="仿宋" w:eastAsia="仿宋" w:cs="仿宋"/>
          <w:b/>
          <w:bCs/>
          <w:color w:val="auto"/>
          <w:kern w:val="0"/>
          <w:sz w:val="28"/>
          <w:szCs w:val="28"/>
          <w:lang w:val="en-US" w:eastAsia="zh-CN" w:bidi="ar"/>
        </w:rPr>
        <w:instrText xml:space="preserve">TOC \o "1-2" \h \u </w:instrText>
      </w:r>
      <w:r>
        <w:rPr>
          <w:rFonts w:hint="eastAsia" w:ascii="仿宋" w:hAnsi="仿宋" w:eastAsia="仿宋" w:cs="仿宋"/>
          <w:b/>
          <w:bCs/>
          <w:color w:val="auto"/>
          <w:kern w:val="0"/>
          <w:sz w:val="28"/>
          <w:szCs w:val="28"/>
          <w:lang w:val="en-US" w:eastAsia="zh-CN" w:bidi="ar"/>
        </w:rPr>
        <w:fldChar w:fldCharType="separate"/>
      </w: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_Toc31434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color w:val="auto"/>
          <w:kern w:val="0"/>
          <w:sz w:val="28"/>
          <w:szCs w:val="28"/>
          <w:lang w:val="en-US" w:eastAsia="zh-CN" w:bidi="ar"/>
        </w:rPr>
        <w:t>第一章 “十四五”期间主要成效及问题</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_Toc31434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E431C3D">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_Toc14890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一、城市更新工作成效凸显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_Toc14890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43155CE">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_Toc20935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二、住房保障工作迈出坚实步伐</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_Toc20935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6A3D2ED">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_Toc12456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三、建筑企业管理工作提质增效</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_Toc12456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BF9B37B">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_Toc28168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四、房屋交易管理工作精细规范</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_Toc28168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22CE6C3">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_Toc1610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五、市政运维工作提质见效</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_Toc1610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E0EDBD6">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_Toc28945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六、城乡环境工作治理有效</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_Toc28945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FD6ADF6">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_Toc26633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七、存在的问题</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_Toc26633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D739F18">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_Toc10091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第二章 “十五五”时期形势与机遇</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_Toc10091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4C36670">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_Toc24024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一、国家层面</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_Toc24024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294CF1CD">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_Toc30854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二、四川省层面</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_Toc30854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10</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7EB6ECC">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_Toc23434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三、阿坝州层面</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_Toc23434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268A5ABE">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_Toc4743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 xml:space="preserve">第三章 </w:t>
      </w:r>
      <w:r>
        <w:rPr>
          <w:rFonts w:hint="eastAsia" w:ascii="仿宋" w:hAnsi="仿宋" w:eastAsia="仿宋" w:cs="仿宋"/>
          <w:color w:val="auto"/>
          <w:sz w:val="28"/>
          <w:szCs w:val="28"/>
        </w:rPr>
        <w:t>指导思想与发展目标</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_Toc4743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C410F39">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_Toc8673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一、指导思想</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_Toc8673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6F3E090">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_Toc6546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二、规划原则</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_Toc6546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F03ABC1">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_Toc14647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三、发展目标</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_Toc14647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14</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F5D1748">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_Toc7757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第四章 优化城镇空间格局</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_Toc7757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0298808">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_Toc23142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一、夯实州府极核作用</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_Toc23142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9394284">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_Toc32187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二、强化中心镇能级提升</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_Toc32187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04E6723">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_Toc32717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第五章 深入推动城市更新</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_Toc32717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F84D8D1">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_Toc7320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一、强化城市功能定位</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_Toc7320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1CA2B9C3">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_Toc26535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二、协同推进城市体检与更新</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_Toc26535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6E2175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_Toc17111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三、加快老旧小区改造</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_Toc17111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28C2D14">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_Toc23068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四、推进完整社区建设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_Toc23068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EC7EBD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_Toc16386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五、加强既有建筑改造</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_Toc16386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1DA43C98">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_Toc22690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六、推进老旧街区更新</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_Toc22690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DCBBF66">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_Toc1916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七、积极推动城中村改造</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_Toc1916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24</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FB81594">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_Toc18863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八、推动公共空间优化升级</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_Toc18863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07E394C">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_Toc11260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第六章 筑牢城市安全防线</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_Toc11260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28</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87A17F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_Toc2774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一、推进城市道路设施建设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_Toc2774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28</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E5DFE33">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_Toc7097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二、推动城市污水处理提质增效</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_Toc7097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3C61EA1">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_Toc25775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三、保障城市供水能力</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_Toc25775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30</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CD97DBA">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_Toc19230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四、加强城市排水防涝能力</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_Toc19230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A8B6609">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_Toc30540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五、深化城市燃气安全整治</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_Toc30540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7330775">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_Toc10755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六、完善供氧供暖配套</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_Toc10755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272CCB4">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_Toc11013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七、推动“无废城市”建设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_Toc11013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D06A473">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_Toc24507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八、精细化治理城市垃圾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_Toc24507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34</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20E8699D">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_Toc20696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九、推进城市地下管网和管廊建设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_Toc20696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34</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28E7335D">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_Toc27762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第七章 健全住房保障体系</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_Toc27762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36</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281C6D82">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_Toc14015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一、完善保障性住房建设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_Toc14015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36</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49E3A8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_Toc697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二、加强物业服务管理</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_Toc697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36</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286BEF5">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_Toc22429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三、提升农村住房保障水平</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_Toc22429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36</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DDCD3CB">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_Toc16942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四、优化体系平台建设</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_Toc16942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37</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92C2CB7">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_Toc19381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第八章 强化建筑业监管</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_Toc19381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38</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11C56511">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_Toc1183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一、强化建筑企业培育力度</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_Toc1183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38</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781D511">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_Toc1487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二、强化市场安全监管</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_Toc1487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38</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21B4CA0">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_Toc14628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三、推行智能建造工程</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_Toc14628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39</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A11A56F">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_Toc2668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第九章 培育绿色建筑产业</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_Toc2668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40</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1495782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_Toc25840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一、推广绿色建筑</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_Toc25840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40</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6A122D1">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_Toc31165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二、发展装配式建筑</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_Toc31165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40</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803174D">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_Toc24573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三、培育行业精英</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_Toc24573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4958D91">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_Toc19002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第十章 深化城乡环境治理</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_Toc19002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73184C8C">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_Toc21432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一、规范城市风貌管控</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_Toc21432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328D3612">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_Toc16654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二、补齐镇村设施短板</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_Toc16654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42</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15E1D00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_Toc29776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三、提升公共厕所设施水平</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_Toc29776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43</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2363F6BD">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_Toc24235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lang w:val="en-US" w:eastAsia="zh-CN"/>
        </w:rPr>
        <w:t>第十一章 加强历史文化保护利用</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_Toc24235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092C7BE">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_Toc29028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一、强化历史文脉整体保护</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_Toc29028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54D11D4F">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_Toc26954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二、激活传统村落特色价值</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_Toc26954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C8B71B3">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_Toc16662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三、推进历史建筑分类修缮</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_Toc16662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45</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ACEAC12">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_Toc19492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四、培育传统建筑工匠</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_Toc19492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46</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5A64579">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_Toc16598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五、推动文旅融合发展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_Toc16598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46</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65754F2F">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_Toc31133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highlight w:val="none"/>
          <w:lang w:val="en-US" w:eastAsia="zh-CN"/>
        </w:rPr>
        <w:t>第十二章 保障措施</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_Toc31133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47</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1BA83A9">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_Toc16735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一、加强组织领导</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_Toc16735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47</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16DC8B5">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_Toc12230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二、强化政策支持</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_Toc12230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47</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05591C5E">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_Toc32697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三、加强人才保障</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_Toc32697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47</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1B0F7386">
      <w:pPr>
        <w:pStyle w:val="6"/>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_Toc14808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bCs w:val="0"/>
          <w:color w:val="auto"/>
          <w:sz w:val="28"/>
          <w:szCs w:val="28"/>
          <w:lang w:val="en-US" w:eastAsia="zh-CN"/>
        </w:rPr>
        <w:t>四、严格监督评估</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_Toc14808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48</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2E8B488">
      <w:pPr>
        <w:pStyle w:val="5"/>
        <w:keepNext w:val="0"/>
        <w:keepLines w:val="0"/>
        <w:pageBreakBefore w:val="0"/>
        <w:shd w:val="clear"/>
        <w:tabs>
          <w:tab w:val="right" w:leader="dot" w:pos="8306"/>
        </w:tabs>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
        </w:rPr>
        <w:fldChar w:fldCharType="begin"/>
      </w:r>
      <w:r>
        <w:rPr>
          <w:rFonts w:hint="eastAsia" w:ascii="仿宋" w:hAnsi="仿宋" w:eastAsia="仿宋" w:cs="仿宋"/>
          <w:bCs/>
          <w:color w:val="auto"/>
          <w:kern w:val="0"/>
          <w:sz w:val="28"/>
          <w:szCs w:val="28"/>
          <w:lang w:val="en-US" w:eastAsia="zh-CN" w:bidi="ar"/>
        </w:rPr>
        <w:instrText xml:space="preserve"> HYPERLINK \l _Toc23364 </w:instrText>
      </w:r>
      <w:r>
        <w:rPr>
          <w:rFonts w:hint="eastAsia" w:ascii="仿宋" w:hAnsi="仿宋" w:eastAsia="仿宋" w:cs="仿宋"/>
          <w:bCs/>
          <w:color w:val="auto"/>
          <w:kern w:val="0"/>
          <w:sz w:val="28"/>
          <w:szCs w:val="28"/>
          <w:lang w:val="en-US" w:eastAsia="zh-CN" w:bidi="ar"/>
        </w:rPr>
        <w:fldChar w:fldCharType="separate"/>
      </w:r>
      <w:r>
        <w:rPr>
          <w:rFonts w:hint="eastAsia" w:ascii="仿宋" w:hAnsi="仿宋" w:eastAsia="仿宋" w:cs="仿宋"/>
          <w:color w:val="auto"/>
          <w:sz w:val="28"/>
          <w:szCs w:val="28"/>
        </w:rPr>
        <w:t>附件：</w:t>
      </w:r>
      <w:r>
        <w:rPr>
          <w:rFonts w:hint="eastAsia" w:ascii="仿宋" w:hAnsi="仿宋" w:eastAsia="仿宋" w:cs="仿宋"/>
          <w:color w:val="auto"/>
          <w:sz w:val="28"/>
          <w:szCs w:val="28"/>
          <w:lang w:val="en-US" w:eastAsia="zh-CN"/>
        </w:rPr>
        <w:t>马尔康市“十五五”规划储备项目清单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_Toc23364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hint="eastAsia" w:ascii="仿宋" w:hAnsi="仿宋" w:eastAsia="仿宋" w:cs="仿宋"/>
          <w:bCs/>
          <w:color w:val="auto"/>
          <w:kern w:val="0"/>
          <w:sz w:val="28"/>
          <w:szCs w:val="28"/>
          <w:lang w:val="en-US" w:eastAsia="zh-CN" w:bidi="ar"/>
        </w:rPr>
        <w:fldChar w:fldCharType="end"/>
      </w:r>
    </w:p>
    <w:p w14:paraId="4888928C">
      <w:pPr>
        <w:keepNext w:val="0"/>
        <w:keepLines w:val="0"/>
        <w:pageBreakBefore w:val="0"/>
        <w:widowControl/>
        <w:suppressLineNumbers w:val="0"/>
        <w:shd w:val="clear"/>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bCs/>
          <w:color w:val="auto"/>
          <w:kern w:val="0"/>
          <w:sz w:val="21"/>
          <w:szCs w:val="32"/>
          <w:lang w:val="en-US" w:eastAsia="zh-CN" w:bidi="ar"/>
        </w:rPr>
      </w:pPr>
      <w:r>
        <w:rPr>
          <w:rFonts w:hint="eastAsia" w:ascii="仿宋" w:hAnsi="仿宋" w:eastAsia="仿宋" w:cs="仿宋"/>
          <w:bCs/>
          <w:color w:val="auto"/>
          <w:kern w:val="0"/>
          <w:sz w:val="28"/>
          <w:szCs w:val="28"/>
          <w:lang w:val="en-US" w:eastAsia="zh-CN" w:bidi="ar"/>
        </w:rPr>
        <w:fldChar w:fldCharType="end"/>
      </w:r>
    </w:p>
    <w:p w14:paraId="2EBFCFCA">
      <w:pPr>
        <w:keepNext w:val="0"/>
        <w:keepLines w:val="0"/>
        <w:widowControl/>
        <w:suppressLineNumbers w:val="0"/>
        <w:shd w:val="clear"/>
        <w:ind w:firstLine="420" w:firstLineChars="200"/>
        <w:jc w:val="left"/>
        <w:rPr>
          <w:rFonts w:hint="eastAsia" w:ascii="黑体" w:hAnsi="黑体" w:eastAsia="黑体" w:cs="黑体"/>
          <w:bCs/>
          <w:color w:val="auto"/>
          <w:kern w:val="0"/>
          <w:sz w:val="21"/>
          <w:szCs w:val="32"/>
          <w:lang w:val="en-US" w:eastAsia="zh-CN" w:bidi="ar"/>
        </w:rPr>
      </w:pPr>
    </w:p>
    <w:p w14:paraId="3741E753">
      <w:pPr>
        <w:keepNext w:val="0"/>
        <w:keepLines w:val="0"/>
        <w:widowControl/>
        <w:suppressLineNumbers w:val="0"/>
        <w:shd w:val="clear"/>
        <w:ind w:firstLine="643" w:firstLineChars="200"/>
        <w:jc w:val="left"/>
        <w:outlineLvl w:val="0"/>
        <w:rPr>
          <w:rFonts w:hint="eastAsia" w:ascii="黑体" w:hAnsi="黑体" w:eastAsia="黑体" w:cs="黑体"/>
          <w:b/>
          <w:bCs/>
          <w:color w:val="auto"/>
          <w:kern w:val="0"/>
          <w:sz w:val="32"/>
          <w:szCs w:val="32"/>
          <w:lang w:val="en-US" w:eastAsia="zh-CN" w:bidi="ar"/>
        </w:rPr>
        <w:sectPr>
          <w:footerReference r:id="rId3" w:type="default"/>
          <w:pgSz w:w="11906" w:h="16838"/>
          <w:pgMar w:top="1440" w:right="1800" w:bottom="1440" w:left="1800" w:header="851" w:footer="992" w:gutter="0"/>
          <w:pgNumType w:start="1"/>
          <w:cols w:space="720" w:num="1"/>
          <w:docGrid w:type="lines" w:linePitch="312" w:charSpace="0"/>
        </w:sectPr>
      </w:pPr>
    </w:p>
    <w:p w14:paraId="258610BE">
      <w:pPr>
        <w:keepNext w:val="0"/>
        <w:keepLines w:val="0"/>
        <w:widowControl/>
        <w:suppressLineNumbers w:val="0"/>
        <w:shd w:val="clear"/>
        <w:jc w:val="center"/>
        <w:outlineLvl w:val="0"/>
        <w:rPr>
          <w:rFonts w:hint="eastAsia" w:ascii="方正小标宋简体" w:hAnsi="方正小标宋简体" w:eastAsia="方正小标宋简体" w:cs="方正小标宋简体"/>
          <w:color w:val="auto"/>
          <w:sz w:val="44"/>
          <w:szCs w:val="44"/>
          <w:lang w:val="en-US"/>
        </w:rPr>
      </w:pPr>
      <w:bookmarkStart w:id="0" w:name="_Toc31434"/>
      <w:r>
        <w:rPr>
          <w:rFonts w:hint="eastAsia" w:ascii="方正小标宋简体" w:hAnsi="方正小标宋简体" w:eastAsia="方正小标宋简体" w:cs="方正小标宋简体"/>
          <w:b/>
          <w:bCs/>
          <w:color w:val="auto"/>
          <w:kern w:val="0"/>
          <w:sz w:val="44"/>
          <w:szCs w:val="44"/>
          <w:lang w:val="en-US" w:eastAsia="zh-CN" w:bidi="ar"/>
        </w:rPr>
        <w:t>第一章 “十四五”期间主要成效及问题</w:t>
      </w:r>
      <w:bookmarkEnd w:id="0"/>
    </w:p>
    <w:p w14:paraId="64A98202">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highlight w:val="none"/>
          <w:lang w:val="en-US" w:eastAsia="zh-CN"/>
        </w:rPr>
      </w:pPr>
    </w:p>
    <w:p w14:paraId="6CCCE5E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四五”时期，马尔康市住建系统凝心聚力、攻坚克难，统筹推进城市更新、基础设施完善、住房保障提质、村镇建设振兴、风貌特色塑造和行业治理升级，圆满完成“十四五”规划确定的各项目标任务，城乡面貌显著改善、人居环境持续优化、发展根基更加夯实、治理效能明显提升，为“十五五”时期开创马尔康住建事业高质量发展新局面奠定了坚实基础、积累了宝贵经验。</w:t>
      </w:r>
    </w:p>
    <w:p w14:paraId="6D2C0E4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highlight w:val="none"/>
          <w:lang w:val="en-US" w:eastAsia="zh-CN"/>
        </w:rPr>
      </w:pPr>
      <w:bookmarkStart w:id="1" w:name="_Toc14890"/>
      <w:r>
        <w:rPr>
          <w:rFonts w:hint="eastAsia" w:ascii="黑体" w:hAnsi="黑体" w:eastAsia="黑体" w:cs="黑体"/>
          <w:b w:val="0"/>
          <w:bCs w:val="0"/>
          <w:color w:val="auto"/>
          <w:sz w:val="32"/>
          <w:szCs w:val="32"/>
          <w:highlight w:val="none"/>
          <w:lang w:val="en-US" w:eastAsia="zh-CN"/>
        </w:rPr>
        <w:t>一、城市更新工作成效凸显</w:t>
      </w:r>
      <w:bookmarkEnd w:id="1"/>
    </w:p>
    <w:p w14:paraId="5F30A01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color w:val="auto"/>
          <w:sz w:val="32"/>
          <w:szCs w:val="32"/>
          <w:highlight w:val="none"/>
          <w:lang w:val="en-US" w:eastAsia="zh-CN"/>
        </w:rPr>
        <w:t>“十四五”期间，马尔康积极大力推进旧城改造与城市更新工作，成效显著，成功入选美丽中国建设实践案例。</w:t>
      </w:r>
      <w:r>
        <w:rPr>
          <w:rFonts w:hint="eastAsia" w:ascii="仿宋" w:hAnsi="仿宋" w:eastAsia="仿宋" w:cs="仿宋"/>
          <w:b/>
          <w:bCs/>
          <w:color w:val="auto"/>
          <w:kern w:val="2"/>
          <w:sz w:val="32"/>
          <w:szCs w:val="32"/>
          <w:highlight w:val="none"/>
          <w:lang w:val="en-US" w:eastAsia="zh-CN" w:bidi="ar-SA"/>
        </w:rPr>
        <w:t>一是城市功能品质持续升级。</w:t>
      </w:r>
      <w:r>
        <w:rPr>
          <w:rFonts w:hint="eastAsia" w:ascii="仿宋" w:hAnsi="仿宋" w:eastAsia="仿宋" w:cs="仿宋"/>
          <w:b w:val="0"/>
          <w:bCs w:val="0"/>
          <w:color w:val="auto"/>
          <w:kern w:val="2"/>
          <w:sz w:val="32"/>
          <w:szCs w:val="32"/>
          <w:highlight w:val="none"/>
          <w:lang w:val="en-US" w:eastAsia="zh-CN" w:bidi="ar-SA"/>
        </w:rPr>
        <w:t>以旧</w:t>
      </w:r>
      <w:r>
        <w:rPr>
          <w:rFonts w:hint="eastAsia" w:ascii="仿宋" w:hAnsi="仿宋" w:eastAsia="仿宋" w:cs="仿宋"/>
          <w:color w:val="auto"/>
          <w:sz w:val="32"/>
          <w:szCs w:val="32"/>
          <w:highlight w:val="none"/>
          <w:lang w:val="en-US" w:eastAsia="zh-CN"/>
        </w:rPr>
        <w:t>城改造、灾后重建等工作为切入点，统筹推进旧区改造与新区建设，重点推动日瓦坝新区、俄尔雅片区开发，聚焦</w:t>
      </w:r>
      <w:r>
        <w:rPr>
          <w:rFonts w:hint="eastAsia" w:ascii="仿宋" w:hAnsi="仿宋" w:eastAsia="仿宋" w:cs="仿宋"/>
          <w:b w:val="0"/>
          <w:bCs w:val="0"/>
          <w:color w:val="auto"/>
          <w:kern w:val="2"/>
          <w:sz w:val="32"/>
          <w:szCs w:val="32"/>
          <w:highlight w:val="none"/>
          <w:lang w:val="en-US" w:eastAsia="zh-CN" w:bidi="ar-SA"/>
        </w:rPr>
        <w:t>达尔玛公园等系列</w:t>
      </w:r>
      <w:r>
        <w:rPr>
          <w:rFonts w:hint="eastAsia" w:ascii="仿宋" w:hAnsi="仿宋" w:eastAsia="仿宋" w:cs="仿宋"/>
          <w:color w:val="auto"/>
          <w:sz w:val="32"/>
          <w:szCs w:val="32"/>
          <w:highlight w:val="none"/>
          <w:lang w:val="en-US" w:eastAsia="zh-CN"/>
        </w:rPr>
        <w:t>项目建设，</w:t>
      </w:r>
      <w:r>
        <w:rPr>
          <w:rFonts w:hint="eastAsia" w:ascii="仿宋" w:hAnsi="仿宋" w:eastAsia="仿宋" w:cs="仿宋"/>
          <w:b w:val="0"/>
          <w:bCs w:val="0"/>
          <w:color w:val="auto"/>
          <w:kern w:val="2"/>
          <w:sz w:val="32"/>
          <w:szCs w:val="32"/>
          <w:highlight w:val="none"/>
          <w:lang w:val="en-US" w:eastAsia="zh-CN" w:bidi="ar-SA"/>
        </w:rPr>
        <w:t>提升城市品质，促进产城融合发展，优化城市空间布局</w:t>
      </w:r>
      <w:r>
        <w:rPr>
          <w:rFonts w:hint="eastAsia" w:ascii="仿宋" w:hAnsi="仿宋" w:eastAsia="仿宋" w:cs="仿宋"/>
          <w:color w:val="auto"/>
          <w:sz w:val="32"/>
          <w:szCs w:val="32"/>
          <w:highlight w:val="none"/>
          <w:lang w:val="en-US" w:eastAsia="zh-CN"/>
        </w:rPr>
        <w:t>。</w:t>
      </w:r>
      <w:r>
        <w:rPr>
          <w:rFonts w:hint="eastAsia" w:ascii="仿宋" w:hAnsi="仿宋" w:eastAsia="仿宋" w:cs="仿宋"/>
          <w:b/>
          <w:bCs/>
          <w:color w:val="auto"/>
          <w:sz w:val="32"/>
          <w:szCs w:val="32"/>
          <w:highlight w:val="none"/>
          <w:lang w:val="en-US" w:eastAsia="zh-CN"/>
        </w:rPr>
        <w:t>二是</w:t>
      </w:r>
      <w:r>
        <w:rPr>
          <w:rFonts w:hint="eastAsia" w:ascii="仿宋" w:hAnsi="仿宋" w:eastAsia="仿宋" w:cs="仿宋"/>
          <w:b/>
          <w:bCs/>
          <w:color w:val="auto"/>
          <w:kern w:val="2"/>
          <w:sz w:val="32"/>
          <w:szCs w:val="32"/>
          <w:highlight w:val="none"/>
          <w:lang w:val="en-US" w:eastAsia="zh-CN" w:bidi="ar-SA"/>
        </w:rPr>
        <w:t>稳步推动城市体验与</w:t>
      </w:r>
      <w:r>
        <w:rPr>
          <w:rFonts w:hint="eastAsia" w:ascii="仿宋" w:hAnsi="仿宋" w:eastAsia="仿宋" w:cs="仿宋"/>
          <w:b/>
          <w:bCs/>
          <w:color w:val="auto"/>
          <w:sz w:val="32"/>
          <w:szCs w:val="32"/>
          <w:highlight w:val="none"/>
          <w:lang w:val="en-US" w:eastAsia="zh-CN"/>
        </w:rPr>
        <w:t>规划协同发展</w:t>
      </w:r>
      <w:r>
        <w:rPr>
          <w:rFonts w:hint="eastAsia" w:ascii="仿宋" w:hAnsi="仿宋" w:eastAsia="仿宋" w:cs="仿宋"/>
          <w:b/>
          <w:bCs/>
          <w:color w:val="auto"/>
          <w:kern w:val="2"/>
          <w:sz w:val="32"/>
          <w:szCs w:val="32"/>
          <w:highlight w:val="none"/>
          <w:lang w:val="en-US" w:eastAsia="zh-CN" w:bidi="ar-SA"/>
        </w:rPr>
        <w:t>。</w:t>
      </w:r>
      <w:r>
        <w:rPr>
          <w:rFonts w:hint="eastAsia" w:ascii="仿宋" w:hAnsi="仿宋" w:eastAsia="仿宋" w:cs="仿宋"/>
          <w:color w:val="auto"/>
          <w:kern w:val="2"/>
          <w:sz w:val="32"/>
          <w:szCs w:val="32"/>
          <w:highlight w:val="none"/>
          <w:lang w:val="en-US" w:eastAsia="zh-CN" w:bidi="ar-SA"/>
        </w:rPr>
        <w:t>立足高原城市发展特色，将城市体检深度融入灾后重建与民生改善工程，并编制完成《马尔康城市更新》初稿。</w:t>
      </w:r>
      <w:r>
        <w:rPr>
          <w:rFonts w:hint="eastAsia" w:ascii="仿宋" w:hAnsi="仿宋" w:eastAsia="仿宋" w:cs="仿宋"/>
          <w:b/>
          <w:bCs/>
          <w:color w:val="auto"/>
          <w:kern w:val="2"/>
          <w:sz w:val="32"/>
          <w:szCs w:val="32"/>
          <w:highlight w:val="none"/>
          <w:lang w:val="en-US" w:eastAsia="zh-CN" w:bidi="ar-SA"/>
        </w:rPr>
        <w:t>三是</w:t>
      </w:r>
      <w:r>
        <w:rPr>
          <w:rFonts w:hint="eastAsia" w:ascii="仿宋" w:hAnsi="仿宋" w:eastAsia="仿宋" w:cs="仿宋"/>
          <w:b/>
          <w:bCs/>
          <w:color w:val="auto"/>
          <w:sz w:val="32"/>
          <w:szCs w:val="32"/>
          <w:highlight w:val="none"/>
          <w:lang w:val="en-US" w:eastAsia="zh-CN"/>
        </w:rPr>
        <w:t>老旧小区宜居水平大幅提升。</w:t>
      </w:r>
      <w:r>
        <w:rPr>
          <w:rFonts w:hint="eastAsia" w:ascii="仿宋" w:hAnsi="仿宋" w:eastAsia="仿宋" w:cs="仿宋"/>
          <w:color w:val="auto"/>
          <w:sz w:val="32"/>
          <w:szCs w:val="32"/>
          <w:highlight w:val="none"/>
          <w:lang w:val="en-US" w:eastAsia="zh-CN"/>
        </w:rPr>
        <w:t>“十四五”期间，全面完成州幼儿园家属楼、州人大住宿楼等小区的维修改造任务，涵盖旧改地块协调、小区改造及配套基础设施建设、既有住宅增设电梯等工作，</w:t>
      </w:r>
      <w:r>
        <w:rPr>
          <w:rFonts w:hint="eastAsia" w:ascii="仿宋" w:hAnsi="仿宋" w:eastAsia="仿宋" w:cs="仿宋"/>
          <w:color w:val="auto"/>
          <w:kern w:val="2"/>
          <w:sz w:val="32"/>
          <w:szCs w:val="32"/>
          <w:highlight w:val="none"/>
          <w:lang w:val="en-US" w:eastAsia="zh-CN" w:bidi="ar-SA"/>
        </w:rPr>
        <w:t xml:space="preserve">居民生活环境得到极大改善，满意度和幸福感显著提高。 </w:t>
      </w:r>
    </w:p>
    <w:p w14:paraId="6E0E2AA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highlight w:val="none"/>
          <w:lang w:val="en-US" w:eastAsia="zh-CN"/>
        </w:rPr>
      </w:pPr>
      <w:bookmarkStart w:id="2" w:name="_Toc20935"/>
      <w:r>
        <w:rPr>
          <w:rFonts w:hint="eastAsia" w:ascii="黑体" w:hAnsi="黑体" w:eastAsia="黑体" w:cs="黑体"/>
          <w:b w:val="0"/>
          <w:bCs w:val="0"/>
          <w:color w:val="auto"/>
          <w:sz w:val="32"/>
          <w:szCs w:val="32"/>
          <w:highlight w:val="none"/>
          <w:lang w:val="en-US" w:eastAsia="zh-CN"/>
        </w:rPr>
        <w:t>二、住房保障工作迈出坚实步伐</w:t>
      </w:r>
      <w:bookmarkEnd w:id="2"/>
    </w:p>
    <w:p w14:paraId="69B9522C">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“十四五”期间，马尔康市以改善民生为导向，聚焦住房保障关键领域，通过强化管理、推进改造、排查隐患等举措，全面提升群众居住质量，住房保障工作成效显著。</w:t>
      </w:r>
      <w:r>
        <w:rPr>
          <w:rFonts w:hint="eastAsia" w:ascii="仿宋" w:hAnsi="仿宋" w:eastAsia="仿宋" w:cs="仿宋"/>
          <w:b/>
          <w:bCs/>
          <w:color w:val="auto"/>
          <w:sz w:val="32"/>
          <w:szCs w:val="32"/>
          <w:highlight w:val="none"/>
          <w:lang w:val="en-US" w:eastAsia="zh-CN"/>
        </w:rPr>
        <w:t>一是管理效能持续优化。</w:t>
      </w:r>
      <w:r>
        <w:rPr>
          <w:rFonts w:hint="eastAsia" w:ascii="仿宋" w:hAnsi="仿宋" w:eastAsia="仿宋" w:cs="仿宋"/>
          <w:color w:val="auto"/>
          <w:sz w:val="32"/>
          <w:szCs w:val="32"/>
          <w:highlight w:val="none"/>
          <w:lang w:val="en-US" w:eastAsia="zh-CN"/>
        </w:rPr>
        <w:t>公租房管理实现动态精准化，2021年完成162户合同签订，清退违规住户13户，整改审计问题并追缴资金。2022—2024年持续完善物业管理机制，引进优质物业企业，成立行业委员会，累计调解纠纷70余起，推动小区管理向常态化、规范化迈进。</w:t>
      </w:r>
      <w:r>
        <w:rPr>
          <w:rFonts w:hint="eastAsia" w:ascii="仿宋" w:hAnsi="仿宋" w:eastAsia="仿宋" w:cs="仿宋"/>
          <w:b/>
          <w:bCs/>
          <w:color w:val="auto"/>
          <w:sz w:val="32"/>
          <w:szCs w:val="32"/>
          <w:highlight w:val="none"/>
          <w:lang w:val="en-US" w:eastAsia="zh-CN"/>
        </w:rPr>
        <w:t>二是安居工程扎实落地。</w:t>
      </w:r>
      <w:r>
        <w:rPr>
          <w:rFonts w:hint="eastAsia" w:ascii="仿宋" w:hAnsi="仿宋" w:eastAsia="仿宋" w:cs="仿宋"/>
          <w:color w:val="auto"/>
          <w:sz w:val="32"/>
          <w:szCs w:val="32"/>
          <w:highlight w:val="none"/>
          <w:lang w:val="en-US" w:eastAsia="zh-CN"/>
        </w:rPr>
        <w:t>农村危房改造与住房救助同步发力，2021—2024年共完成危房改造584户，发放农村危房改造资金63.8万元、住房租赁补贴52.72万元，保障355户城镇困难群众实现“安居梦”。</w:t>
      </w:r>
      <w:r>
        <w:rPr>
          <w:rFonts w:hint="eastAsia" w:ascii="仿宋" w:hAnsi="仿宋" w:eastAsia="仿宋" w:cs="仿宋"/>
          <w:b/>
          <w:bCs/>
          <w:color w:val="auto"/>
          <w:sz w:val="32"/>
          <w:szCs w:val="32"/>
          <w:highlight w:val="none"/>
          <w:lang w:val="en-US" w:eastAsia="zh-CN"/>
        </w:rPr>
        <w:t>三是安全防线全面筑牢。</w:t>
      </w:r>
      <w:r>
        <w:rPr>
          <w:rFonts w:hint="eastAsia" w:ascii="仿宋" w:hAnsi="仿宋" w:eastAsia="仿宋" w:cs="仿宋"/>
          <w:color w:val="auto"/>
          <w:sz w:val="32"/>
          <w:szCs w:val="32"/>
          <w:highlight w:val="none"/>
          <w:lang w:val="en-US" w:eastAsia="zh-CN"/>
        </w:rPr>
        <w:t>开展农村及城镇房屋安全排查整治行动，累计排查农村房屋8063户、城镇房屋1454栋、居民自建房20785栋，对155处隐患房屋实施管控，推进自建房“回头看”攻坚，保障群众居住安全。</w:t>
      </w:r>
    </w:p>
    <w:p w14:paraId="370B972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highlight w:val="none"/>
          <w:lang w:val="en-US" w:eastAsia="zh-CN"/>
        </w:rPr>
      </w:pPr>
      <w:bookmarkStart w:id="3" w:name="_Toc12456"/>
      <w:r>
        <w:rPr>
          <w:rFonts w:hint="eastAsia" w:ascii="黑体" w:hAnsi="黑体" w:eastAsia="黑体" w:cs="黑体"/>
          <w:b w:val="0"/>
          <w:bCs w:val="0"/>
          <w:color w:val="auto"/>
          <w:sz w:val="32"/>
          <w:szCs w:val="32"/>
          <w:highlight w:val="none"/>
          <w:lang w:val="en-US" w:eastAsia="zh-CN"/>
        </w:rPr>
        <w:t>三、建筑企业管理工作提质增效</w:t>
      </w:r>
      <w:bookmarkEnd w:id="3"/>
    </w:p>
    <w:p w14:paraId="5FFFF97C">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“十四五”期间，马尔康市围绕建筑行业全链条管理，以规范市场秩序、强化安全监管、保障民生权益为核心，推动建筑企业管理工作提质增效。</w:t>
      </w:r>
      <w:r>
        <w:rPr>
          <w:rFonts w:hint="eastAsia" w:ascii="仿宋" w:hAnsi="仿宋" w:eastAsia="仿宋" w:cs="仿宋"/>
          <w:b/>
          <w:bCs/>
          <w:color w:val="auto"/>
          <w:sz w:val="32"/>
          <w:szCs w:val="32"/>
          <w:highlight w:val="none"/>
          <w:lang w:val="en-US" w:eastAsia="zh-CN"/>
        </w:rPr>
        <w:t>一是监管体系全面升级。</w:t>
      </w:r>
      <w:r>
        <w:rPr>
          <w:rFonts w:hint="eastAsia" w:ascii="仿宋" w:hAnsi="仿宋" w:eastAsia="仿宋" w:cs="仿宋"/>
          <w:color w:val="auto"/>
          <w:sz w:val="32"/>
          <w:szCs w:val="32"/>
          <w:highlight w:val="none"/>
          <w:lang w:val="en-US" w:eastAsia="zh-CN"/>
        </w:rPr>
        <w:t>招投标管理在数量和质量上均实现显著提升，2021至2024年间累计完成67个项目的招标监督，严格规范开标与评标流程，确保程序合法合规。施工图审查备案工作紧密围绕绿色建筑标准展开，4年内完成51个项目的备案，从源头上严格把控建筑节能与消防安全。</w:t>
      </w:r>
      <w:r>
        <w:rPr>
          <w:rFonts w:hint="eastAsia" w:ascii="仿宋" w:hAnsi="仿宋" w:eastAsia="仿宋" w:cs="仿宋"/>
          <w:b/>
          <w:bCs/>
          <w:color w:val="auto"/>
          <w:sz w:val="32"/>
          <w:szCs w:val="32"/>
          <w:highlight w:val="none"/>
          <w:lang w:val="en-US" w:eastAsia="zh-CN"/>
        </w:rPr>
        <w:t>二是安全防线持续加固。</w:t>
      </w:r>
      <w:r>
        <w:rPr>
          <w:rFonts w:hint="eastAsia" w:ascii="仿宋" w:hAnsi="仿宋" w:eastAsia="仿宋" w:cs="仿宋"/>
          <w:color w:val="auto"/>
          <w:sz w:val="32"/>
          <w:szCs w:val="32"/>
          <w:highlight w:val="none"/>
          <w:lang w:val="en-US" w:eastAsia="zh-CN"/>
        </w:rPr>
        <w:t>安全生产检查已形成常态化机制。2021年，共开展8次专项检查，整改了13处隐患。后续每年持续动态强化安全监管，不间断地进行工程质量、扬尘防治、工地乱象整治等巡查工作，尤其在汛期进行专项排查，有效防范各类风险。特种设备与农房建设检查同步推进，隐患整改率达到100%，切实筑牢了工程建设的安全底线。</w:t>
      </w:r>
      <w:r>
        <w:rPr>
          <w:rFonts w:hint="eastAsia" w:ascii="仿宋" w:hAnsi="仿宋" w:eastAsia="仿宋" w:cs="仿宋"/>
          <w:b/>
          <w:bCs/>
          <w:color w:val="auto"/>
          <w:sz w:val="32"/>
          <w:szCs w:val="32"/>
          <w:highlight w:val="none"/>
          <w:lang w:val="en-US" w:eastAsia="zh-CN"/>
        </w:rPr>
        <w:t>三是行业生态优化发展。</w:t>
      </w:r>
      <w:r>
        <w:rPr>
          <w:rFonts w:hint="eastAsia" w:ascii="仿宋" w:hAnsi="仿宋" w:eastAsia="仿宋" w:cs="仿宋"/>
          <w:color w:val="auto"/>
          <w:sz w:val="32"/>
          <w:szCs w:val="32"/>
          <w:highlight w:val="none"/>
          <w:lang w:val="en-US" w:eastAsia="zh-CN"/>
        </w:rPr>
        <w:t>建筑企业坚持服务与监管并重，已完成对77家注册企业的动态摸排，成功推动17家企业纳入统计范围。2024年建筑业总产值同比增长显著，第三季度产值达到2.11亿元。农民工权益保障机制得到进一步完善，通过实施实名制管理和开展工资支付专项检查，成功实现所有在建项目“零欠薪”。同时，完善夜间施工许可证审批机制并建立快速审批通道，提升了审批工作效率，为行业高质量发展营造了稳定环境。</w:t>
      </w:r>
    </w:p>
    <w:p w14:paraId="033E392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黑体" w:hAnsi="黑体" w:eastAsia="黑体" w:cs="黑体"/>
          <w:b w:val="0"/>
          <w:bCs w:val="0"/>
          <w:color w:val="auto"/>
          <w:sz w:val="32"/>
          <w:szCs w:val="32"/>
          <w:highlight w:val="none"/>
          <w:lang w:val="en-US" w:eastAsia="zh-CN"/>
        </w:rPr>
      </w:pPr>
      <w:bookmarkStart w:id="4" w:name="_Toc28168"/>
      <w:r>
        <w:rPr>
          <w:rFonts w:hint="eastAsia" w:ascii="黑体" w:hAnsi="黑体" w:eastAsia="黑体" w:cs="黑体"/>
          <w:b w:val="0"/>
          <w:bCs w:val="0"/>
          <w:color w:val="auto"/>
          <w:sz w:val="32"/>
          <w:szCs w:val="32"/>
          <w:highlight w:val="none"/>
          <w:lang w:val="en-US" w:eastAsia="zh-CN"/>
        </w:rPr>
        <w:t>四、</w:t>
      </w:r>
      <w:r>
        <w:rPr>
          <w:rFonts w:hint="default" w:ascii="黑体" w:hAnsi="黑体" w:eastAsia="黑体" w:cs="黑体"/>
          <w:b w:val="0"/>
          <w:bCs w:val="0"/>
          <w:color w:val="auto"/>
          <w:sz w:val="32"/>
          <w:szCs w:val="32"/>
          <w:highlight w:val="none"/>
          <w:lang w:val="en-US" w:eastAsia="zh-CN"/>
        </w:rPr>
        <w:t>房屋交易管理工作精细规范</w:t>
      </w:r>
      <w:bookmarkEnd w:id="4"/>
    </w:p>
    <w:p w14:paraId="6490180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auto"/>
          <w:highlight w:val="none"/>
          <w:lang w:val="en-US" w:eastAsia="zh-CN"/>
        </w:rPr>
      </w:pPr>
      <w:r>
        <w:rPr>
          <w:rFonts w:hint="eastAsia" w:ascii="Times New Roman" w:hAnsi="Times New Roman" w:eastAsia="仿宋" w:cs="Times New Roman"/>
          <w:color w:val="auto"/>
          <w:kern w:val="2"/>
          <w:sz w:val="32"/>
          <w:szCs w:val="32"/>
          <w:highlight w:val="none"/>
          <w:lang w:val="en-US" w:eastAsia="zh-CN" w:bidi="ar-SA"/>
        </w:rPr>
        <w:t>“十四五”期间，马尔康市围绕信息查询与核查服务，保障交易安全、维护市场秩序，提升交易透明度与安全性，优化政务服务效率，强化市场监管力度。</w:t>
      </w:r>
      <w:r>
        <w:rPr>
          <w:rFonts w:hint="eastAsia" w:ascii="Times New Roman" w:hAnsi="Times New Roman" w:eastAsia="仿宋" w:cs="Times New Roman"/>
          <w:b/>
          <w:bCs/>
          <w:color w:val="auto"/>
          <w:kern w:val="2"/>
          <w:sz w:val="32"/>
          <w:szCs w:val="32"/>
          <w:highlight w:val="none"/>
          <w:lang w:val="en-US" w:eastAsia="zh-CN" w:bidi="ar-SA"/>
        </w:rPr>
        <w:t>一是打造透明交易环境</w:t>
      </w:r>
      <w:r>
        <w:rPr>
          <w:rFonts w:hint="eastAsia" w:ascii="Times New Roman" w:hAnsi="Times New Roman" w:eastAsia="仿宋" w:cs="Times New Roman"/>
          <w:color w:val="auto"/>
          <w:kern w:val="2"/>
          <w:sz w:val="32"/>
          <w:szCs w:val="32"/>
          <w:highlight w:val="none"/>
          <w:lang w:val="en-US" w:eastAsia="zh-CN" w:bidi="ar-SA"/>
        </w:rPr>
        <w:t>，依托“互联网+政务服务”构建信息服务体系，</w:t>
      </w:r>
      <w:r>
        <w:rPr>
          <w:rFonts w:hint="eastAsia" w:ascii="Times New Roman" w:hAnsi="Times New Roman" w:eastAsia="仿宋" w:cs="Times New Roman"/>
          <w:b w:val="0"/>
          <w:bCs w:val="0"/>
          <w:color w:val="auto"/>
          <w:kern w:val="2"/>
          <w:sz w:val="32"/>
          <w:szCs w:val="32"/>
          <w:highlight w:val="none"/>
          <w:lang w:val="en-US" w:eastAsia="zh-CN" w:bidi="ar-SA"/>
        </w:rPr>
        <w:t>通过房地产市场信息平台核查</w:t>
      </w:r>
      <w:r>
        <w:rPr>
          <w:rFonts w:hint="eastAsia" w:ascii="Times New Roman" w:hAnsi="Times New Roman" w:eastAsia="仿宋" w:cs="Times New Roman"/>
          <w:color w:val="auto"/>
          <w:kern w:val="2"/>
          <w:sz w:val="32"/>
          <w:szCs w:val="32"/>
          <w:highlight w:val="none"/>
          <w:lang w:val="en-US" w:eastAsia="zh-CN" w:bidi="ar-SA"/>
        </w:rPr>
        <w:t>相关信息2.1万余次，为多方提供数据支撑。</w:t>
      </w:r>
      <w:r>
        <w:rPr>
          <w:rFonts w:hint="eastAsia" w:ascii="Times New Roman" w:hAnsi="Times New Roman" w:eastAsia="仿宋" w:cs="Times New Roman"/>
          <w:b/>
          <w:bCs/>
          <w:color w:val="auto"/>
          <w:kern w:val="2"/>
          <w:sz w:val="32"/>
          <w:szCs w:val="32"/>
          <w:highlight w:val="none"/>
          <w:lang w:val="en-US" w:eastAsia="zh-CN" w:bidi="ar-SA"/>
        </w:rPr>
        <w:t>二是规范备案管理流程</w:t>
      </w:r>
      <w:r>
        <w:rPr>
          <w:rFonts w:hint="eastAsia" w:ascii="Times New Roman" w:hAnsi="Times New Roman" w:eastAsia="仿宋" w:cs="Times New Roman"/>
          <w:b w:val="0"/>
          <w:bCs w:val="0"/>
          <w:color w:val="auto"/>
          <w:kern w:val="2"/>
          <w:sz w:val="32"/>
          <w:szCs w:val="32"/>
          <w:highlight w:val="none"/>
          <w:lang w:val="en-US" w:eastAsia="zh-CN" w:bidi="ar-SA"/>
        </w:rPr>
        <w:t>，推行“全流程、闭环式”监管机制，优化网签备案系统，建立备案信息动态监测机制，严查违规行为。2021-2024年，累计完成交易合同备案2000余件，备案准确率达100</w:t>
      </w:r>
      <w:r>
        <w:rPr>
          <w:rFonts w:hint="eastAsia" w:ascii="Times New Roman" w:hAnsi="Times New Roman" w:eastAsia="仿宋" w:cs="Times New Roman"/>
          <w:b/>
          <w:bCs/>
          <w:color w:val="auto"/>
          <w:kern w:val="2"/>
          <w:sz w:val="32"/>
          <w:szCs w:val="32"/>
          <w:highlight w:val="none"/>
          <w:lang w:val="en-US" w:eastAsia="zh-CN" w:bidi="ar-SA"/>
        </w:rPr>
        <w:t>%。三是创新资金监管模式</w:t>
      </w:r>
      <w:r>
        <w:rPr>
          <w:rFonts w:hint="eastAsia" w:ascii="Times New Roman" w:hAnsi="Times New Roman" w:eastAsia="仿宋" w:cs="Times New Roman"/>
          <w:b w:val="0"/>
          <w:bCs w:val="0"/>
          <w:color w:val="auto"/>
          <w:kern w:val="2"/>
          <w:sz w:val="32"/>
          <w:szCs w:val="32"/>
          <w:highlight w:val="none"/>
          <w:lang w:val="en-US" w:eastAsia="zh-CN" w:bidi="ar-SA"/>
        </w:rPr>
        <w:t>，执行预售资金全额入账制度，通过信息化系统监测资金流向，建立分级拨付机制。2021-2024年，累计监管预售项目资金超8.7亿元</w:t>
      </w:r>
      <w:r>
        <w:rPr>
          <w:rFonts w:hint="eastAsia" w:ascii="Times New Roman" w:hAnsi="Times New Roman" w:eastAsia="仿宋" w:cs="Times New Roman"/>
          <w:color w:val="auto"/>
          <w:kern w:val="2"/>
          <w:sz w:val="32"/>
          <w:szCs w:val="32"/>
          <w:highlight w:val="none"/>
          <w:lang w:val="en-US" w:eastAsia="zh-CN" w:bidi="ar-SA"/>
        </w:rPr>
        <w:t>。</w:t>
      </w:r>
      <w:r>
        <w:rPr>
          <w:rFonts w:hint="eastAsia" w:ascii="Times New Roman" w:hAnsi="Times New Roman" w:eastAsia="仿宋" w:cs="Times New Roman"/>
          <w:b/>
          <w:bCs/>
          <w:color w:val="auto"/>
          <w:kern w:val="2"/>
          <w:sz w:val="32"/>
          <w:szCs w:val="32"/>
          <w:highlight w:val="none"/>
          <w:lang w:val="en-US" w:eastAsia="zh-CN" w:bidi="ar-SA"/>
        </w:rPr>
        <w:t>四是攻坚历史遗留难题，</w:t>
      </w:r>
      <w:r>
        <w:rPr>
          <w:rFonts w:hint="eastAsia" w:ascii="Times New Roman" w:hAnsi="Times New Roman" w:eastAsia="仿宋" w:cs="Times New Roman"/>
          <w:color w:val="auto"/>
          <w:kern w:val="2"/>
          <w:sz w:val="32"/>
          <w:szCs w:val="32"/>
          <w:highlight w:val="none"/>
          <w:lang w:val="en-US" w:eastAsia="zh-CN" w:bidi="ar-SA"/>
        </w:rPr>
        <w:t>针对房地产遗留问题成立专项工作组，采用“一事一策”“多部门联动”模式，联合多部门开辟“绿色通道”，帮</w:t>
      </w:r>
      <w:r>
        <w:rPr>
          <w:rFonts w:hint="eastAsia" w:ascii="Times New Roman" w:hAnsi="Times New Roman" w:eastAsia="仿宋" w:cs="Times New Roman"/>
          <w:b w:val="0"/>
          <w:bCs w:val="0"/>
          <w:color w:val="auto"/>
          <w:kern w:val="2"/>
          <w:sz w:val="32"/>
          <w:szCs w:val="32"/>
          <w:highlight w:val="none"/>
          <w:lang w:val="en-US" w:eastAsia="zh-CN" w:bidi="ar-SA"/>
        </w:rPr>
        <w:t>助317户居民办理不动产登记。</w:t>
      </w:r>
      <w:r>
        <w:rPr>
          <w:rFonts w:hint="eastAsia" w:ascii="Times New Roman" w:hAnsi="Times New Roman" w:eastAsia="仿宋" w:cs="Times New Roman"/>
          <w:b/>
          <w:bCs/>
          <w:color w:val="auto"/>
          <w:kern w:val="2"/>
          <w:sz w:val="32"/>
          <w:szCs w:val="32"/>
          <w:highlight w:val="none"/>
          <w:lang w:val="en-US" w:eastAsia="zh-CN" w:bidi="ar-SA"/>
        </w:rPr>
        <w:t>五是编制房产监测报表</w:t>
      </w:r>
      <w:r>
        <w:rPr>
          <w:rFonts w:hint="eastAsia" w:ascii="Times New Roman" w:hAnsi="Times New Roman" w:eastAsia="仿宋" w:cs="Times New Roman"/>
          <w:b w:val="0"/>
          <w:bCs w:val="0"/>
          <w:color w:val="auto"/>
          <w:kern w:val="2"/>
          <w:sz w:val="32"/>
          <w:szCs w:val="32"/>
          <w:highlight w:val="none"/>
          <w:lang w:val="en-US" w:eastAsia="zh-CN" w:bidi="ar-SA"/>
        </w:rPr>
        <w:t>，建立“精准采集、深度分析、动态预警”监测体系，2021-2024年整合多源数据，定期编制48期分析报告，运用大数据分析技术预警市场异常波动，为政府调控提供依据。</w:t>
      </w:r>
    </w:p>
    <w:p w14:paraId="238B112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黑体" w:hAnsi="黑体" w:eastAsia="黑体" w:cs="黑体"/>
          <w:b w:val="0"/>
          <w:bCs w:val="0"/>
          <w:color w:val="auto"/>
          <w:sz w:val="32"/>
          <w:szCs w:val="32"/>
          <w:highlight w:val="none"/>
          <w:lang w:val="en-US" w:eastAsia="zh-CN"/>
        </w:rPr>
      </w:pPr>
      <w:bookmarkStart w:id="5" w:name="_Toc1610"/>
      <w:r>
        <w:rPr>
          <w:rFonts w:hint="eastAsia" w:ascii="黑体" w:hAnsi="黑体" w:eastAsia="黑体" w:cs="黑体"/>
          <w:b w:val="0"/>
          <w:bCs w:val="0"/>
          <w:color w:val="auto"/>
          <w:sz w:val="32"/>
          <w:szCs w:val="32"/>
          <w:highlight w:val="none"/>
          <w:lang w:val="en-US" w:eastAsia="zh-CN"/>
        </w:rPr>
        <w:t>五、</w:t>
      </w:r>
      <w:r>
        <w:rPr>
          <w:rFonts w:hint="default" w:ascii="黑体" w:hAnsi="黑体" w:eastAsia="黑体" w:cs="黑体"/>
          <w:b w:val="0"/>
          <w:bCs w:val="0"/>
          <w:color w:val="auto"/>
          <w:sz w:val="32"/>
          <w:szCs w:val="32"/>
          <w:highlight w:val="none"/>
          <w:lang w:val="en-US" w:eastAsia="zh-CN"/>
        </w:rPr>
        <w:t>市政运维工作提质见效</w:t>
      </w:r>
      <w:bookmarkEnd w:id="5"/>
    </w:p>
    <w:p w14:paraId="3A00339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b w:val="0"/>
          <w:bCs w:val="0"/>
          <w:color w:val="auto"/>
          <w:kern w:val="2"/>
          <w:sz w:val="32"/>
          <w:szCs w:val="32"/>
          <w:highlight w:val="none"/>
          <w:lang w:val="en-US" w:eastAsia="zh-CN" w:bidi="ar-SA"/>
        </w:rPr>
      </w:pPr>
      <w:r>
        <w:rPr>
          <w:rFonts w:hint="eastAsia" w:ascii="Times New Roman" w:hAnsi="Times New Roman" w:eastAsia="仿宋" w:cs="Times New Roman"/>
          <w:b w:val="0"/>
          <w:bCs w:val="0"/>
          <w:color w:val="auto"/>
          <w:kern w:val="2"/>
          <w:sz w:val="32"/>
          <w:szCs w:val="32"/>
          <w:highlight w:val="none"/>
          <w:lang w:val="en-US" w:eastAsia="zh-CN" w:bidi="ar-SA"/>
        </w:rPr>
        <w:t>马尔康推行精细化设施管护，切实提升各类市政基础设施的运维水平，保障城市的安全运行。</w:t>
      </w:r>
      <w:r>
        <w:rPr>
          <w:rFonts w:hint="eastAsia" w:ascii="Times New Roman" w:hAnsi="Times New Roman" w:eastAsia="仿宋" w:cs="Times New Roman"/>
          <w:b/>
          <w:bCs/>
          <w:color w:val="auto"/>
          <w:kern w:val="2"/>
          <w:sz w:val="32"/>
          <w:szCs w:val="32"/>
          <w:highlight w:val="none"/>
          <w:lang w:val="en-US" w:eastAsia="zh-CN" w:bidi="ar-SA"/>
        </w:rPr>
        <w:t>一是提升污水处理效能。</w:t>
      </w:r>
      <w:r>
        <w:rPr>
          <w:rFonts w:hint="eastAsia" w:ascii="Times New Roman" w:hAnsi="Times New Roman" w:eastAsia="仿宋" w:cs="Times New Roman"/>
          <w:b w:val="0"/>
          <w:bCs w:val="0"/>
          <w:color w:val="auto"/>
          <w:kern w:val="2"/>
          <w:sz w:val="32"/>
          <w:szCs w:val="32"/>
          <w:highlight w:val="none"/>
          <w:lang w:val="en-US" w:eastAsia="zh-CN" w:bidi="ar-SA"/>
        </w:rPr>
        <w:t>对城区主管网及支管网展开拉网式全覆盖排查，并及时处理发现的问题；加快马尔康市城市生活污水处理厂（二期）及配套管网的建设进度，解决污水处理量不足这一硬件难题。</w:t>
      </w:r>
      <w:r>
        <w:rPr>
          <w:rFonts w:hint="eastAsia" w:ascii="Times New Roman" w:hAnsi="Times New Roman" w:eastAsia="仿宋" w:cs="Times New Roman"/>
          <w:b/>
          <w:bCs/>
          <w:color w:val="auto"/>
          <w:kern w:val="2"/>
          <w:sz w:val="32"/>
          <w:szCs w:val="32"/>
          <w:highlight w:val="none"/>
          <w:lang w:val="en-US" w:eastAsia="zh-CN" w:bidi="ar-SA"/>
        </w:rPr>
        <w:t>二是保障市政运行。</w:t>
      </w:r>
      <w:r>
        <w:rPr>
          <w:rFonts w:hint="eastAsia" w:ascii="Times New Roman" w:hAnsi="Times New Roman" w:eastAsia="仿宋" w:cs="Times New Roman"/>
          <w:b w:val="0"/>
          <w:bCs w:val="0"/>
          <w:color w:val="auto"/>
          <w:kern w:val="2"/>
          <w:sz w:val="32"/>
          <w:szCs w:val="32"/>
          <w:highlight w:val="none"/>
          <w:lang w:val="en-US" w:eastAsia="zh-CN" w:bidi="ar-SA"/>
        </w:rPr>
        <w:t>通过定期巡查和及时维修，有效降低设施故障率。常态化开展道路建设与修复、路灯线路维修与路灯更换、下沉井盖修缮以及雨水和污水管网疏通等各类市政设施维护工作，确保城市功能正常运转。三</w:t>
      </w:r>
      <w:r>
        <w:rPr>
          <w:rFonts w:hint="eastAsia" w:ascii="Times New Roman" w:hAnsi="Times New Roman" w:eastAsia="仿宋" w:cs="Times New Roman"/>
          <w:b/>
          <w:bCs/>
          <w:color w:val="auto"/>
          <w:kern w:val="2"/>
          <w:sz w:val="32"/>
          <w:szCs w:val="32"/>
          <w:highlight w:val="none"/>
          <w:lang w:val="en-US" w:eastAsia="zh-CN" w:bidi="ar-SA"/>
        </w:rPr>
        <w:t>是筑牢燃气安全防线。</w:t>
      </w:r>
      <w:r>
        <w:rPr>
          <w:rFonts w:hint="eastAsia" w:ascii="Times New Roman" w:hAnsi="Times New Roman" w:eastAsia="仿宋" w:cs="Times New Roman"/>
          <w:b w:val="0"/>
          <w:bCs w:val="0"/>
          <w:color w:val="auto"/>
          <w:kern w:val="2"/>
          <w:sz w:val="32"/>
          <w:szCs w:val="32"/>
          <w:highlight w:val="none"/>
          <w:lang w:val="en-US" w:eastAsia="zh-CN" w:bidi="ar-SA"/>
        </w:rPr>
        <w:t>常态化开展燃气经营企业安全生产工作以及餐饮企业燃气使用安全巡查检查，完成“瓶改管”工作的既定任务数量。针对发现的隐患问题，督促企业认真落实整改。</w:t>
      </w:r>
      <w:r>
        <w:rPr>
          <w:rFonts w:hint="eastAsia" w:ascii="Times New Roman" w:hAnsi="Times New Roman" w:eastAsia="仿宋" w:cs="Times New Roman"/>
          <w:b/>
          <w:bCs/>
          <w:color w:val="auto"/>
          <w:kern w:val="2"/>
          <w:sz w:val="32"/>
          <w:szCs w:val="32"/>
          <w:highlight w:val="none"/>
          <w:lang w:val="en-US" w:eastAsia="zh-CN" w:bidi="ar-SA"/>
        </w:rPr>
        <w:t>四是有效防范内涝风险。</w:t>
      </w:r>
      <w:r>
        <w:rPr>
          <w:rFonts w:hint="eastAsia" w:ascii="Times New Roman" w:hAnsi="Times New Roman" w:eastAsia="仿宋" w:cs="Times New Roman"/>
          <w:b w:val="0"/>
          <w:bCs w:val="0"/>
          <w:color w:val="auto"/>
          <w:kern w:val="2"/>
          <w:sz w:val="32"/>
          <w:szCs w:val="32"/>
          <w:highlight w:val="none"/>
          <w:lang w:val="en-US" w:eastAsia="zh-CN" w:bidi="ar-SA"/>
        </w:rPr>
        <w:t>加大对重点关注易涝点的跟踪处置力度，时刻确保易涝点位管网畅通。强化窨井盖巡查管理工作，日常排查窨井盖并针对问题进行整改。</w:t>
      </w:r>
      <w:r>
        <w:rPr>
          <w:rFonts w:hint="eastAsia" w:ascii="Times New Roman" w:hAnsi="Times New Roman" w:eastAsia="仿宋" w:cs="Times New Roman"/>
          <w:b/>
          <w:bCs/>
          <w:color w:val="auto"/>
          <w:kern w:val="2"/>
          <w:sz w:val="32"/>
          <w:szCs w:val="32"/>
          <w:highlight w:val="none"/>
          <w:lang w:val="en-US" w:eastAsia="zh-CN" w:bidi="ar-SA"/>
        </w:rPr>
        <w:t>五是规范店招审查。</w:t>
      </w:r>
      <w:r>
        <w:rPr>
          <w:rFonts w:hint="default" w:ascii="Times New Roman" w:hAnsi="Times New Roman" w:eastAsia="仿宋" w:cs="Times New Roman"/>
          <w:b w:val="0"/>
          <w:bCs w:val="0"/>
          <w:color w:val="auto"/>
          <w:kern w:val="2"/>
          <w:sz w:val="32"/>
          <w:szCs w:val="32"/>
          <w:highlight w:val="none"/>
          <w:lang w:val="en-US" w:eastAsia="zh-CN" w:bidi="ar-SA"/>
        </w:rPr>
        <w:t>对市区内户外广告、标语标牌、店招店牌</w:t>
      </w:r>
      <w:r>
        <w:rPr>
          <w:rFonts w:hint="eastAsia" w:ascii="Times New Roman" w:hAnsi="Times New Roman" w:eastAsia="仿宋" w:cs="Times New Roman"/>
          <w:b w:val="0"/>
          <w:bCs w:val="0"/>
          <w:color w:val="auto"/>
          <w:kern w:val="2"/>
          <w:sz w:val="32"/>
          <w:szCs w:val="32"/>
          <w:highlight w:val="none"/>
          <w:lang w:val="en-US" w:eastAsia="zh-CN" w:bidi="ar-SA"/>
        </w:rPr>
        <w:t>进行</w:t>
      </w:r>
      <w:r>
        <w:rPr>
          <w:rFonts w:hint="default" w:ascii="Times New Roman" w:hAnsi="Times New Roman" w:eastAsia="仿宋" w:cs="Times New Roman"/>
          <w:b w:val="0"/>
          <w:bCs w:val="0"/>
          <w:color w:val="auto"/>
          <w:kern w:val="2"/>
          <w:sz w:val="32"/>
          <w:szCs w:val="32"/>
          <w:highlight w:val="none"/>
          <w:lang w:val="en-US" w:eastAsia="zh-CN" w:bidi="ar-SA"/>
        </w:rPr>
        <w:t>巡查</w:t>
      </w:r>
      <w:r>
        <w:rPr>
          <w:rFonts w:hint="eastAsia" w:ascii="Times New Roman" w:hAnsi="Times New Roman" w:eastAsia="仿宋" w:cs="Times New Roman"/>
          <w:b w:val="0"/>
          <w:bCs w:val="0"/>
          <w:color w:val="auto"/>
          <w:kern w:val="2"/>
          <w:sz w:val="32"/>
          <w:szCs w:val="32"/>
          <w:highlight w:val="none"/>
          <w:lang w:val="en-US" w:eastAsia="zh-CN" w:bidi="ar-SA"/>
        </w:rPr>
        <w:t>，</w:t>
      </w:r>
      <w:r>
        <w:rPr>
          <w:rFonts w:hint="default" w:ascii="Times New Roman" w:hAnsi="Times New Roman" w:eastAsia="仿宋" w:cs="Times New Roman"/>
          <w:b w:val="0"/>
          <w:bCs w:val="0"/>
          <w:color w:val="auto"/>
          <w:kern w:val="2"/>
          <w:sz w:val="32"/>
          <w:szCs w:val="32"/>
          <w:highlight w:val="none"/>
          <w:lang w:val="en-US" w:eastAsia="zh-CN" w:bidi="ar-SA"/>
        </w:rPr>
        <w:t>向商家和市民广泛宣传招牌设施管理和户外广告的相关规定。</w:t>
      </w:r>
      <w:r>
        <w:rPr>
          <w:rFonts w:hint="eastAsia" w:ascii="Times New Roman" w:hAnsi="Times New Roman" w:eastAsia="仿宋" w:cs="Times New Roman"/>
          <w:b w:val="0"/>
          <w:bCs w:val="0"/>
          <w:color w:val="auto"/>
          <w:kern w:val="2"/>
          <w:sz w:val="32"/>
          <w:szCs w:val="32"/>
          <w:highlight w:val="none"/>
          <w:lang w:val="en-US" w:eastAsia="zh-CN" w:bidi="ar-SA"/>
        </w:rPr>
        <w:t xml:space="preserve"> </w:t>
      </w:r>
    </w:p>
    <w:p w14:paraId="22E01C9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highlight w:val="none"/>
          <w:lang w:val="en-US" w:eastAsia="zh-CN"/>
        </w:rPr>
      </w:pPr>
      <w:bookmarkStart w:id="6" w:name="_Toc28945"/>
      <w:r>
        <w:rPr>
          <w:rFonts w:hint="eastAsia" w:ascii="黑体" w:hAnsi="黑体" w:eastAsia="黑体" w:cs="黑体"/>
          <w:b w:val="0"/>
          <w:bCs w:val="0"/>
          <w:color w:val="auto"/>
          <w:sz w:val="32"/>
          <w:szCs w:val="32"/>
          <w:highlight w:val="none"/>
          <w:lang w:val="en-US" w:eastAsia="zh-CN"/>
        </w:rPr>
        <w:t>六、城乡环境工作治理有效</w:t>
      </w:r>
      <w:bookmarkEnd w:id="6"/>
    </w:p>
    <w:p w14:paraId="36159CFF">
      <w:pPr>
        <w:pStyle w:val="2"/>
        <w:keepNext w:val="0"/>
        <w:keepLines w:val="0"/>
        <w:pageBreakBefore w:val="0"/>
        <w:widowControl w:val="0"/>
        <w:shd w:val="clear"/>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十四五”期间，马尔康市紧密围绕住建领域城乡环境治理核心目标，聚焦城市管理重点难点问题，深入开展“攻坚乱象重整治”行动，推动城市环境品质实现跨越式提升，市民满意度与幸福感持续增强，相关工作成效深度契合全国城乡环境治理整体部署。</w:t>
      </w:r>
    </w:p>
    <w:p w14:paraId="2B32EDAE">
      <w:pPr>
        <w:pStyle w:val="2"/>
        <w:keepNext w:val="0"/>
        <w:keepLines w:val="0"/>
        <w:pageBreakBefore w:val="0"/>
        <w:widowControl w:val="0"/>
        <w:shd w:val="clea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eastAsia" w:ascii="Times New Roman" w:hAnsi="Times New Roman" w:eastAsia="仿宋" w:cs="Times New Roman"/>
          <w:b/>
          <w:bCs/>
          <w:color w:val="auto"/>
          <w:kern w:val="2"/>
          <w:sz w:val="32"/>
          <w:szCs w:val="32"/>
          <w:highlight w:val="none"/>
          <w:lang w:val="en-US" w:eastAsia="zh-CN" w:bidi="ar-SA"/>
        </w:rPr>
        <w:t>一是精准治理生活垃圾。</w:t>
      </w:r>
      <w:r>
        <w:rPr>
          <w:rFonts w:hint="eastAsia" w:ascii="Times New Roman" w:hAnsi="Times New Roman" w:eastAsia="仿宋" w:cs="Times New Roman"/>
          <w:b w:val="0"/>
          <w:bCs w:val="0"/>
          <w:color w:val="auto"/>
          <w:kern w:val="2"/>
          <w:sz w:val="32"/>
          <w:szCs w:val="32"/>
          <w:highlight w:val="none"/>
          <w:lang w:val="en-US" w:eastAsia="zh-CN" w:bidi="ar-SA"/>
        </w:rPr>
        <w:t>针对城乡卫生死角垃圾、河道漂浮物等环境痛点，构建“巡查排查+整改清理”闭环机制，引入数字化监控设备，通过实时追踪、影像留存锁定垃圾乱倒等行为证据，支撑执法处置，减少垃圾污染对城乡生态环境的影响，助力“十四五”住建领域生活垃圾无害化、减量化治理目标落地。实现生活垃圾年无害化处理率达95.4%，完成填埋场地下水监测。</w:t>
      </w:r>
      <w:r>
        <w:rPr>
          <w:rFonts w:hint="default" w:ascii="Times New Roman" w:hAnsi="Times New Roman" w:eastAsia="仿宋" w:cs="Times New Roman"/>
          <w:b/>
          <w:bCs/>
          <w:color w:val="auto"/>
          <w:kern w:val="2"/>
          <w:sz w:val="32"/>
          <w:szCs w:val="32"/>
          <w:highlight w:val="none"/>
          <w:lang w:val="en-US" w:eastAsia="zh-CN" w:bidi="ar-SA"/>
        </w:rPr>
        <w:t>二是</w:t>
      </w:r>
      <w:r>
        <w:rPr>
          <w:rFonts w:hint="eastAsia" w:ascii="Times New Roman" w:hAnsi="Times New Roman" w:eastAsia="仿宋" w:cs="Times New Roman"/>
          <w:b/>
          <w:bCs/>
          <w:color w:val="auto"/>
          <w:kern w:val="2"/>
          <w:sz w:val="32"/>
          <w:szCs w:val="32"/>
          <w:highlight w:val="none"/>
          <w:lang w:val="en-US" w:eastAsia="zh-CN" w:bidi="ar-SA"/>
        </w:rPr>
        <w:t>城乡风貌</w:t>
      </w:r>
      <w:r>
        <w:rPr>
          <w:rFonts w:hint="default" w:ascii="Times New Roman" w:hAnsi="Times New Roman" w:eastAsia="仿宋" w:cs="Times New Roman"/>
          <w:b/>
          <w:bCs/>
          <w:color w:val="auto"/>
          <w:kern w:val="2"/>
          <w:sz w:val="32"/>
          <w:szCs w:val="32"/>
          <w:highlight w:val="none"/>
          <w:lang w:val="en-US" w:eastAsia="zh-CN" w:bidi="ar-SA"/>
        </w:rPr>
        <w:t>焕新提升</w:t>
      </w:r>
      <w:r>
        <w:rPr>
          <w:rFonts w:hint="eastAsia" w:ascii="Times New Roman" w:hAnsi="Times New Roman" w:eastAsia="仿宋" w:cs="Times New Roman"/>
          <w:b/>
          <w:bCs/>
          <w:color w:val="auto"/>
          <w:kern w:val="2"/>
          <w:sz w:val="32"/>
          <w:szCs w:val="32"/>
          <w:highlight w:val="none"/>
          <w:lang w:val="en-US" w:eastAsia="zh-CN" w:bidi="ar-SA"/>
        </w:rPr>
        <w:t>。</w:t>
      </w:r>
      <w:r>
        <w:rPr>
          <w:rFonts w:hint="default" w:ascii="Times New Roman" w:hAnsi="Times New Roman" w:eastAsia="仿宋" w:cs="Times New Roman"/>
          <w:b w:val="0"/>
          <w:bCs w:val="0"/>
          <w:color w:val="auto"/>
          <w:kern w:val="2"/>
          <w:sz w:val="32"/>
          <w:szCs w:val="32"/>
          <w:highlight w:val="none"/>
          <w:lang w:val="en-US" w:eastAsia="zh-CN" w:bidi="ar-SA"/>
        </w:rPr>
        <w:t>针对占道经营、违规店招设置、乱贴乱画小广告等市容顽疾，创新采用“网格化精细管理+柔性化文明执法”相结合的整治模式。通过科学划定市容管理严管街与便民疏导区，明确流动摊贩经营边界，既规范占道经营行为、维护城市公共空间秩序，又保障民生需求；同时集中清理违规店招、铲除乱贴广告，推动城市沿街风貌统一规整，为“十四五”期间住建领域城市市容环境品质提升工作提供了“马尔康实践”。</w:t>
      </w:r>
    </w:p>
    <w:p w14:paraId="109A70C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highlight w:val="none"/>
          <w:lang w:val="en-US" w:eastAsia="zh-CN"/>
        </w:rPr>
      </w:pPr>
      <w:bookmarkStart w:id="7" w:name="_Toc26633"/>
      <w:r>
        <w:rPr>
          <w:rFonts w:hint="eastAsia" w:ascii="黑体" w:hAnsi="黑体" w:eastAsia="黑体" w:cs="黑体"/>
          <w:b w:val="0"/>
          <w:bCs w:val="0"/>
          <w:color w:val="auto"/>
          <w:sz w:val="32"/>
          <w:szCs w:val="32"/>
          <w:highlight w:val="none"/>
          <w:lang w:val="en-US" w:eastAsia="zh-CN"/>
        </w:rPr>
        <w:t>七、存在的问题</w:t>
      </w:r>
      <w:bookmarkEnd w:id="7"/>
    </w:p>
    <w:p w14:paraId="230668C7">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val="0"/>
          <w:color w:val="auto"/>
          <w:kern w:val="2"/>
          <w:sz w:val="32"/>
          <w:szCs w:val="32"/>
          <w:lang w:val="en-US" w:eastAsia="zh-CN" w:bidi="ar-SA"/>
        </w:rPr>
      </w:pPr>
      <w:r>
        <w:rPr>
          <w:rFonts w:hint="eastAsia" w:ascii="楷体" w:hAnsi="楷体" w:eastAsia="楷体" w:cs="楷体"/>
          <w:b/>
          <w:bCs w:val="0"/>
          <w:color w:val="auto"/>
          <w:kern w:val="2"/>
          <w:sz w:val="32"/>
          <w:szCs w:val="32"/>
          <w:lang w:val="en-US" w:eastAsia="zh-CN" w:bidi="ar-SA"/>
        </w:rPr>
        <w:t>（一）城市更新推进受阻，配套与住房保障体系不完善，治理质效偏低</w:t>
      </w:r>
    </w:p>
    <w:p w14:paraId="4BCAC199">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auto"/>
          <w:kern w:val="2"/>
          <w:sz w:val="32"/>
          <w:szCs w:val="32"/>
          <w:lang w:val="en-US" w:eastAsia="zh-CN" w:bidi="ar-SA"/>
        </w:rPr>
      </w:pPr>
      <w:r>
        <w:rPr>
          <w:rFonts w:hint="eastAsia" w:ascii="仿宋" w:hAnsi="仿宋" w:eastAsia="仿宋" w:cs="仿宋"/>
          <w:bCs/>
          <w:color w:val="auto"/>
          <w:kern w:val="2"/>
          <w:sz w:val="32"/>
          <w:szCs w:val="32"/>
          <w:lang w:val="en-US" w:eastAsia="zh-CN" w:bidi="ar-SA"/>
        </w:rPr>
        <w:t>受马尔康市山地狭长、城市拓展空间受限的特殊地理条件制约，全市城市更新攻坚难度大、落地周期长，普遍存在建设改造落地难、全域协调事务繁杂、项目资金需求量大等问题，整体推进速度缓慢，群众沟通安抚、需求摸排等基础工作需持续夯实。同时住建领域项目策划专业性不足，在更新方案编制审查、项目谋划包装、专项资金申报等方面能力薄弱，大量老旧小区、城中村、背街小巷、老旧街区仅能依托分批改造项目补齐短板，整体更新碎片化、不成体系。硬件配套方面，城区道路、桥梁、供排水、燃气、照明、无障碍等市政基础设施存量老旧、欠账较多，大量管网、道路、护栏、人行设施长期老化失修，检查井侵占盲道、无障碍设施缺失不规范等问题普遍，需持续开展专项改造提升。住房保障层面，保障性租赁住房、还建房供给规模有限，老旧廉租房、居民住宅适老化、安全性改造不足，老旧小区改造后缺少标准化长效管护机制，公共设施破损、运维缺位问题频发。治理层面，城市更新偏重硬件改造，市场化、法治化物业治理机制不完善，纠纷处置过度依赖行政手段；公众参与机制不健全，居民难以深度参与项目决策与监督，部分更新项目与群众居住、通行、便民的实际需求脱节，整体城市精细化治理效能不足。</w:t>
      </w:r>
    </w:p>
    <w:p w14:paraId="4033C5D9">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val="0"/>
          <w:color w:val="auto"/>
          <w:kern w:val="2"/>
          <w:sz w:val="32"/>
          <w:szCs w:val="32"/>
          <w:lang w:val="en-US" w:eastAsia="zh-CN" w:bidi="ar-SA"/>
        </w:rPr>
      </w:pPr>
      <w:r>
        <w:rPr>
          <w:rFonts w:hint="eastAsia" w:ascii="楷体" w:hAnsi="楷体" w:eastAsia="楷体" w:cs="楷体"/>
          <w:b/>
          <w:bCs w:val="0"/>
          <w:color w:val="auto"/>
          <w:kern w:val="2"/>
          <w:sz w:val="32"/>
          <w:szCs w:val="32"/>
          <w:lang w:val="en-US" w:eastAsia="zh-CN" w:bidi="ar-SA"/>
        </w:rPr>
        <w:t>（二）城市安全韧性较为薄弱，新型基建与数字化赋能水平不足</w:t>
      </w:r>
    </w:p>
    <w:p w14:paraId="5F95ED13">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auto"/>
          <w:kern w:val="2"/>
          <w:sz w:val="32"/>
          <w:szCs w:val="32"/>
          <w:lang w:val="en-US" w:eastAsia="zh-CN" w:bidi="ar-SA"/>
        </w:rPr>
      </w:pPr>
      <w:r>
        <w:rPr>
          <w:rFonts w:hint="eastAsia" w:ascii="仿宋" w:hAnsi="仿宋" w:eastAsia="仿宋" w:cs="仿宋"/>
          <w:bCs/>
          <w:color w:val="auto"/>
          <w:kern w:val="2"/>
          <w:sz w:val="32"/>
          <w:szCs w:val="32"/>
          <w:lang w:val="en-US" w:eastAsia="zh-CN" w:bidi="ar-SA"/>
        </w:rPr>
        <w:t>全市韧性城市建设短板突出，安全治理长效机制缺失，自建房、危旧房屋仅落实阶段性排查管控，未建立常态化巡查、动态监管、隐患整改闭环机制。城市防洪排涝、抗震减灾、边坡防护等安全韧性设施投入不足，主城区雨水、污水管网老旧破损、管径适配性不足，雨污分流不彻底，易涝积水点位多，汛期内涝、管网渗漏风险较高，需大规模改造地下管网、增设雨水收集设施。同时城市生命线设施稳定性不足，供水、燃气、市政桥梁、河堤挡墙等设施老化，乡镇供水设施短缺、加压设备老旧，城乡供水保障、防汛防洪、市政防护能力薄弱。新型基建与数字化建设不均衡、落地缓慢，海绵城市、智慧城市、城市微管廊建设处于起步阶段，智慧管网、物联网感知、智能监控、智慧环卫等数字化设备仅零散配套于个别改造项目，未实现城区全域覆盖。新城区智慧化建设落地滞后，老城区受空间、资金制约，难以规模化布局新型基础设施，且各类住建信息平台数据割裂、协同性差，大数据、人工智能等新技术应用浅显，无法形成一体化数字化管控体系，城市安全保障与智慧运行整体效能偏低。此外，城区消防、应急避难、集中供氧等民生安全配套设施覆盖面不足，城市综合防灾减灾与应急保障能力有待提升。</w:t>
      </w:r>
    </w:p>
    <w:p w14:paraId="4899930A">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val="0"/>
          <w:color w:val="auto"/>
          <w:kern w:val="2"/>
          <w:sz w:val="32"/>
          <w:szCs w:val="32"/>
          <w:lang w:val="en-US" w:eastAsia="zh-CN" w:bidi="ar-SA"/>
        </w:rPr>
      </w:pPr>
      <w:r>
        <w:rPr>
          <w:rFonts w:hint="eastAsia" w:ascii="楷体" w:hAnsi="楷体" w:eastAsia="楷体" w:cs="楷体"/>
          <w:b/>
          <w:bCs w:val="0"/>
          <w:color w:val="auto"/>
          <w:kern w:val="2"/>
          <w:sz w:val="32"/>
          <w:szCs w:val="32"/>
          <w:lang w:val="en-US" w:eastAsia="zh-CN" w:bidi="ar-SA"/>
        </w:rPr>
        <w:t>（三）本地建筑业发展滞后，绿色建筑发展薄弱</w:t>
      </w:r>
    </w:p>
    <w:p w14:paraId="15F980F7">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auto"/>
          <w:kern w:val="2"/>
          <w:sz w:val="32"/>
          <w:szCs w:val="32"/>
          <w:lang w:val="en-US" w:eastAsia="zh-CN" w:bidi="ar-SA"/>
        </w:rPr>
      </w:pPr>
      <w:r>
        <w:rPr>
          <w:rFonts w:hint="eastAsia" w:ascii="仿宋" w:hAnsi="仿宋" w:eastAsia="仿宋" w:cs="仿宋"/>
          <w:bCs/>
          <w:color w:val="auto"/>
          <w:kern w:val="2"/>
          <w:sz w:val="32"/>
          <w:szCs w:val="32"/>
          <w:lang w:val="en-US" w:eastAsia="zh-CN" w:bidi="ar-SA"/>
        </w:rPr>
        <w:t>马尔康市建筑产业体量偏小、综合实力薄弱，产业规模增长乏力，本土建筑企业普遍体量微小、核心竞争力不足，无特级资质龙头企业，缺少具备市场影响力的领军主体，难以支撑城市大规模更新改造、市政基建升级、生态修复等重点项目建设。本地建筑业转型升级缓慢，绿色施工、装配式建筑、节能建筑等新技术、新工艺推广不足，适配高原城市的绿色建筑标准落地不到位，行业标准化、规范化、绿色化发展滞后，无法匹配马尔康城市更新、韧性建设、人居环境提质的高质量发展需求。城市绿色低碳建设体系不完善，绿色建筑推广力度不足，老旧建筑外墙保温层老化破损、节能性差，城区建筑节能改造、低碳更新覆盖面有限。</w:t>
      </w:r>
    </w:p>
    <w:p w14:paraId="0823F4A0">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19" w:firstLineChars="200"/>
        <w:textAlignment w:val="auto"/>
        <w:rPr>
          <w:rFonts w:hint="eastAsia" w:ascii="楷体" w:hAnsi="楷体" w:eastAsia="楷体" w:cs="楷体"/>
          <w:b/>
          <w:bCs w:val="0"/>
          <w:color w:val="auto"/>
          <w:spacing w:val="-6"/>
          <w:kern w:val="2"/>
          <w:sz w:val="32"/>
          <w:szCs w:val="32"/>
          <w:lang w:val="en-US" w:eastAsia="zh-CN" w:bidi="ar-SA"/>
        </w:rPr>
      </w:pPr>
      <w:r>
        <w:rPr>
          <w:rFonts w:hint="eastAsia" w:ascii="楷体" w:hAnsi="楷体" w:eastAsia="楷体" w:cs="楷体"/>
          <w:b/>
          <w:bCs w:val="0"/>
          <w:color w:val="auto"/>
          <w:spacing w:val="-6"/>
          <w:kern w:val="2"/>
          <w:sz w:val="32"/>
          <w:szCs w:val="32"/>
          <w:lang w:val="en-US" w:eastAsia="zh-CN" w:bidi="ar-SA"/>
        </w:rPr>
        <w:t>（四）城乡环境治理长效性缺失，历史文化保护活化不足</w:t>
      </w:r>
    </w:p>
    <w:p w14:paraId="79D577DA">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auto"/>
          <w:kern w:val="2"/>
          <w:sz w:val="32"/>
          <w:szCs w:val="32"/>
          <w:lang w:val="en-US" w:eastAsia="zh-CN" w:bidi="ar-SA"/>
        </w:rPr>
      </w:pPr>
      <w:r>
        <w:rPr>
          <w:rFonts w:hint="eastAsia" w:ascii="仿宋" w:hAnsi="仿宋" w:eastAsia="仿宋" w:cs="仿宋"/>
          <w:bCs/>
          <w:color w:val="auto"/>
          <w:kern w:val="2"/>
          <w:sz w:val="32"/>
          <w:szCs w:val="32"/>
          <w:lang w:val="en-US" w:eastAsia="zh-CN" w:bidi="ar-SA"/>
        </w:rPr>
        <w:t>城乡环境治理问题易反弹、管控碎片化，城区占道经营、店招破损、违建乱象缺乏长效管控，乡镇垃圾收运、污水处理、河堤生态修复配套不足，全域环卫设施、环境整治覆盖不均衡。城市生态空间规划缺乏系统性，绿地、滨水步道、休闲公园布局零散，呈现“散、小、碎”特征，老旧小区、城中村改造过程中，硬化路面、停车设施挤占生态绿地现象普遍，街区、滨河区域生态廊道衔接不畅，依托嶂恰岭公园、滨河步道、城市广场的生态网络尚未成型，高品质生态宜居空间供给不足。历史文化保护与活化利用短板明显，嘉绒里历史文化街区、传统村落、历史建筑仅依靠零星修缮项目提质，整体保护规划不完善，风貌管控标准不统一。历史建筑、传统民居修缮后功能升级不足，文旅融合程度浅，未能有效转化为公共文化空间与文旅资源，城市人文特色彰显不足。</w:t>
      </w:r>
    </w:p>
    <w:p w14:paraId="4FF92EF4">
      <w:pPr>
        <w:shd w:val="clea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br w:type="page"/>
      </w:r>
    </w:p>
    <w:p w14:paraId="75C04466">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8" w:name="_Toc10091"/>
      <w:r>
        <w:rPr>
          <w:rFonts w:hint="eastAsia" w:ascii="方正小标宋简体" w:hAnsi="方正小标宋简体" w:eastAsia="方正小标宋简体" w:cs="方正小标宋简体"/>
          <w:color w:val="auto"/>
          <w:sz w:val="44"/>
          <w:szCs w:val="44"/>
          <w:lang w:val="en-US" w:eastAsia="zh-CN"/>
        </w:rPr>
        <w:t>第二章 “十五五”时期形势与机遇</w:t>
      </w:r>
      <w:bookmarkEnd w:id="8"/>
    </w:p>
    <w:p w14:paraId="22702AC3">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lang w:val="en-US" w:eastAsia="zh-CN"/>
        </w:rPr>
      </w:pPr>
    </w:p>
    <w:p w14:paraId="67C9D252">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十五五”时期，是马尔康抢抓战略机遇、厚植发展优势、实现跨越提升的关键五年。当前，国家深入推进新时代西部大开发、长江经济带发展、成渝地区双城经济圈建设，持续加大对民族地区、涉藏地区政策支持力度，为马尔康高质量发展提供了坚实政策保障与广阔发展空间。省委全面实施“四化同步、城乡融合、五区共兴”战略，加快推动民族地区高质量发展，为马尔康发展指明了前进方向。州委坚定推进“强州府、建名城”部署，全力建设民族地区高质量发展阿坝典范，赋予马尔康新的战略定位与使命任务。多重国家、省级、州级战略机遇叠加汇聚，政策红利集中释放，发展动能加速集聚，为马尔康住房城乡建设事业提质升级、开创高质量发展新局面创造了前所未有的有利条件。</w:t>
      </w:r>
    </w:p>
    <w:p w14:paraId="0C29F77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9" w:name="_Toc24024"/>
      <w:r>
        <w:rPr>
          <w:rFonts w:hint="eastAsia" w:ascii="黑体" w:hAnsi="黑体" w:eastAsia="黑体" w:cs="黑体"/>
          <w:b w:val="0"/>
          <w:bCs w:val="0"/>
          <w:color w:val="auto"/>
          <w:sz w:val="32"/>
          <w:szCs w:val="32"/>
          <w:lang w:val="en-US" w:eastAsia="zh-CN"/>
        </w:rPr>
        <w:t>一、国家层面</w:t>
      </w:r>
      <w:bookmarkEnd w:id="9"/>
    </w:p>
    <w:p w14:paraId="548878F9">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1.城市更新与治理：法治化、精细化的系统推进</w:t>
      </w:r>
    </w:p>
    <w:p w14:paraId="61709D55">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中央城市工作会议确立的“两个转向”，即从增量建设为主转向存量提质改造和增量结构调整并重，从规模扩张为主转向质量效益优先，要求以城市体检为前置条件，聚焦老旧小区改造、地下管网更新、黑臭水体治理等民生工程。同时，国家层面正加快城市更新、住房保障等领域立法，推动建立“先体检、后更新”的一体化机制，为地方实践提供法治保障。</w:t>
      </w:r>
    </w:p>
    <w:p w14:paraId="156E5BF9">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2.房地产市场改革：从“稳需求”到“建模式”的深度转型</w:t>
      </w:r>
    </w:p>
    <w:p w14:paraId="29880785">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2025年作为“十四五”收官与“十五五”规划</w:t>
      </w:r>
      <w:bookmarkStart w:id="69" w:name="_GoBack"/>
      <w:bookmarkEnd w:id="69"/>
      <w:r>
        <w:rPr>
          <w:rFonts w:hint="eastAsia" w:ascii="仿宋" w:hAnsi="仿宋" w:eastAsia="仿宋" w:cs="仿宋"/>
          <w:color w:val="auto"/>
          <w:sz w:val="32"/>
          <w:szCs w:val="32"/>
          <w:lang w:val="en-US" w:eastAsia="zh-CN"/>
        </w:rPr>
        <w:t>的关键节点，国家明确将“推动房地产市场止跌回稳”与“构建发展新模式”并重。一方面，通过“四个取消、四个降低、两个增加”政策组合释放刚性与改善性需求，扩大城中村改造规模并推进货币化安置；另一方面，加快建立“以人定房、以房定地、以房定钱”的要素联动机制，推行现房销售制度，完善房屋全生命周期安全管理。这一“供需两端发力、制度底层重构”的导向，为县域房地产市场风险化解与可持续发展提供了根本遵循。</w:t>
      </w:r>
    </w:p>
    <w:p w14:paraId="21746416">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3.产业升级与绿色转型：“中国建造”与绿色建筑的双重赋能</w:t>
      </w:r>
    </w:p>
    <w:p w14:paraId="2AD0D8D1">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国家提出打造“中国建造”升级版，推动智能建造、绿色建造、装配式建筑规模化发展，明确2025年实现新建建筑全面执行绿色建筑标准的目标，并开展建筑光伏高质量发展试点。这一产业导向既为建筑业转型提供了路径，也为县域降低建筑能耗、培育绿色经济增长点指明了方向。</w:t>
      </w:r>
    </w:p>
    <w:p w14:paraId="09264B5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0" w:name="_Toc30854"/>
      <w:r>
        <w:rPr>
          <w:rFonts w:hint="eastAsia" w:ascii="黑体" w:hAnsi="黑体" w:eastAsia="黑体" w:cs="黑体"/>
          <w:b w:val="0"/>
          <w:bCs w:val="0"/>
          <w:color w:val="auto"/>
          <w:sz w:val="32"/>
          <w:szCs w:val="32"/>
          <w:lang w:val="en-US" w:eastAsia="zh-CN"/>
        </w:rPr>
        <w:t>二、四川省层面</w:t>
      </w:r>
      <w:bookmarkEnd w:id="10"/>
    </w:p>
    <w:p w14:paraId="1D992142">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1.城市品质提升：承接“四好建设”与安全底线筑牢</w:t>
      </w:r>
    </w:p>
    <w:p w14:paraId="185432D4">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四川省积极落实国家城市更新要求，将“好房子、好小区、好社区、好城区”建设作为核心抓手，同步强化燃气安全、自建房整治等安全底线管理。</w:t>
      </w:r>
    </w:p>
    <w:p w14:paraId="7683BD6C">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2.文旅融合提质：承接文旅强省建设与资源活化利用</w:t>
      </w:r>
    </w:p>
    <w:p w14:paraId="2575F4C7">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川省深入落实国家文旅深度融合发展战略，紧扣《四川省建设世界重要旅游目的地规划》及省委文旅专项部署，坚持“文化为魂、旅游为体、科技赋能、保护优先”原则，以活化历史文化资源、盘活城乡文旅资源为核心抓手，持续推进传统村落、历史街区、历史建筑保护修缮与功能升级，推动城乡风貌提质、生态景观改造，全面赋能文旅产业高质量发展。</w:t>
      </w:r>
    </w:p>
    <w:p w14:paraId="7C278F94">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3.住房保障与风险防控：聚焦“安居”与“稳市”双重目标</w:t>
      </w:r>
    </w:p>
    <w:p w14:paraId="37185C9F">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川省延续国家“保交楼、稳民生”部署，将保障性住房供给与房地产风险处置列为重点。“十五五”期间，省级层面预计将进一步细化配售型保障房建设标准，支持县域因地制宜解决新市民、农民工等群体的安居问题。</w:t>
      </w:r>
    </w:p>
    <w:p w14:paraId="6814C4C7">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4.县域城镇化：以县城为载体的功能升级</w:t>
      </w:r>
    </w:p>
    <w:p w14:paraId="68170699">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auto"/>
          <w:kern w:val="2"/>
          <w:sz w:val="32"/>
          <w:szCs w:val="32"/>
          <w:lang w:val="en-US" w:eastAsia="zh-CN" w:bidi="ar-SA"/>
        </w:rPr>
      </w:pPr>
      <w:r>
        <w:rPr>
          <w:rFonts w:hint="eastAsia" w:ascii="仿宋" w:hAnsi="仿宋" w:eastAsia="仿宋" w:cs="仿宋"/>
          <w:color w:val="auto"/>
          <w:sz w:val="32"/>
          <w:szCs w:val="32"/>
          <w:lang w:val="en-US" w:eastAsia="zh-CN"/>
        </w:rPr>
        <w:t>国家提出加快推进以县城为重要载体的新型城镇化后，四川省正逐步完善县域建设支持政策，重点推进县城基础设施补短板、公共服务配套升级。</w:t>
      </w:r>
    </w:p>
    <w:p w14:paraId="4D7DE56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1" w:name="_Toc23434"/>
      <w:r>
        <w:rPr>
          <w:rFonts w:hint="eastAsia" w:ascii="黑体" w:hAnsi="黑体" w:eastAsia="黑体" w:cs="黑体"/>
          <w:b w:val="0"/>
          <w:bCs w:val="0"/>
          <w:color w:val="auto"/>
          <w:sz w:val="32"/>
          <w:szCs w:val="32"/>
          <w:lang w:val="en-US" w:eastAsia="zh-CN"/>
        </w:rPr>
        <w:t>三、阿坝州层面</w:t>
      </w:r>
      <w:bookmarkEnd w:id="11"/>
    </w:p>
    <w:p w14:paraId="452C681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强州府战略赋予重任</w:t>
      </w:r>
    </w:p>
    <w:p w14:paraId="11FEB0B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马尔康市定位为阿坝州域主中心，聚焦“六地六城”发展目标，打造生态型现代化区域中心城市与高原特色名城，发挥全州首位辐射带动作用。要求持续深化城市更新行动，补齐供排水、燃气、路网、防灾等市政基础设施短板，提升城市安全韧性与宜居品质。推进智慧住建建设，完善城市数字化治理体系。深挖本土民族文化资源，推动历史文化保护与文旅深度融合。依托区位与资源优势，做强清洁能源、文旅产业，同时推进绿色建筑、城乡环境提质和保障性住房建设，落实精城优镇建设任务。</w:t>
      </w:r>
    </w:p>
    <w:p w14:paraId="3A04D78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产业扶持助力企业成长</w:t>
      </w:r>
    </w:p>
    <w:p w14:paraId="10EC0C2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州级鼓励建筑企业做大做强，推动建筑业转型升级，出台相关扶持政策。借助州级政策，加强对本地建筑企业的培育与服务，组织企业参加州内行业交流活动，促进企业间合作，引导企业拓展业务领域，提升在州内建筑市场的份额，打造一批州级建筑龙头企业。同时，在市政运维方面，利用州级资金与技术支持，对市政基础设施进行系统性升级改造，完善城市排水系统、提升污水处理能力等，打造州内领先的市政运维样板，辐射带动周边地区市政设施建设与运维水平提升。</w:t>
      </w:r>
    </w:p>
    <w:p w14:paraId="2B9F6FB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协同发展提升综合实力</w:t>
      </w:r>
    </w:p>
    <w:p w14:paraId="1C86D41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加强对工程质量安全监督工作的统筹协调与指导，以及对房地产市场调控政策的制定与规范房屋交易行为。在州级监督体系下，完善本地质量安全监督机制，加强与州级主管部门信息共享与联动执法，开展质量安全专项整治行动，提高工程质量安全水平，为全州质量安全监督工作树立标杆；依据州级政策，结合本地实际，细化房屋交易管理措施，加强对房地产中介机构的监管，建立健全房屋交易纠纷调解机制，维护州府所在地房地产市场稳定与秩序，进而提升马尔康市在全州的综合实力与影响力。</w:t>
      </w:r>
    </w:p>
    <w:p w14:paraId="65E87E4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color w:val="auto"/>
          <w:sz w:val="32"/>
          <w:szCs w:val="32"/>
          <w:lang w:val="en-US" w:eastAsia="zh-CN"/>
        </w:rPr>
      </w:pPr>
    </w:p>
    <w:p w14:paraId="1EEE440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rPr>
      </w:pPr>
      <w:bookmarkStart w:id="12" w:name="_Toc4743"/>
      <w:r>
        <w:rPr>
          <w:rFonts w:hint="eastAsia" w:ascii="方正小标宋简体" w:hAnsi="方正小标宋简体" w:eastAsia="方正小标宋简体" w:cs="方正小标宋简体"/>
          <w:color w:val="auto"/>
          <w:sz w:val="44"/>
          <w:szCs w:val="44"/>
          <w:lang w:val="en-US" w:eastAsia="zh-CN"/>
        </w:rPr>
        <w:t xml:space="preserve">第三章 </w:t>
      </w:r>
      <w:r>
        <w:rPr>
          <w:rFonts w:hint="eastAsia" w:ascii="方正小标宋简体" w:hAnsi="方正小标宋简体" w:eastAsia="方正小标宋简体" w:cs="方正小标宋简体"/>
          <w:color w:val="auto"/>
          <w:sz w:val="44"/>
          <w:szCs w:val="44"/>
        </w:rPr>
        <w:t>指导思想与发展目标</w:t>
      </w:r>
      <w:bookmarkEnd w:id="12"/>
    </w:p>
    <w:p w14:paraId="3D344C48">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rPr>
      </w:pPr>
    </w:p>
    <w:p w14:paraId="13E431D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3" w:name="_Toc8673"/>
      <w:r>
        <w:rPr>
          <w:rFonts w:hint="eastAsia" w:ascii="黑体" w:hAnsi="黑体" w:eastAsia="黑体" w:cs="黑体"/>
          <w:b w:val="0"/>
          <w:bCs w:val="0"/>
          <w:color w:val="auto"/>
          <w:sz w:val="32"/>
          <w:szCs w:val="32"/>
          <w:lang w:val="en-US" w:eastAsia="zh-CN"/>
        </w:rPr>
        <w:t>一、指导思想</w:t>
      </w:r>
      <w:bookmarkEnd w:id="13"/>
    </w:p>
    <w:p w14:paraId="426AE06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坚持以习近平新时代中国特色社会主义思想为指导，深入贯彻党的二十大和二十届二中、三中全会精神，全面贯彻习近平总书记关于城市工作的重要论述，紧密围绕国家重大战略部署，深入实施州委“1610”和市委“16611”系统部署，立足马尔康市情，秉持以人民为中心的发展理念，将满足人民群众对美好居住环境的向往作为出发点和落脚点。深度融合新型城镇化、乡村振兴、绿色发展等战略，着力提升城乡建设品质，优化住房保障体系，推动建筑产业转型升级，加强历史文化保护与传承，强化城市精细化管理，促进城乡融合发展，为将马尔康市打造成为生态宜居、特色鲜明、充满活力的</w:t>
      </w:r>
      <w:r>
        <w:rPr>
          <w:rFonts w:hint="default" w:ascii="仿宋" w:hAnsi="仿宋" w:eastAsia="仿宋" w:cs="仿宋"/>
          <w:color w:val="auto"/>
          <w:sz w:val="32"/>
          <w:szCs w:val="32"/>
          <w:lang w:val="en-US" w:eastAsia="zh-CN"/>
        </w:rPr>
        <w:t>高原名城</w:t>
      </w:r>
      <w:r>
        <w:rPr>
          <w:rFonts w:hint="eastAsia" w:ascii="仿宋" w:hAnsi="仿宋" w:eastAsia="仿宋" w:cs="仿宋"/>
          <w:color w:val="auto"/>
          <w:sz w:val="32"/>
          <w:szCs w:val="32"/>
          <w:lang w:val="en-US" w:eastAsia="zh-CN"/>
        </w:rPr>
        <w:t>，全面开启住房城乡建设高质量发展新征程。</w:t>
      </w:r>
    </w:p>
    <w:p w14:paraId="0D9C39A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4" w:name="_Toc6546"/>
      <w:r>
        <w:rPr>
          <w:rFonts w:hint="eastAsia" w:ascii="黑体" w:hAnsi="黑体" w:eastAsia="黑体" w:cs="黑体"/>
          <w:b w:val="0"/>
          <w:bCs w:val="0"/>
          <w:color w:val="auto"/>
          <w:sz w:val="32"/>
          <w:szCs w:val="32"/>
          <w:lang w:val="en-US" w:eastAsia="zh-CN"/>
        </w:rPr>
        <w:t>二、规划原则</w:t>
      </w:r>
      <w:bookmarkEnd w:id="14"/>
    </w:p>
    <w:p w14:paraId="76DABC9D">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民生为本，精准施策。</w:t>
      </w:r>
      <w:r>
        <w:rPr>
          <w:rFonts w:hint="eastAsia" w:ascii="仿宋" w:hAnsi="仿宋" w:eastAsia="仿宋" w:cs="仿宋"/>
          <w:color w:val="auto"/>
          <w:sz w:val="32"/>
          <w:szCs w:val="32"/>
          <w:lang w:val="en-US" w:eastAsia="zh-CN"/>
        </w:rPr>
        <w:t>聚焦群众“急难愁盼”问题，将住房保障、环境改善等民生工程作为核心任务，让城市发展成果更多惠及全体市民。</w:t>
      </w:r>
    </w:p>
    <w:p w14:paraId="3CD573DE">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生态优先，绿色低碳。</w:t>
      </w:r>
      <w:r>
        <w:rPr>
          <w:rFonts w:hint="eastAsia" w:ascii="仿宋" w:hAnsi="仿宋" w:eastAsia="仿宋" w:cs="仿宋"/>
          <w:color w:val="auto"/>
          <w:sz w:val="32"/>
          <w:szCs w:val="32"/>
          <w:lang w:val="en-US" w:eastAsia="zh-CN"/>
        </w:rPr>
        <w:t>立足马尔康独特的生态禀赋，践行绿色发展理念，推动建筑节能降碳，促进城市生态保护与修复，实现发展与环保协同推进。</w:t>
      </w:r>
    </w:p>
    <w:p w14:paraId="235D9421">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因地制宜，特色彰显。</w:t>
      </w:r>
      <w:r>
        <w:rPr>
          <w:rFonts w:hint="eastAsia" w:ascii="仿宋" w:hAnsi="仿宋" w:eastAsia="仿宋" w:cs="仿宋"/>
          <w:color w:val="auto"/>
          <w:sz w:val="32"/>
          <w:szCs w:val="32"/>
          <w:lang w:val="en-US" w:eastAsia="zh-CN"/>
        </w:rPr>
        <w:t>结合藏区文化特色和高原地理条件，在城市更新、风貌管控中融入地域元素，避免千城一面，传承城市历史文脉。</w:t>
      </w:r>
    </w:p>
    <w:p w14:paraId="479C3837">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系统谋划，韧性筑基。</w:t>
      </w:r>
      <w:r>
        <w:rPr>
          <w:rFonts w:hint="eastAsia" w:ascii="仿宋" w:hAnsi="仿宋" w:eastAsia="仿宋" w:cs="仿宋"/>
          <w:color w:val="auto"/>
          <w:sz w:val="32"/>
          <w:szCs w:val="32"/>
          <w:lang w:val="en-US" w:eastAsia="zh-CN"/>
        </w:rPr>
        <w:t>将安全理念贯穿城市建设全过程，统筹推进基础设施升级、灾害防治等工作，提升城市抵御风险的综合能力。</w:t>
      </w:r>
    </w:p>
    <w:p w14:paraId="7E16FE15">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创新驱动，智慧赋能。</w:t>
      </w:r>
      <w:r>
        <w:rPr>
          <w:rFonts w:hint="eastAsia" w:ascii="仿宋" w:hAnsi="仿宋" w:eastAsia="仿宋" w:cs="仿宋"/>
          <w:color w:val="auto"/>
          <w:sz w:val="32"/>
          <w:szCs w:val="32"/>
          <w:lang w:val="en-US" w:eastAsia="zh-CN"/>
        </w:rPr>
        <w:t>以数字化转型为抓手，推动城市治理模式创新，构建高效协同的智慧住建体系，提升城市治理现代化水平。</w:t>
      </w:r>
    </w:p>
    <w:p w14:paraId="68B7763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5" w:name="_Toc14647"/>
      <w:r>
        <w:rPr>
          <w:rFonts w:hint="eastAsia" w:ascii="黑体" w:hAnsi="黑体" w:eastAsia="黑体" w:cs="黑体"/>
          <w:b w:val="0"/>
          <w:bCs w:val="0"/>
          <w:color w:val="auto"/>
          <w:sz w:val="32"/>
          <w:szCs w:val="32"/>
          <w:lang w:val="en-US" w:eastAsia="zh-CN"/>
        </w:rPr>
        <w:t>三、发展目标</w:t>
      </w:r>
      <w:bookmarkEnd w:id="15"/>
    </w:p>
    <w:p w14:paraId="4DEE610D">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（一）总体目标</w:t>
      </w:r>
    </w:p>
    <w:p w14:paraId="0CB2701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十五五”期间，马尔康市立足阿坝州域中心城市定位，紧扣“六地六城”建设目标，锚定“谱写民族地区高质量发展阿坝典范马尔康篇章”总目标，紧扣“强州府、建名城”发展要求，以规划引领、民生优先、文化赋能、生态宜居为导向，筑牢城市安全底线、提升城乡人居品质、健全住房保障体系、推动住建领域绿色转型、促进文旅融合发展，全面提升城乡建设发展水平，全力开创高原生态文化名城建设新局面，筑牢民族地区高质量发展住建根基。</w:t>
      </w:r>
    </w:p>
    <w:p w14:paraId="49F9CA29">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（二）具体目标</w:t>
      </w:r>
    </w:p>
    <w:p w14:paraId="05D35A61">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bCs/>
          <w:strike w:val="0"/>
          <w:dstrike w:val="0"/>
          <w:color w:val="auto"/>
          <w:kern w:val="2"/>
          <w:sz w:val="32"/>
          <w:szCs w:val="32"/>
          <w:highlight w:val="none"/>
          <w:lang w:val="en-US" w:eastAsia="zh-CN" w:bidi="ar-SA"/>
        </w:rPr>
      </w:pPr>
      <w:r>
        <w:rPr>
          <w:rFonts w:hint="eastAsia" w:ascii="仿宋" w:hAnsi="仿宋" w:eastAsia="仿宋" w:cs="仿宋"/>
          <w:b/>
          <w:bCs/>
          <w:strike w:val="0"/>
          <w:dstrike w:val="0"/>
          <w:color w:val="auto"/>
          <w:kern w:val="2"/>
          <w:sz w:val="32"/>
          <w:szCs w:val="32"/>
          <w:highlight w:val="none"/>
          <w:lang w:val="en-US" w:eastAsia="zh-CN" w:bidi="ar-SA"/>
        </w:rPr>
        <w:t>1.优化城乡空间格局，打造高原城镇样板</w:t>
      </w:r>
    </w:p>
    <w:p w14:paraId="74C2A01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以高质量新型城镇化为主线，构建梯度化城镇体系，补齐城乡市政基础设施短板，缩小城乡发展差距，打造功能完善、景城相融、城乡一体的高原新型城镇化与中心镇建设示范样板，夯实全州首位城市发展能级，支撑国际生态文化旅游目的地建设。</w:t>
      </w:r>
    </w:p>
    <w:p w14:paraId="61F80CDD">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bCs/>
          <w:strike w:val="0"/>
          <w:dstrike w:val="0"/>
          <w:color w:val="auto"/>
          <w:kern w:val="2"/>
          <w:sz w:val="32"/>
          <w:szCs w:val="32"/>
          <w:highlight w:val="none"/>
          <w:lang w:val="en-US" w:eastAsia="zh-CN" w:bidi="ar-SA"/>
        </w:rPr>
      </w:pPr>
      <w:r>
        <w:rPr>
          <w:rFonts w:hint="eastAsia" w:ascii="仿宋" w:hAnsi="仿宋" w:eastAsia="仿宋" w:cs="仿宋"/>
          <w:b/>
          <w:bCs/>
          <w:strike w:val="0"/>
          <w:dstrike w:val="0"/>
          <w:color w:val="auto"/>
          <w:kern w:val="2"/>
          <w:sz w:val="32"/>
          <w:szCs w:val="32"/>
          <w:highlight w:val="none"/>
          <w:lang w:val="en-US" w:eastAsia="zh-CN" w:bidi="ar-SA"/>
        </w:rPr>
        <w:t>2.构建长效更新模式，实现城市空间焕新</w:t>
      </w:r>
    </w:p>
    <w:p w14:paraId="188C984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构建常态化城市体检与有机更新机制，全面盘活城区存量空间。“十五五”期间，全域推进老旧小区、背街小巷、老旧街区更新，完成阿底片区、大郎足沟、日瓦坝新区、三家寨后山等片区综合整治与改造提升。完成达尔玛街、县建片区、街心花园等多处城市公共空间整治，同步完善消防、监控、垃圾分类、便民服务等配套设施，持续优化城市空间布局，塑造精致高原城市风貌。</w:t>
      </w:r>
    </w:p>
    <w:p w14:paraId="6429D0A4">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3.筑牢韧性基建根基，保障城市运行安全</w:t>
      </w:r>
    </w:p>
    <w:p w14:paraId="5F31720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全面筑牢城市安全韧性屏障，迭代升级城市生命线工程。“十五五”期间，完成主城区全规格雨水管网改造，配套部署物联网感知监测系统，完成全域供水体系升级，新建城区燃气支管配套建设，优化河堤堡坎等防灾工程，搭建全覆盖市政设施智慧预警体系，全面提升城市防灾减灾与应急处置能力。</w:t>
      </w:r>
    </w:p>
    <w:p w14:paraId="0C57870C">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4.搭建住房监管平台，优化保障服务体系</w:t>
      </w:r>
    </w:p>
    <w:p w14:paraId="49881CD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健全多层次普惠性住房保障体系，补齐民生住房短板。“十五五”期间，建成保障性住房综合体，完成大郎足沟老旧廉租房适老化改造，推进城中村居民住房安全性、舒适性提质升级，精准满足居民刚性住房与品质改善需求，持续提升城乡宜居水平。</w:t>
      </w:r>
    </w:p>
    <w:p w14:paraId="7B583FB8">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5.推广绿色建筑标准，推动产业提质升级</w:t>
      </w:r>
    </w:p>
    <w:p w14:paraId="780CC2F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lang w:val="en-US" w:eastAsia="zh-CN"/>
        </w:rPr>
        <w:t>加快推动建筑企业的转型升级，培育1家具备一级资质的建筑企业</w:t>
      </w:r>
      <w:r>
        <w:rPr>
          <w:rFonts w:hint="eastAsia" w:ascii="仿宋" w:hAnsi="仿宋" w:eastAsia="仿宋" w:cs="仿宋"/>
          <w:color w:val="auto"/>
          <w:sz w:val="32"/>
          <w:szCs w:val="32"/>
          <w:lang w:val="en-US" w:eastAsia="zh-CN"/>
        </w:rPr>
        <w:t>。</w:t>
      </w:r>
      <w:r>
        <w:rPr>
          <w:rFonts w:hint="eastAsia" w:ascii="仿宋" w:hAnsi="仿宋" w:eastAsia="仿宋" w:cs="仿宋"/>
          <w:b w:val="0"/>
          <w:bCs w:val="0"/>
          <w:color w:val="auto"/>
          <w:sz w:val="32"/>
          <w:szCs w:val="32"/>
          <w:highlight w:val="none"/>
          <w:lang w:val="en-US" w:eastAsia="zh-CN"/>
        </w:rPr>
        <w:t>持续推进老旧建筑立面节能改造。全面推广高原适配绿色建筑与节能建造技术，规范施工现场管理，严控工程质量安全，助力住建领域双碳目标落地。</w:t>
      </w:r>
    </w:p>
    <w:p w14:paraId="04FF35A7">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6.深化城乡融合发展，彰显地域文化特色</w:t>
      </w:r>
    </w:p>
    <w:p w14:paraId="7074821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深耕嘉绒本土特色文化，推动文脉传承与人居环境提质双向赋能。“十五五”期间，推进全域环境综合治理，统一城市雕塑、隔离桩、店招风貌。推进传统村落、历史建筑保护及活化利用。完善城乡垃圾分类治理体系，配套城乡环卫设施，新建智慧公厕，优化无障碍设施，打造景城相融、人文鲜明、整洁宜居的高原特色城乡环境。</w:t>
      </w:r>
    </w:p>
    <w:p w14:paraId="0FC003C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color w:val="auto"/>
          <w:sz w:val="32"/>
          <w:szCs w:val="32"/>
          <w:highlight w:val="none"/>
          <w:lang w:val="en-US" w:eastAsia="zh-CN"/>
        </w:rPr>
      </w:pPr>
      <w:r>
        <w:rPr>
          <w:rFonts w:hint="default" w:ascii="仿宋" w:hAnsi="仿宋" w:eastAsia="仿宋" w:cs="仿宋"/>
          <w:b w:val="0"/>
          <w:bCs w:val="0"/>
          <w:color w:val="auto"/>
          <w:sz w:val="32"/>
          <w:szCs w:val="32"/>
          <w:highlight w:val="none"/>
          <w:lang w:val="en-US" w:eastAsia="zh-CN"/>
        </w:rPr>
        <w:t>结合</w:t>
      </w:r>
      <w:r>
        <w:rPr>
          <w:rFonts w:hint="eastAsia" w:ascii="仿宋" w:hAnsi="仿宋" w:eastAsia="仿宋" w:cs="仿宋"/>
          <w:b w:val="0"/>
          <w:bCs w:val="0"/>
          <w:color w:val="auto"/>
          <w:sz w:val="32"/>
          <w:szCs w:val="32"/>
          <w:highlight w:val="none"/>
          <w:lang w:val="en-US" w:eastAsia="zh-CN"/>
        </w:rPr>
        <w:t>马尔康市</w:t>
      </w:r>
      <w:r>
        <w:rPr>
          <w:rFonts w:hint="default" w:ascii="仿宋" w:hAnsi="仿宋" w:eastAsia="仿宋" w:cs="仿宋"/>
          <w:b w:val="0"/>
          <w:bCs w:val="0"/>
          <w:color w:val="auto"/>
          <w:sz w:val="32"/>
          <w:szCs w:val="32"/>
          <w:highlight w:val="none"/>
          <w:lang w:val="en-US" w:eastAsia="zh-CN"/>
        </w:rPr>
        <w:t>发展现状及阶段特征，体现“十五五”发展目标，共设置</w:t>
      </w:r>
      <w:r>
        <w:rPr>
          <w:rFonts w:hint="eastAsia" w:ascii="仿宋" w:hAnsi="仿宋" w:eastAsia="仿宋" w:cs="仿宋"/>
          <w:b w:val="0"/>
          <w:bCs w:val="0"/>
          <w:color w:val="auto"/>
          <w:sz w:val="32"/>
          <w:szCs w:val="32"/>
          <w:highlight w:val="none"/>
          <w:lang w:val="en-US" w:eastAsia="zh-CN"/>
        </w:rPr>
        <w:t>35</w:t>
      </w:r>
      <w:r>
        <w:rPr>
          <w:rFonts w:hint="default" w:ascii="仿宋" w:hAnsi="仿宋" w:eastAsia="仿宋" w:cs="仿宋"/>
          <w:b w:val="0"/>
          <w:bCs w:val="0"/>
          <w:color w:val="auto"/>
          <w:sz w:val="32"/>
          <w:szCs w:val="32"/>
          <w:highlight w:val="none"/>
          <w:lang w:val="en-US" w:eastAsia="zh-CN"/>
        </w:rPr>
        <w:t>个指标，包括约束性指标</w:t>
      </w:r>
      <w:r>
        <w:rPr>
          <w:rFonts w:hint="eastAsia" w:ascii="仿宋" w:hAnsi="仿宋" w:eastAsia="仿宋" w:cs="仿宋"/>
          <w:b w:val="0"/>
          <w:bCs w:val="0"/>
          <w:color w:val="auto"/>
          <w:sz w:val="32"/>
          <w:szCs w:val="32"/>
          <w:highlight w:val="none"/>
          <w:lang w:val="en-US" w:eastAsia="zh-CN"/>
        </w:rPr>
        <w:t>4</w:t>
      </w:r>
      <w:r>
        <w:rPr>
          <w:rFonts w:hint="default" w:ascii="仿宋" w:hAnsi="仿宋" w:eastAsia="仿宋" w:cs="仿宋"/>
          <w:b w:val="0"/>
          <w:bCs w:val="0"/>
          <w:color w:val="auto"/>
          <w:sz w:val="32"/>
          <w:szCs w:val="32"/>
          <w:highlight w:val="none"/>
          <w:lang w:val="en-US" w:eastAsia="zh-CN"/>
        </w:rPr>
        <w:t>个，预期性指标</w:t>
      </w:r>
      <w:r>
        <w:rPr>
          <w:rFonts w:hint="eastAsia" w:ascii="仿宋" w:hAnsi="仿宋" w:eastAsia="仿宋" w:cs="仿宋"/>
          <w:b w:val="0"/>
          <w:bCs w:val="0"/>
          <w:color w:val="auto"/>
          <w:sz w:val="32"/>
          <w:szCs w:val="32"/>
          <w:highlight w:val="none"/>
          <w:lang w:val="en-US" w:eastAsia="zh-CN"/>
        </w:rPr>
        <w:t>31</w:t>
      </w:r>
      <w:r>
        <w:rPr>
          <w:rFonts w:hint="default" w:ascii="仿宋" w:hAnsi="仿宋" w:eastAsia="仿宋" w:cs="仿宋"/>
          <w:b w:val="0"/>
          <w:bCs w:val="0"/>
          <w:color w:val="auto"/>
          <w:sz w:val="32"/>
          <w:szCs w:val="32"/>
          <w:highlight w:val="none"/>
          <w:lang w:val="en-US" w:eastAsia="zh-CN"/>
        </w:rPr>
        <w:t>个。</w:t>
      </w:r>
    </w:p>
    <w:p w14:paraId="69401739">
      <w:pPr>
        <w:keepNext w:val="0"/>
        <w:keepLines w:val="0"/>
        <w:pageBreakBefore w:val="0"/>
        <w:widowControl w:val="0"/>
        <w:shd w:val="clear"/>
        <w:kinsoku/>
        <w:wordWrap/>
        <w:overflowPunct/>
        <w:topLinePunct w:val="0"/>
        <w:autoSpaceDE/>
        <w:autoSpaceDN/>
        <w:bidi w:val="0"/>
        <w:adjustRightInd/>
        <w:snapToGrid/>
        <w:spacing w:line="576" w:lineRule="exact"/>
        <w:ind w:left="0" w:leftChars="0" w:firstLine="0" w:firstLineChars="0"/>
        <w:jc w:val="center"/>
        <w:textAlignment w:val="auto"/>
        <w:rPr>
          <w:rFonts w:hint="default" w:ascii="仿宋_GB2312" w:hAnsi="仿宋_GB2312" w:eastAsia="仿宋_GB2312" w:cs="仿宋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马尔康住房城乡建设“十五五”规划指标一览表</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803"/>
        <w:gridCol w:w="4310"/>
        <w:gridCol w:w="1147"/>
        <w:gridCol w:w="1325"/>
      </w:tblGrid>
      <w:tr w14:paraId="5A8C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noWrap w:val="0"/>
            <w:vAlign w:val="center"/>
          </w:tcPr>
          <w:p w14:paraId="2CA7AE5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类型</w:t>
            </w:r>
          </w:p>
        </w:tc>
        <w:tc>
          <w:tcPr>
            <w:tcW w:w="471" w:type="pct"/>
            <w:noWrap w:val="0"/>
            <w:vAlign w:val="center"/>
          </w:tcPr>
          <w:p w14:paraId="4ABEC78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序号</w:t>
            </w:r>
          </w:p>
        </w:tc>
        <w:tc>
          <w:tcPr>
            <w:tcW w:w="2529" w:type="pct"/>
            <w:noWrap w:val="0"/>
            <w:vAlign w:val="center"/>
          </w:tcPr>
          <w:p w14:paraId="6998E42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指标</w:t>
            </w:r>
          </w:p>
        </w:tc>
        <w:tc>
          <w:tcPr>
            <w:tcW w:w="673" w:type="pct"/>
            <w:noWrap w:val="0"/>
            <w:vAlign w:val="center"/>
          </w:tcPr>
          <w:p w14:paraId="77A4FF2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2030年</w:t>
            </w:r>
          </w:p>
          <w:p w14:paraId="2C163A7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目标值</w:t>
            </w:r>
          </w:p>
        </w:tc>
        <w:tc>
          <w:tcPr>
            <w:tcW w:w="777" w:type="pct"/>
            <w:noWrap w:val="0"/>
            <w:vAlign w:val="center"/>
          </w:tcPr>
          <w:p w14:paraId="0E67748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备注</w:t>
            </w:r>
          </w:p>
        </w:tc>
      </w:tr>
      <w:tr w14:paraId="681E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noWrap w:val="0"/>
            <w:vAlign w:val="center"/>
          </w:tcPr>
          <w:p w14:paraId="3A9F4DB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城镇格局</w:t>
            </w:r>
          </w:p>
        </w:tc>
        <w:tc>
          <w:tcPr>
            <w:tcW w:w="471" w:type="pct"/>
            <w:noWrap w:val="0"/>
            <w:vAlign w:val="center"/>
          </w:tcPr>
          <w:p w14:paraId="6549304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1</w:t>
            </w:r>
          </w:p>
        </w:tc>
        <w:tc>
          <w:tcPr>
            <w:tcW w:w="2529" w:type="pct"/>
            <w:noWrap w:val="0"/>
            <w:vAlign w:val="center"/>
          </w:tcPr>
          <w:p w14:paraId="0C383A6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创建省级重点中心镇数量</w:t>
            </w:r>
          </w:p>
        </w:tc>
        <w:tc>
          <w:tcPr>
            <w:tcW w:w="673" w:type="pct"/>
            <w:noWrap w:val="0"/>
            <w:vAlign w:val="center"/>
          </w:tcPr>
          <w:p w14:paraId="25C9DBB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1</w:t>
            </w:r>
          </w:p>
        </w:tc>
        <w:tc>
          <w:tcPr>
            <w:tcW w:w="777" w:type="pct"/>
            <w:noWrap w:val="0"/>
            <w:vAlign w:val="center"/>
          </w:tcPr>
          <w:p w14:paraId="2FD29CC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预期性</w:t>
            </w:r>
          </w:p>
        </w:tc>
      </w:tr>
      <w:tr w14:paraId="2769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restart"/>
            <w:noWrap w:val="0"/>
            <w:vAlign w:val="center"/>
          </w:tcPr>
          <w:p w14:paraId="1E8C101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城市更新</w:t>
            </w:r>
          </w:p>
        </w:tc>
        <w:tc>
          <w:tcPr>
            <w:tcW w:w="471" w:type="pct"/>
            <w:noWrap w:val="0"/>
            <w:vAlign w:val="center"/>
          </w:tcPr>
          <w:p w14:paraId="38E46AA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w:t>
            </w:r>
          </w:p>
        </w:tc>
        <w:tc>
          <w:tcPr>
            <w:tcW w:w="2529" w:type="pct"/>
            <w:noWrap w:val="0"/>
            <w:vAlign w:val="center"/>
          </w:tcPr>
          <w:p w14:paraId="6166C8C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老旧小区及配套设施改造</w:t>
            </w:r>
            <w:r>
              <w:rPr>
                <w:rFonts w:hint="eastAsia" w:ascii="仿宋" w:hAnsi="仿宋" w:eastAsia="仿宋" w:cs="仿宋"/>
                <w:color w:val="auto"/>
                <w:sz w:val="28"/>
                <w:szCs w:val="28"/>
                <w:highlight w:val="none"/>
                <w:vertAlign w:val="baseline"/>
              </w:rPr>
              <w:t>（</w:t>
            </w:r>
            <w:r>
              <w:rPr>
                <w:rFonts w:hint="eastAsia" w:ascii="仿宋" w:hAnsi="仿宋" w:eastAsia="仿宋" w:cs="仿宋"/>
                <w:color w:val="auto"/>
                <w:sz w:val="28"/>
                <w:szCs w:val="28"/>
                <w:highlight w:val="none"/>
                <w:vertAlign w:val="baseline"/>
                <w:lang w:val="en-US" w:eastAsia="zh-CN"/>
              </w:rPr>
              <w:t>个</w:t>
            </w:r>
            <w:r>
              <w:rPr>
                <w:rFonts w:hint="eastAsia" w:ascii="仿宋" w:hAnsi="仿宋" w:eastAsia="仿宋" w:cs="仿宋"/>
                <w:color w:val="auto"/>
                <w:sz w:val="28"/>
                <w:szCs w:val="28"/>
                <w:highlight w:val="none"/>
                <w:vertAlign w:val="baseline"/>
              </w:rPr>
              <w:t>）</w:t>
            </w:r>
          </w:p>
        </w:tc>
        <w:tc>
          <w:tcPr>
            <w:tcW w:w="673" w:type="pct"/>
            <w:noWrap w:val="0"/>
            <w:vAlign w:val="center"/>
          </w:tcPr>
          <w:p w14:paraId="1F6A49C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90</w:t>
            </w:r>
          </w:p>
        </w:tc>
        <w:tc>
          <w:tcPr>
            <w:tcW w:w="777" w:type="pct"/>
            <w:noWrap w:val="0"/>
            <w:vAlign w:val="center"/>
          </w:tcPr>
          <w:p w14:paraId="629F4F7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预期性</w:t>
            </w:r>
          </w:p>
        </w:tc>
      </w:tr>
      <w:tr w14:paraId="4B9F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7BD6984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359F9E4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w:t>
            </w:r>
          </w:p>
        </w:tc>
        <w:tc>
          <w:tcPr>
            <w:tcW w:w="2529" w:type="pct"/>
            <w:noWrap w:val="0"/>
            <w:vAlign w:val="center"/>
          </w:tcPr>
          <w:p w14:paraId="21ACDE2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rPr>
              <w:t>城中村改造（</w:t>
            </w:r>
            <w:r>
              <w:rPr>
                <w:rFonts w:hint="eastAsia" w:ascii="仿宋" w:hAnsi="仿宋" w:eastAsia="仿宋" w:cs="仿宋"/>
                <w:color w:val="auto"/>
                <w:sz w:val="28"/>
                <w:szCs w:val="28"/>
                <w:highlight w:val="none"/>
                <w:vertAlign w:val="baseline"/>
                <w:lang w:val="en-US" w:eastAsia="zh-CN"/>
              </w:rPr>
              <w:t>个</w:t>
            </w:r>
            <w:r>
              <w:rPr>
                <w:rFonts w:hint="eastAsia" w:ascii="仿宋" w:hAnsi="仿宋" w:eastAsia="仿宋" w:cs="仿宋"/>
                <w:color w:val="auto"/>
                <w:sz w:val="28"/>
                <w:szCs w:val="28"/>
                <w:highlight w:val="none"/>
                <w:vertAlign w:val="baseline"/>
              </w:rPr>
              <w:t>）</w:t>
            </w:r>
          </w:p>
        </w:tc>
        <w:tc>
          <w:tcPr>
            <w:tcW w:w="673" w:type="pct"/>
            <w:noWrap w:val="0"/>
            <w:vAlign w:val="center"/>
          </w:tcPr>
          <w:p w14:paraId="770E7EF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4</w:t>
            </w:r>
          </w:p>
        </w:tc>
        <w:tc>
          <w:tcPr>
            <w:tcW w:w="777" w:type="pct"/>
            <w:noWrap w:val="0"/>
            <w:vAlign w:val="center"/>
          </w:tcPr>
          <w:p w14:paraId="1D56A9B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655E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8" w:type="pct"/>
            <w:vMerge w:val="continue"/>
            <w:noWrap w:val="0"/>
            <w:vAlign w:val="center"/>
          </w:tcPr>
          <w:p w14:paraId="16B3849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2A98A71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4</w:t>
            </w:r>
          </w:p>
        </w:tc>
        <w:tc>
          <w:tcPr>
            <w:tcW w:w="2529" w:type="pct"/>
            <w:noWrap w:val="0"/>
            <w:vAlign w:val="center"/>
          </w:tcPr>
          <w:p w14:paraId="4F2DAAD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rPr>
              <w:t>老旧街区（</w:t>
            </w:r>
            <w:r>
              <w:rPr>
                <w:rFonts w:hint="eastAsia" w:ascii="仿宋" w:hAnsi="仿宋" w:eastAsia="仿宋" w:cs="仿宋"/>
                <w:color w:val="auto"/>
                <w:sz w:val="28"/>
                <w:szCs w:val="28"/>
                <w:highlight w:val="none"/>
                <w:vertAlign w:val="baseline"/>
                <w:lang w:val="en-US" w:eastAsia="zh-CN"/>
              </w:rPr>
              <w:t>个</w:t>
            </w:r>
            <w:r>
              <w:rPr>
                <w:rFonts w:hint="eastAsia" w:ascii="仿宋" w:hAnsi="仿宋" w:eastAsia="仿宋" w:cs="仿宋"/>
                <w:color w:val="auto"/>
                <w:sz w:val="28"/>
                <w:szCs w:val="28"/>
                <w:highlight w:val="none"/>
                <w:vertAlign w:val="baseline"/>
              </w:rPr>
              <w:t>）</w:t>
            </w:r>
          </w:p>
        </w:tc>
        <w:tc>
          <w:tcPr>
            <w:tcW w:w="673" w:type="pct"/>
            <w:noWrap w:val="0"/>
            <w:vAlign w:val="center"/>
          </w:tcPr>
          <w:p w14:paraId="54B20B5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2</w:t>
            </w:r>
          </w:p>
        </w:tc>
        <w:tc>
          <w:tcPr>
            <w:tcW w:w="777" w:type="pct"/>
            <w:noWrap w:val="0"/>
            <w:vAlign w:val="center"/>
          </w:tcPr>
          <w:p w14:paraId="2D8158D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362D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60C0E08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5882B05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5</w:t>
            </w:r>
          </w:p>
        </w:tc>
        <w:tc>
          <w:tcPr>
            <w:tcW w:w="2529" w:type="pct"/>
            <w:noWrap w:val="0"/>
            <w:vAlign w:val="center"/>
          </w:tcPr>
          <w:p w14:paraId="089E51A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rPr>
              <w:t>完整居住社区（</w:t>
            </w:r>
            <w:r>
              <w:rPr>
                <w:rFonts w:hint="eastAsia" w:ascii="仿宋" w:hAnsi="仿宋" w:eastAsia="仿宋" w:cs="仿宋"/>
                <w:color w:val="auto"/>
                <w:sz w:val="28"/>
                <w:szCs w:val="28"/>
                <w:highlight w:val="none"/>
                <w:vertAlign w:val="baseline"/>
                <w:lang w:val="en-US" w:eastAsia="zh-CN"/>
              </w:rPr>
              <w:t>个</w:t>
            </w:r>
            <w:r>
              <w:rPr>
                <w:rFonts w:hint="eastAsia" w:ascii="仿宋" w:hAnsi="仿宋" w:eastAsia="仿宋" w:cs="仿宋"/>
                <w:color w:val="auto"/>
                <w:sz w:val="28"/>
                <w:szCs w:val="28"/>
                <w:highlight w:val="none"/>
                <w:vertAlign w:val="baseline"/>
              </w:rPr>
              <w:t>）</w:t>
            </w:r>
          </w:p>
        </w:tc>
        <w:tc>
          <w:tcPr>
            <w:tcW w:w="673" w:type="pct"/>
            <w:noWrap w:val="0"/>
            <w:vAlign w:val="center"/>
          </w:tcPr>
          <w:p w14:paraId="3034294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w:t>
            </w:r>
          </w:p>
        </w:tc>
        <w:tc>
          <w:tcPr>
            <w:tcW w:w="777" w:type="pct"/>
            <w:noWrap w:val="0"/>
            <w:vAlign w:val="center"/>
          </w:tcPr>
          <w:p w14:paraId="4CC13B4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5230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603EEA1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57A7D80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7</w:t>
            </w:r>
          </w:p>
        </w:tc>
        <w:tc>
          <w:tcPr>
            <w:tcW w:w="2529" w:type="pct"/>
            <w:noWrap w:val="0"/>
            <w:vAlign w:val="center"/>
          </w:tcPr>
          <w:p w14:paraId="40BB1AF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rPr>
              <w:t>城市（县城）建成区绿地率</w:t>
            </w:r>
            <w:r>
              <w:rPr>
                <w:rFonts w:hint="eastAsia" w:ascii="仿宋" w:hAnsi="仿宋" w:eastAsia="仿宋" w:cs="仿宋"/>
                <w:color w:val="auto"/>
                <w:sz w:val="28"/>
                <w:szCs w:val="28"/>
                <w:highlight w:val="none"/>
                <w:vertAlign w:val="baseline"/>
                <w:lang w:eastAsia="zh-CN"/>
              </w:rPr>
              <w:t>（</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eastAsia="zh-CN"/>
              </w:rPr>
              <w:t>）</w:t>
            </w:r>
          </w:p>
        </w:tc>
        <w:tc>
          <w:tcPr>
            <w:tcW w:w="673" w:type="pct"/>
            <w:noWrap w:val="0"/>
            <w:vAlign w:val="center"/>
          </w:tcPr>
          <w:p w14:paraId="02B6214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25</w:t>
            </w:r>
          </w:p>
        </w:tc>
        <w:tc>
          <w:tcPr>
            <w:tcW w:w="777" w:type="pct"/>
            <w:noWrap w:val="0"/>
            <w:vAlign w:val="center"/>
          </w:tcPr>
          <w:p w14:paraId="2E99F12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186A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35E07CE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175388C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8</w:t>
            </w:r>
          </w:p>
        </w:tc>
        <w:tc>
          <w:tcPr>
            <w:tcW w:w="2529" w:type="pct"/>
            <w:noWrap w:val="0"/>
            <w:vAlign w:val="center"/>
          </w:tcPr>
          <w:p w14:paraId="2DACBF3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rPr>
              <w:t>城市公园绿化活动场地服务半径覆盖率（%）</w:t>
            </w:r>
          </w:p>
        </w:tc>
        <w:tc>
          <w:tcPr>
            <w:tcW w:w="673" w:type="pct"/>
            <w:noWrap w:val="0"/>
            <w:vAlign w:val="center"/>
          </w:tcPr>
          <w:p w14:paraId="032217D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30</w:t>
            </w:r>
          </w:p>
        </w:tc>
        <w:tc>
          <w:tcPr>
            <w:tcW w:w="777" w:type="pct"/>
            <w:noWrap w:val="0"/>
            <w:vAlign w:val="center"/>
          </w:tcPr>
          <w:p w14:paraId="590ECCE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4C1F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restart"/>
            <w:noWrap w:val="0"/>
            <w:vAlign w:val="center"/>
          </w:tcPr>
          <w:p w14:paraId="52175E9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安全韧性</w:t>
            </w:r>
          </w:p>
        </w:tc>
        <w:tc>
          <w:tcPr>
            <w:tcW w:w="471" w:type="pct"/>
            <w:noWrap w:val="0"/>
            <w:vAlign w:val="center"/>
          </w:tcPr>
          <w:p w14:paraId="10B7F7E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9</w:t>
            </w:r>
          </w:p>
        </w:tc>
        <w:tc>
          <w:tcPr>
            <w:tcW w:w="2529" w:type="pct"/>
            <w:noWrap w:val="0"/>
            <w:vAlign w:val="center"/>
          </w:tcPr>
          <w:p w14:paraId="076CB24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eastAsia="en-US"/>
              </w:rPr>
              <w:t>人均县城道路面积</w:t>
            </w:r>
            <w:r>
              <w:rPr>
                <w:rFonts w:hint="eastAsia" w:ascii="仿宋" w:hAnsi="仿宋" w:eastAsia="仿宋" w:cs="仿宋"/>
                <w:color w:val="auto"/>
                <w:sz w:val="28"/>
                <w:szCs w:val="28"/>
                <w:highlight w:val="none"/>
                <w:vertAlign w:val="baseline"/>
                <w:lang w:eastAsia="zh-CN"/>
              </w:rPr>
              <w:t>（</w:t>
            </w:r>
            <w:r>
              <w:rPr>
                <w:rFonts w:hint="eastAsia" w:ascii="仿宋" w:hAnsi="仿宋" w:eastAsia="仿宋" w:cs="仿宋"/>
                <w:color w:val="auto"/>
                <w:sz w:val="28"/>
                <w:szCs w:val="28"/>
                <w:highlight w:val="none"/>
                <w:vertAlign w:val="baseline"/>
                <w:lang w:val="en-US" w:eastAsia="zh-CN"/>
              </w:rPr>
              <w:t>平方米</w:t>
            </w:r>
            <w:r>
              <w:rPr>
                <w:rFonts w:hint="eastAsia" w:ascii="仿宋" w:hAnsi="仿宋" w:eastAsia="仿宋" w:cs="仿宋"/>
                <w:color w:val="auto"/>
                <w:sz w:val="28"/>
                <w:szCs w:val="28"/>
                <w:highlight w:val="none"/>
                <w:vertAlign w:val="baseline"/>
                <w:lang w:eastAsia="zh-CN"/>
              </w:rPr>
              <w:t>）</w:t>
            </w:r>
          </w:p>
        </w:tc>
        <w:tc>
          <w:tcPr>
            <w:tcW w:w="673" w:type="pct"/>
            <w:noWrap w:val="0"/>
            <w:vAlign w:val="center"/>
          </w:tcPr>
          <w:p w14:paraId="29A84FE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snapToGrid w:val="0"/>
                <w:color w:val="auto"/>
                <w:kern w:val="0"/>
                <w:sz w:val="28"/>
                <w:szCs w:val="28"/>
                <w:highlight w:val="none"/>
                <w:vertAlign w:val="baseline"/>
                <w:lang w:val="en-US" w:eastAsia="zh-CN" w:bidi="ar-SA"/>
              </w:rPr>
              <w:t>7</w:t>
            </w:r>
          </w:p>
        </w:tc>
        <w:tc>
          <w:tcPr>
            <w:tcW w:w="777" w:type="pct"/>
            <w:noWrap w:val="0"/>
            <w:vAlign w:val="center"/>
          </w:tcPr>
          <w:p w14:paraId="03A929F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5AE1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543C4B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670E1E3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w:t>
            </w:r>
          </w:p>
        </w:tc>
        <w:tc>
          <w:tcPr>
            <w:tcW w:w="2529" w:type="pct"/>
            <w:noWrap w:val="0"/>
            <w:vAlign w:val="center"/>
          </w:tcPr>
          <w:p w14:paraId="04E3951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zh-CN"/>
              </w:rPr>
              <w:t>城市危旧桥梁改造处置率（%）</w:t>
            </w:r>
          </w:p>
        </w:tc>
        <w:tc>
          <w:tcPr>
            <w:tcW w:w="673" w:type="pct"/>
            <w:noWrap w:val="0"/>
            <w:vAlign w:val="center"/>
          </w:tcPr>
          <w:p w14:paraId="368B989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718089F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2613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4947F6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4B2D7AA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11</w:t>
            </w:r>
          </w:p>
        </w:tc>
        <w:tc>
          <w:tcPr>
            <w:tcW w:w="2529" w:type="pct"/>
            <w:noWrap w:val="0"/>
            <w:vAlign w:val="center"/>
          </w:tcPr>
          <w:p w14:paraId="3F7A19C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zh-CN"/>
              </w:rPr>
              <w:t>城市人行道有效通行达标率（%）</w:t>
            </w:r>
          </w:p>
        </w:tc>
        <w:tc>
          <w:tcPr>
            <w:tcW w:w="673" w:type="pct"/>
            <w:noWrap w:val="0"/>
            <w:vAlign w:val="center"/>
          </w:tcPr>
          <w:p w14:paraId="4660962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90</w:t>
            </w:r>
          </w:p>
        </w:tc>
        <w:tc>
          <w:tcPr>
            <w:tcW w:w="777" w:type="pct"/>
            <w:noWrap w:val="0"/>
            <w:vAlign w:val="center"/>
          </w:tcPr>
          <w:p w14:paraId="44672B3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5B3E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643056E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338D54F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12</w:t>
            </w:r>
          </w:p>
        </w:tc>
        <w:tc>
          <w:tcPr>
            <w:tcW w:w="2529" w:type="pct"/>
            <w:noWrap w:val="0"/>
            <w:vAlign w:val="center"/>
          </w:tcPr>
          <w:p w14:paraId="059F82D9">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zh-CN" w:eastAsia="en-US" w:bidi="ar-SA"/>
              </w:rPr>
            </w:pPr>
            <w:r>
              <w:rPr>
                <w:rFonts w:hint="eastAsia" w:ascii="仿宋" w:hAnsi="仿宋" w:eastAsia="仿宋" w:cs="仿宋"/>
                <w:color w:val="auto"/>
                <w:sz w:val="28"/>
                <w:szCs w:val="28"/>
                <w:highlight w:val="none"/>
                <w:vertAlign w:val="baseline"/>
              </w:rPr>
              <w:t>城市公共供水管网漏损率（%）</w:t>
            </w:r>
          </w:p>
        </w:tc>
        <w:tc>
          <w:tcPr>
            <w:tcW w:w="673" w:type="pct"/>
            <w:noWrap w:val="0"/>
            <w:vAlign w:val="center"/>
          </w:tcPr>
          <w:p w14:paraId="20DEA69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＜8</w:t>
            </w:r>
          </w:p>
        </w:tc>
        <w:tc>
          <w:tcPr>
            <w:tcW w:w="777" w:type="pct"/>
            <w:noWrap w:val="0"/>
            <w:vAlign w:val="center"/>
          </w:tcPr>
          <w:p w14:paraId="2FE866F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约束性</w:t>
            </w:r>
          </w:p>
        </w:tc>
      </w:tr>
      <w:tr w14:paraId="2068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545730F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3D996EB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13</w:t>
            </w:r>
          </w:p>
        </w:tc>
        <w:tc>
          <w:tcPr>
            <w:tcW w:w="2529" w:type="pct"/>
            <w:noWrap w:val="0"/>
            <w:vAlign w:val="center"/>
          </w:tcPr>
          <w:p w14:paraId="2142C95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zh-CN" w:eastAsia="en-US" w:bidi="ar-SA"/>
              </w:rPr>
            </w:pPr>
            <w:r>
              <w:rPr>
                <w:rFonts w:hint="eastAsia" w:ascii="仿宋" w:hAnsi="仿宋" w:eastAsia="仿宋" w:cs="仿宋"/>
                <w:color w:val="auto"/>
                <w:sz w:val="28"/>
                <w:szCs w:val="28"/>
                <w:highlight w:val="none"/>
                <w:vertAlign w:val="baseline"/>
              </w:rPr>
              <w:t>县城（城市）污水处理率</w:t>
            </w:r>
            <w:r>
              <w:rPr>
                <w:rFonts w:hint="eastAsia" w:ascii="仿宋" w:hAnsi="仿宋" w:eastAsia="仿宋" w:cs="仿宋"/>
                <w:color w:val="auto"/>
                <w:sz w:val="28"/>
                <w:szCs w:val="28"/>
                <w:highlight w:val="none"/>
                <w:vertAlign w:val="baseline"/>
                <w:lang w:eastAsia="zh-CN"/>
              </w:rPr>
              <w:t>（</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eastAsia="zh-CN"/>
              </w:rPr>
              <w:t>）</w:t>
            </w:r>
          </w:p>
        </w:tc>
        <w:tc>
          <w:tcPr>
            <w:tcW w:w="673" w:type="pct"/>
            <w:noWrap w:val="0"/>
            <w:vAlign w:val="center"/>
          </w:tcPr>
          <w:p w14:paraId="1D5771B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rPr>
              <w:t>95</w:t>
            </w:r>
          </w:p>
        </w:tc>
        <w:tc>
          <w:tcPr>
            <w:tcW w:w="777" w:type="pct"/>
            <w:noWrap w:val="0"/>
            <w:vAlign w:val="center"/>
          </w:tcPr>
          <w:p w14:paraId="23E32939">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约束性</w:t>
            </w:r>
          </w:p>
        </w:tc>
      </w:tr>
      <w:tr w14:paraId="7B46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701412C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72EF657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14</w:t>
            </w:r>
          </w:p>
        </w:tc>
        <w:tc>
          <w:tcPr>
            <w:tcW w:w="2529" w:type="pct"/>
            <w:noWrap w:val="0"/>
            <w:vAlign w:val="center"/>
          </w:tcPr>
          <w:p w14:paraId="044BE78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zh-CN" w:eastAsia="en-US" w:bidi="ar-SA"/>
              </w:rPr>
            </w:pPr>
            <w:r>
              <w:rPr>
                <w:rFonts w:hint="eastAsia" w:ascii="仿宋" w:hAnsi="仿宋" w:eastAsia="仿宋" w:cs="仿宋"/>
                <w:color w:val="auto"/>
                <w:sz w:val="28"/>
                <w:szCs w:val="28"/>
                <w:highlight w:val="none"/>
                <w:vertAlign w:val="baseline"/>
              </w:rPr>
              <w:t>城市生活污水集中收集率（%）</w:t>
            </w:r>
          </w:p>
        </w:tc>
        <w:tc>
          <w:tcPr>
            <w:tcW w:w="673" w:type="pct"/>
            <w:noWrap w:val="0"/>
            <w:vAlign w:val="center"/>
          </w:tcPr>
          <w:p w14:paraId="44DF3D1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60</w:t>
            </w:r>
          </w:p>
        </w:tc>
        <w:tc>
          <w:tcPr>
            <w:tcW w:w="777" w:type="pct"/>
            <w:noWrap w:val="0"/>
            <w:vAlign w:val="center"/>
          </w:tcPr>
          <w:p w14:paraId="6F24D86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2488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3199446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4A0B681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15</w:t>
            </w:r>
          </w:p>
        </w:tc>
        <w:tc>
          <w:tcPr>
            <w:tcW w:w="2529" w:type="pct"/>
            <w:noWrap w:val="0"/>
            <w:vAlign w:val="center"/>
          </w:tcPr>
          <w:p w14:paraId="569A859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rPr>
              <w:t>城市污泥无害化处置率（%）</w:t>
            </w:r>
          </w:p>
        </w:tc>
        <w:tc>
          <w:tcPr>
            <w:tcW w:w="673" w:type="pct"/>
            <w:noWrap w:val="0"/>
            <w:vAlign w:val="center"/>
          </w:tcPr>
          <w:p w14:paraId="7808FE3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30A77EB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734D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7C8DD7A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732DB30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16</w:t>
            </w:r>
          </w:p>
        </w:tc>
        <w:tc>
          <w:tcPr>
            <w:tcW w:w="2529" w:type="pct"/>
            <w:noWrap w:val="0"/>
            <w:vAlign w:val="center"/>
          </w:tcPr>
          <w:p w14:paraId="5DDEB1F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zh-CN" w:eastAsia="en-US" w:bidi="ar-SA"/>
              </w:rPr>
            </w:pPr>
            <w:r>
              <w:rPr>
                <w:rFonts w:hint="eastAsia" w:ascii="仿宋" w:hAnsi="仿宋" w:eastAsia="仿宋" w:cs="仿宋"/>
                <w:color w:val="auto"/>
                <w:sz w:val="28"/>
                <w:szCs w:val="28"/>
                <w:highlight w:val="none"/>
                <w:vertAlign w:val="baseline"/>
              </w:rPr>
              <w:t>城市重要易涝点消除率（%）</w:t>
            </w:r>
          </w:p>
        </w:tc>
        <w:tc>
          <w:tcPr>
            <w:tcW w:w="673" w:type="pct"/>
            <w:noWrap w:val="0"/>
            <w:vAlign w:val="center"/>
          </w:tcPr>
          <w:p w14:paraId="18104F5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动态</w:t>
            </w:r>
          </w:p>
          <w:p w14:paraId="57B892F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清零</w:t>
            </w:r>
          </w:p>
        </w:tc>
        <w:tc>
          <w:tcPr>
            <w:tcW w:w="777" w:type="pct"/>
            <w:noWrap w:val="0"/>
            <w:vAlign w:val="center"/>
          </w:tcPr>
          <w:p w14:paraId="698D2AC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3532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1E7F617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50D2D98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17</w:t>
            </w:r>
          </w:p>
        </w:tc>
        <w:tc>
          <w:tcPr>
            <w:tcW w:w="2529" w:type="pct"/>
            <w:noWrap w:val="0"/>
            <w:vAlign w:val="center"/>
          </w:tcPr>
          <w:p w14:paraId="0BDD4AD9">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zh-CN" w:eastAsia="en-US" w:bidi="ar-SA"/>
              </w:rPr>
            </w:pPr>
            <w:r>
              <w:rPr>
                <w:rFonts w:hint="eastAsia" w:ascii="仿宋" w:hAnsi="仿宋" w:eastAsia="仿宋" w:cs="仿宋"/>
                <w:color w:val="auto"/>
                <w:sz w:val="28"/>
                <w:szCs w:val="28"/>
                <w:highlight w:val="none"/>
                <w:vertAlign w:val="baseline"/>
                <w:lang w:val="zh-CN"/>
              </w:rPr>
              <w:t>城市生活垃圾</w:t>
            </w:r>
            <w:r>
              <w:rPr>
                <w:rFonts w:hint="eastAsia" w:ascii="仿宋" w:hAnsi="仿宋" w:eastAsia="仿宋" w:cs="仿宋"/>
                <w:color w:val="auto"/>
                <w:sz w:val="28"/>
                <w:szCs w:val="28"/>
                <w:highlight w:val="none"/>
                <w:vertAlign w:val="baseline"/>
                <w:lang w:val="en-US" w:eastAsia="zh-CN"/>
              </w:rPr>
              <w:t>无害化处理率</w:t>
            </w:r>
            <w:r>
              <w:rPr>
                <w:rFonts w:hint="eastAsia" w:ascii="仿宋" w:hAnsi="仿宋" w:eastAsia="仿宋" w:cs="仿宋"/>
                <w:color w:val="auto"/>
                <w:sz w:val="28"/>
                <w:szCs w:val="28"/>
                <w:highlight w:val="none"/>
                <w:vertAlign w:val="baseline"/>
                <w:lang w:val="zh-CN"/>
              </w:rPr>
              <w:t>（%）</w:t>
            </w:r>
          </w:p>
        </w:tc>
        <w:tc>
          <w:tcPr>
            <w:tcW w:w="673" w:type="pct"/>
            <w:noWrap w:val="0"/>
            <w:vAlign w:val="center"/>
          </w:tcPr>
          <w:p w14:paraId="76E68D2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6533AE4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约束性</w:t>
            </w:r>
          </w:p>
        </w:tc>
      </w:tr>
      <w:tr w14:paraId="4A98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6ABE69E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5BEF53F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18</w:t>
            </w:r>
          </w:p>
        </w:tc>
        <w:tc>
          <w:tcPr>
            <w:tcW w:w="2529" w:type="pct"/>
            <w:noWrap w:val="0"/>
            <w:vAlign w:val="center"/>
          </w:tcPr>
          <w:p w14:paraId="11D68CD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zh-CN" w:eastAsia="zh-CN" w:bidi="ar-SA"/>
              </w:rPr>
            </w:pPr>
            <w:r>
              <w:rPr>
                <w:rFonts w:hint="eastAsia" w:ascii="仿宋" w:hAnsi="仿宋" w:eastAsia="仿宋" w:cs="仿宋"/>
                <w:color w:val="auto"/>
                <w:sz w:val="28"/>
                <w:szCs w:val="28"/>
                <w:highlight w:val="none"/>
                <w:vertAlign w:val="baseline"/>
                <w:lang w:val="en-US" w:eastAsia="zh-CN"/>
              </w:rPr>
              <w:t>城市生活垃圾分类覆盖率</w:t>
            </w:r>
          </w:p>
        </w:tc>
        <w:tc>
          <w:tcPr>
            <w:tcW w:w="673" w:type="pct"/>
            <w:noWrap w:val="0"/>
            <w:vAlign w:val="center"/>
          </w:tcPr>
          <w:p w14:paraId="38991C7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0E8F0FB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28A0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1F28800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22B65BA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19</w:t>
            </w:r>
          </w:p>
        </w:tc>
        <w:tc>
          <w:tcPr>
            <w:tcW w:w="2529" w:type="pct"/>
            <w:noWrap w:val="0"/>
            <w:vAlign w:val="center"/>
          </w:tcPr>
          <w:p w14:paraId="758CB11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zh-CN" w:eastAsia="en-US" w:bidi="ar-SA"/>
              </w:rPr>
            </w:pPr>
            <w:r>
              <w:rPr>
                <w:rFonts w:hint="eastAsia" w:ascii="仿宋" w:hAnsi="仿宋" w:eastAsia="仿宋" w:cs="仿宋"/>
                <w:color w:val="auto"/>
                <w:sz w:val="28"/>
                <w:szCs w:val="28"/>
                <w:highlight w:val="none"/>
                <w:vertAlign w:val="baseline"/>
                <w:lang w:val="zh-CN"/>
              </w:rPr>
              <w:t>城市建筑垃圾有效处置率（</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zh-CN"/>
              </w:rPr>
              <w:t>）</w:t>
            </w:r>
          </w:p>
        </w:tc>
        <w:tc>
          <w:tcPr>
            <w:tcW w:w="673" w:type="pct"/>
            <w:noWrap w:val="0"/>
            <w:vAlign w:val="center"/>
          </w:tcPr>
          <w:p w14:paraId="14683EC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90</w:t>
            </w:r>
          </w:p>
        </w:tc>
        <w:tc>
          <w:tcPr>
            <w:tcW w:w="777" w:type="pct"/>
            <w:noWrap w:val="0"/>
            <w:vAlign w:val="center"/>
          </w:tcPr>
          <w:p w14:paraId="60E30C3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612D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C89688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0EEBC25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20</w:t>
            </w:r>
          </w:p>
        </w:tc>
        <w:tc>
          <w:tcPr>
            <w:tcW w:w="2529" w:type="pct"/>
            <w:noWrap w:val="0"/>
            <w:vAlign w:val="center"/>
          </w:tcPr>
          <w:p w14:paraId="1AF2C3B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楷体_GB2312" w:eastAsia="宋体" w:cs="楷体_GB2312"/>
                <w:color w:val="auto"/>
                <w:spacing w:val="-3"/>
                <w:kern w:val="2"/>
                <w:sz w:val="21"/>
                <w:szCs w:val="21"/>
                <w:highlight w:val="none"/>
                <w:lang w:val="zh-CN" w:eastAsia="zh-CN" w:bidi="ar-SA"/>
              </w:rPr>
            </w:pPr>
            <w:r>
              <w:rPr>
                <w:rFonts w:hint="eastAsia" w:ascii="仿宋" w:hAnsi="仿宋" w:eastAsia="仿宋" w:cs="仿宋"/>
                <w:color w:val="auto"/>
                <w:sz w:val="28"/>
                <w:szCs w:val="28"/>
                <w:highlight w:val="none"/>
                <w:vertAlign w:val="baseline"/>
                <w:lang w:val="zh-CN"/>
              </w:rPr>
              <w:t>城市建筑垃圾综合利用率（</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zh-CN"/>
              </w:rPr>
              <w:t>）</w:t>
            </w:r>
          </w:p>
        </w:tc>
        <w:tc>
          <w:tcPr>
            <w:tcW w:w="673" w:type="pct"/>
            <w:noWrap w:val="0"/>
            <w:vAlign w:val="center"/>
          </w:tcPr>
          <w:p w14:paraId="70AF8F7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55</w:t>
            </w:r>
          </w:p>
        </w:tc>
        <w:tc>
          <w:tcPr>
            <w:tcW w:w="777" w:type="pct"/>
            <w:noWrap w:val="0"/>
            <w:vAlign w:val="center"/>
          </w:tcPr>
          <w:p w14:paraId="662298D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1891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2FD4E0F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5C87E61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21</w:t>
            </w:r>
          </w:p>
        </w:tc>
        <w:tc>
          <w:tcPr>
            <w:tcW w:w="2529" w:type="pct"/>
            <w:noWrap w:val="0"/>
            <w:vAlign w:val="center"/>
          </w:tcPr>
          <w:p w14:paraId="0A54D28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en-US" w:bidi="ar-SA"/>
              </w:rPr>
            </w:pPr>
            <w:r>
              <w:rPr>
                <w:rFonts w:hint="eastAsia" w:ascii="仿宋" w:hAnsi="仿宋" w:eastAsia="仿宋" w:cs="仿宋"/>
                <w:color w:val="auto"/>
                <w:sz w:val="28"/>
                <w:szCs w:val="28"/>
                <w:highlight w:val="none"/>
                <w:vertAlign w:val="baseline"/>
              </w:rPr>
              <w:t>城市（县城）管道燃气普及率（%）</w:t>
            </w:r>
          </w:p>
        </w:tc>
        <w:tc>
          <w:tcPr>
            <w:tcW w:w="673" w:type="pct"/>
            <w:noWrap w:val="0"/>
            <w:vAlign w:val="center"/>
          </w:tcPr>
          <w:p w14:paraId="1341F61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60</w:t>
            </w:r>
          </w:p>
        </w:tc>
        <w:tc>
          <w:tcPr>
            <w:tcW w:w="777" w:type="pct"/>
            <w:noWrap w:val="0"/>
            <w:vAlign w:val="center"/>
          </w:tcPr>
          <w:p w14:paraId="6F413D5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04B6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restart"/>
            <w:noWrap w:val="0"/>
            <w:vAlign w:val="center"/>
          </w:tcPr>
          <w:p w14:paraId="7BF638E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住房发展事业</w:t>
            </w:r>
          </w:p>
        </w:tc>
        <w:tc>
          <w:tcPr>
            <w:tcW w:w="471" w:type="pct"/>
            <w:noWrap w:val="0"/>
            <w:vAlign w:val="center"/>
          </w:tcPr>
          <w:p w14:paraId="237160C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u w:val="none"/>
                <w:vertAlign w:val="baseline"/>
                <w:lang w:val="en-US" w:eastAsia="zh-CN"/>
              </w:rPr>
            </w:pPr>
            <w:r>
              <w:rPr>
                <w:rFonts w:hint="eastAsia" w:ascii="仿宋" w:hAnsi="仿宋" w:eastAsia="仿宋" w:cs="仿宋"/>
                <w:color w:val="auto"/>
                <w:sz w:val="28"/>
                <w:szCs w:val="28"/>
                <w:highlight w:val="none"/>
                <w:u w:val="none"/>
                <w:vertAlign w:val="baseline"/>
                <w:lang w:val="en-US" w:eastAsia="zh-CN"/>
              </w:rPr>
              <w:t>22</w:t>
            </w:r>
          </w:p>
        </w:tc>
        <w:tc>
          <w:tcPr>
            <w:tcW w:w="2529" w:type="pct"/>
            <w:noWrap w:val="0"/>
            <w:vAlign w:val="center"/>
          </w:tcPr>
          <w:p w14:paraId="0114152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2"/>
                <w:sz w:val="28"/>
                <w:szCs w:val="28"/>
                <w:highlight w:val="none"/>
                <w:u w:val="none"/>
                <w:vertAlign w:val="baseline"/>
                <w:lang w:val="en-US" w:eastAsia="zh-CN" w:bidi="ar-SA"/>
              </w:rPr>
            </w:pPr>
            <w:r>
              <w:rPr>
                <w:rFonts w:hint="eastAsia" w:ascii="仿宋" w:hAnsi="仿宋" w:eastAsia="仿宋" w:cs="仿宋"/>
                <w:snapToGrid w:val="0"/>
                <w:color w:val="auto"/>
                <w:kern w:val="2"/>
                <w:sz w:val="28"/>
                <w:szCs w:val="28"/>
                <w:highlight w:val="none"/>
                <w:u w:val="none"/>
                <w:vertAlign w:val="baseline"/>
                <w:lang w:val="en-US" w:eastAsia="zh-CN" w:bidi="ar-SA"/>
              </w:rPr>
              <w:t>符合条件的公租房申请家庭三年内被保障率（%）</w:t>
            </w:r>
          </w:p>
        </w:tc>
        <w:tc>
          <w:tcPr>
            <w:tcW w:w="673" w:type="pct"/>
            <w:noWrap w:val="0"/>
            <w:vAlign w:val="center"/>
          </w:tcPr>
          <w:p w14:paraId="1BC77E5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227E9DC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144E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6A5D9DA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0F21D09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23</w:t>
            </w:r>
          </w:p>
        </w:tc>
        <w:tc>
          <w:tcPr>
            <w:tcW w:w="2529" w:type="pct"/>
            <w:noWrap w:val="0"/>
            <w:vAlign w:val="center"/>
          </w:tcPr>
          <w:p w14:paraId="16EA232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城乡C、D级危房（住房）管控整治率（%）</w:t>
            </w:r>
          </w:p>
        </w:tc>
        <w:tc>
          <w:tcPr>
            <w:tcW w:w="673" w:type="pct"/>
            <w:noWrap w:val="0"/>
            <w:vAlign w:val="center"/>
          </w:tcPr>
          <w:p w14:paraId="79F2252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达到100</w:t>
            </w:r>
          </w:p>
        </w:tc>
        <w:tc>
          <w:tcPr>
            <w:tcW w:w="777" w:type="pct"/>
            <w:noWrap w:val="0"/>
            <w:vAlign w:val="center"/>
          </w:tcPr>
          <w:p w14:paraId="41A732F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01D7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restart"/>
            <w:noWrap w:val="0"/>
            <w:vAlign w:val="center"/>
          </w:tcPr>
          <w:p w14:paraId="67FE732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建筑业</w:t>
            </w:r>
          </w:p>
        </w:tc>
        <w:tc>
          <w:tcPr>
            <w:tcW w:w="471" w:type="pct"/>
            <w:noWrap w:val="0"/>
            <w:vAlign w:val="center"/>
          </w:tcPr>
          <w:p w14:paraId="437D7F4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u w:val="none"/>
                <w:vertAlign w:val="baseline"/>
                <w:lang w:val="en-US" w:eastAsia="zh-CN"/>
              </w:rPr>
            </w:pPr>
            <w:r>
              <w:rPr>
                <w:rFonts w:hint="eastAsia" w:ascii="仿宋" w:hAnsi="仿宋" w:eastAsia="仿宋" w:cs="仿宋"/>
                <w:color w:val="auto"/>
                <w:sz w:val="28"/>
                <w:szCs w:val="28"/>
                <w:highlight w:val="none"/>
                <w:u w:val="none"/>
                <w:vertAlign w:val="baseline"/>
                <w:lang w:val="en-US" w:eastAsia="zh-CN"/>
              </w:rPr>
              <w:t>24</w:t>
            </w:r>
          </w:p>
        </w:tc>
        <w:tc>
          <w:tcPr>
            <w:tcW w:w="2529" w:type="pct"/>
            <w:noWrap w:val="0"/>
            <w:vAlign w:val="center"/>
          </w:tcPr>
          <w:p w14:paraId="294A8D8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u w:val="none"/>
                <w:vertAlign w:val="baseline"/>
                <w:lang w:val="en-US" w:eastAsia="zh-CN" w:bidi="ar-SA"/>
              </w:rPr>
            </w:pPr>
            <w:r>
              <w:rPr>
                <w:rFonts w:hint="eastAsia" w:ascii="仿宋" w:hAnsi="仿宋" w:eastAsia="仿宋" w:cs="仿宋"/>
                <w:color w:val="auto"/>
                <w:sz w:val="28"/>
                <w:szCs w:val="28"/>
                <w:highlight w:val="none"/>
                <w:u w:val="none"/>
                <w:vertAlign w:val="baseline"/>
                <w:lang w:val="en-US" w:eastAsia="zh-CN"/>
              </w:rPr>
              <w:t>建筑业总产值（亿元）</w:t>
            </w:r>
          </w:p>
        </w:tc>
        <w:tc>
          <w:tcPr>
            <w:tcW w:w="673" w:type="pct"/>
            <w:noWrap w:val="0"/>
            <w:vAlign w:val="center"/>
          </w:tcPr>
          <w:p w14:paraId="35E7B08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5</w:t>
            </w:r>
          </w:p>
        </w:tc>
        <w:tc>
          <w:tcPr>
            <w:tcW w:w="777" w:type="pct"/>
            <w:noWrap w:val="0"/>
            <w:vAlign w:val="center"/>
          </w:tcPr>
          <w:p w14:paraId="1C70914A">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7324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2DDDAFB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1DB85E5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u w:val="none"/>
                <w:vertAlign w:val="baseline"/>
                <w:lang w:val="en-US" w:eastAsia="zh-CN"/>
              </w:rPr>
            </w:pPr>
            <w:r>
              <w:rPr>
                <w:rFonts w:hint="eastAsia" w:ascii="仿宋" w:hAnsi="仿宋" w:eastAsia="仿宋" w:cs="仿宋"/>
                <w:color w:val="auto"/>
                <w:sz w:val="28"/>
                <w:szCs w:val="28"/>
                <w:highlight w:val="none"/>
                <w:u w:val="none"/>
                <w:vertAlign w:val="baseline"/>
                <w:lang w:val="en-US" w:eastAsia="zh-CN"/>
              </w:rPr>
              <w:t>25</w:t>
            </w:r>
          </w:p>
        </w:tc>
        <w:tc>
          <w:tcPr>
            <w:tcW w:w="2529" w:type="pct"/>
            <w:noWrap w:val="0"/>
            <w:vAlign w:val="center"/>
          </w:tcPr>
          <w:p w14:paraId="7689356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u w:val="none"/>
                <w:vertAlign w:val="baseline"/>
                <w:lang w:val="en-US" w:eastAsia="zh-CN" w:bidi="ar-SA"/>
              </w:rPr>
            </w:pPr>
            <w:r>
              <w:rPr>
                <w:rFonts w:hint="eastAsia" w:ascii="仿宋" w:hAnsi="仿宋" w:eastAsia="仿宋" w:cs="仿宋"/>
                <w:color w:val="auto"/>
                <w:kern w:val="2"/>
                <w:sz w:val="28"/>
                <w:szCs w:val="28"/>
                <w:highlight w:val="none"/>
                <w:u w:val="none"/>
                <w:vertAlign w:val="baseline"/>
                <w:lang w:val="en-US" w:eastAsia="zh-CN" w:bidi="ar-SA"/>
              </w:rPr>
              <w:t>新开工装配式建筑占新建建筑的比例（%）</w:t>
            </w:r>
          </w:p>
        </w:tc>
        <w:tc>
          <w:tcPr>
            <w:tcW w:w="673" w:type="pct"/>
            <w:noWrap w:val="0"/>
            <w:vAlign w:val="center"/>
          </w:tcPr>
          <w:p w14:paraId="696BC69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20</w:t>
            </w:r>
          </w:p>
        </w:tc>
        <w:tc>
          <w:tcPr>
            <w:tcW w:w="777" w:type="pct"/>
            <w:noWrap w:val="0"/>
            <w:vAlign w:val="center"/>
          </w:tcPr>
          <w:p w14:paraId="4C1ECFD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3CA0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DDAFA2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7C4D026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u w:val="none"/>
                <w:vertAlign w:val="baseline"/>
                <w:lang w:val="en-US" w:eastAsia="zh-CN"/>
              </w:rPr>
            </w:pPr>
            <w:r>
              <w:rPr>
                <w:rFonts w:hint="eastAsia" w:ascii="仿宋" w:hAnsi="仿宋" w:eastAsia="仿宋" w:cs="仿宋"/>
                <w:color w:val="auto"/>
                <w:sz w:val="28"/>
                <w:szCs w:val="28"/>
                <w:highlight w:val="none"/>
                <w:u w:val="none"/>
                <w:vertAlign w:val="baseline"/>
                <w:lang w:val="en-US" w:eastAsia="zh-CN"/>
              </w:rPr>
              <w:t>26</w:t>
            </w:r>
          </w:p>
        </w:tc>
        <w:tc>
          <w:tcPr>
            <w:tcW w:w="2529" w:type="pct"/>
            <w:noWrap w:val="0"/>
            <w:vAlign w:val="center"/>
          </w:tcPr>
          <w:p w14:paraId="3DE0419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u w:val="none"/>
                <w:vertAlign w:val="baseline"/>
                <w:lang w:val="en-US" w:eastAsia="zh-CN" w:bidi="ar-SA"/>
              </w:rPr>
            </w:pPr>
            <w:r>
              <w:rPr>
                <w:rFonts w:hint="eastAsia" w:ascii="仿宋" w:hAnsi="仿宋" w:eastAsia="仿宋" w:cs="仿宋"/>
                <w:snapToGrid w:val="0"/>
                <w:color w:val="auto"/>
                <w:kern w:val="0"/>
                <w:sz w:val="28"/>
                <w:szCs w:val="28"/>
                <w:highlight w:val="none"/>
                <w:u w:val="none"/>
                <w:vertAlign w:val="baseline"/>
                <w:lang w:val="en-US" w:eastAsia="zh-CN" w:bidi="ar-SA"/>
              </w:rPr>
              <w:t>智能建造工程项目覆盖率（%）</w:t>
            </w:r>
          </w:p>
        </w:tc>
        <w:tc>
          <w:tcPr>
            <w:tcW w:w="673" w:type="pct"/>
            <w:noWrap w:val="0"/>
            <w:vAlign w:val="center"/>
          </w:tcPr>
          <w:p w14:paraId="70580AD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10</w:t>
            </w:r>
          </w:p>
        </w:tc>
        <w:tc>
          <w:tcPr>
            <w:tcW w:w="777" w:type="pct"/>
            <w:noWrap w:val="0"/>
            <w:vAlign w:val="center"/>
          </w:tcPr>
          <w:p w14:paraId="56BA6D1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5C06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CA8FBC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40A23FC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strike w:val="0"/>
                <w:dstrike w:val="0"/>
                <w:color w:val="auto"/>
                <w:sz w:val="28"/>
                <w:szCs w:val="28"/>
                <w:highlight w:val="none"/>
                <w:u w:val="none"/>
                <w:vertAlign w:val="baseline"/>
                <w:lang w:val="en-US" w:eastAsia="zh-CN"/>
              </w:rPr>
            </w:pPr>
            <w:r>
              <w:rPr>
                <w:rFonts w:hint="eastAsia" w:ascii="仿宋" w:hAnsi="仿宋" w:eastAsia="仿宋" w:cs="仿宋"/>
                <w:strike w:val="0"/>
                <w:dstrike w:val="0"/>
                <w:color w:val="auto"/>
                <w:sz w:val="28"/>
                <w:szCs w:val="28"/>
                <w:highlight w:val="none"/>
                <w:u w:val="none"/>
                <w:vertAlign w:val="baseline"/>
                <w:lang w:val="en-US" w:eastAsia="zh-CN"/>
              </w:rPr>
              <w:t>27</w:t>
            </w:r>
          </w:p>
        </w:tc>
        <w:tc>
          <w:tcPr>
            <w:tcW w:w="2529" w:type="pct"/>
            <w:noWrap w:val="0"/>
            <w:vAlign w:val="center"/>
          </w:tcPr>
          <w:p w14:paraId="1AEBE97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trike w:val="0"/>
                <w:dstrike w:val="0"/>
                <w:color w:val="auto"/>
                <w:kern w:val="2"/>
                <w:sz w:val="28"/>
                <w:szCs w:val="28"/>
                <w:highlight w:val="none"/>
                <w:u w:val="none"/>
                <w:vertAlign w:val="baseline"/>
                <w:lang w:val="en-US" w:eastAsia="zh-CN" w:bidi="ar-SA"/>
              </w:rPr>
            </w:pPr>
            <w:r>
              <w:rPr>
                <w:rFonts w:hint="eastAsia" w:ascii="仿宋" w:hAnsi="仿宋" w:eastAsia="仿宋" w:cs="仿宋"/>
                <w:strike w:val="0"/>
                <w:dstrike w:val="0"/>
                <w:color w:val="auto"/>
                <w:sz w:val="28"/>
                <w:szCs w:val="28"/>
                <w:highlight w:val="none"/>
                <w:u w:val="none"/>
                <w:vertAlign w:val="baseline"/>
                <w:lang w:val="en-US" w:eastAsia="zh-CN"/>
              </w:rPr>
              <w:t>建筑业企业资质升级一（甲）级(家）</w:t>
            </w:r>
          </w:p>
        </w:tc>
        <w:tc>
          <w:tcPr>
            <w:tcW w:w="673" w:type="pct"/>
            <w:noWrap w:val="0"/>
            <w:vAlign w:val="center"/>
          </w:tcPr>
          <w:p w14:paraId="17E87FA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trike w:val="0"/>
                <w:dstrike w:val="0"/>
                <w:color w:val="auto"/>
                <w:kern w:val="2"/>
                <w:sz w:val="28"/>
                <w:szCs w:val="28"/>
                <w:highlight w:val="none"/>
                <w:u w:val="none"/>
                <w:vertAlign w:val="baseline"/>
                <w:lang w:val="en-US" w:eastAsia="zh-CN" w:bidi="ar-SA"/>
              </w:rPr>
            </w:pPr>
            <w:r>
              <w:rPr>
                <w:rFonts w:hint="eastAsia" w:ascii="仿宋" w:hAnsi="仿宋" w:eastAsia="仿宋" w:cs="仿宋"/>
                <w:strike w:val="0"/>
                <w:dstrike w:val="0"/>
                <w:color w:val="auto"/>
                <w:sz w:val="28"/>
                <w:szCs w:val="28"/>
                <w:highlight w:val="none"/>
                <w:u w:val="none"/>
                <w:vertAlign w:val="baseline"/>
                <w:lang w:val="en-US" w:eastAsia="zh-CN"/>
              </w:rPr>
              <w:t>1</w:t>
            </w:r>
          </w:p>
        </w:tc>
        <w:tc>
          <w:tcPr>
            <w:tcW w:w="777" w:type="pct"/>
            <w:noWrap w:val="0"/>
            <w:vAlign w:val="center"/>
          </w:tcPr>
          <w:p w14:paraId="1A471F7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trike w:val="0"/>
                <w:dstrike w:val="0"/>
                <w:color w:val="auto"/>
                <w:kern w:val="2"/>
                <w:sz w:val="28"/>
                <w:szCs w:val="28"/>
                <w:highlight w:val="none"/>
                <w:u w:val="none"/>
                <w:vertAlign w:val="baseline"/>
                <w:lang w:val="en-US" w:eastAsia="zh-CN" w:bidi="ar-SA"/>
              </w:rPr>
            </w:pPr>
            <w:r>
              <w:rPr>
                <w:rFonts w:hint="eastAsia" w:ascii="仿宋" w:hAnsi="仿宋" w:eastAsia="仿宋" w:cs="仿宋"/>
                <w:strike w:val="0"/>
                <w:dstrike w:val="0"/>
                <w:color w:val="auto"/>
                <w:sz w:val="28"/>
                <w:szCs w:val="28"/>
                <w:highlight w:val="none"/>
                <w:u w:val="none"/>
                <w:vertAlign w:val="baseline"/>
                <w:lang w:val="en-US" w:eastAsia="zh-CN"/>
              </w:rPr>
              <w:t>预期性</w:t>
            </w:r>
          </w:p>
        </w:tc>
      </w:tr>
      <w:tr w14:paraId="2F99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restart"/>
            <w:noWrap w:val="0"/>
            <w:vAlign w:val="center"/>
          </w:tcPr>
          <w:p w14:paraId="2B9ECD0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城乡融合发展</w:t>
            </w:r>
          </w:p>
        </w:tc>
        <w:tc>
          <w:tcPr>
            <w:tcW w:w="471" w:type="pct"/>
            <w:noWrap w:val="0"/>
            <w:vAlign w:val="center"/>
          </w:tcPr>
          <w:p w14:paraId="4AF5EE4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28</w:t>
            </w:r>
          </w:p>
        </w:tc>
        <w:tc>
          <w:tcPr>
            <w:tcW w:w="2529" w:type="pct"/>
            <w:noWrap w:val="0"/>
            <w:vAlign w:val="center"/>
          </w:tcPr>
          <w:p w14:paraId="68085C5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新增历史文化名镇名村及传统村落（个）</w:t>
            </w:r>
          </w:p>
        </w:tc>
        <w:tc>
          <w:tcPr>
            <w:tcW w:w="673" w:type="pct"/>
            <w:noWrap w:val="0"/>
            <w:vAlign w:val="center"/>
          </w:tcPr>
          <w:p w14:paraId="4EF55BA8">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5</w:t>
            </w:r>
          </w:p>
        </w:tc>
        <w:tc>
          <w:tcPr>
            <w:tcW w:w="777" w:type="pct"/>
            <w:noWrap w:val="0"/>
            <w:vAlign w:val="center"/>
          </w:tcPr>
          <w:p w14:paraId="341393D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344C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82E26F9">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241E983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29</w:t>
            </w:r>
          </w:p>
        </w:tc>
        <w:tc>
          <w:tcPr>
            <w:tcW w:w="2529" w:type="pct"/>
            <w:noWrap w:val="0"/>
            <w:vAlign w:val="center"/>
          </w:tcPr>
          <w:p w14:paraId="30CFAF8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0"/>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rPr>
              <w:t>历史建筑保护修缮（</w:t>
            </w:r>
            <w:r>
              <w:rPr>
                <w:rFonts w:hint="eastAsia" w:ascii="仿宋" w:hAnsi="仿宋" w:eastAsia="仿宋" w:cs="仿宋"/>
                <w:color w:val="auto"/>
                <w:sz w:val="28"/>
                <w:szCs w:val="28"/>
                <w:highlight w:val="none"/>
                <w:vertAlign w:val="baseline"/>
                <w:lang w:val="en-US" w:eastAsia="zh-CN"/>
              </w:rPr>
              <w:t>个</w:t>
            </w:r>
            <w:r>
              <w:rPr>
                <w:rFonts w:hint="eastAsia" w:ascii="仿宋" w:hAnsi="仿宋" w:eastAsia="仿宋" w:cs="仿宋"/>
                <w:color w:val="auto"/>
                <w:sz w:val="28"/>
                <w:szCs w:val="28"/>
                <w:highlight w:val="none"/>
                <w:vertAlign w:val="baseline"/>
              </w:rPr>
              <w:t>）</w:t>
            </w:r>
          </w:p>
        </w:tc>
        <w:tc>
          <w:tcPr>
            <w:tcW w:w="673" w:type="pct"/>
            <w:noWrap w:val="0"/>
            <w:vAlign w:val="center"/>
          </w:tcPr>
          <w:p w14:paraId="295508D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snapToGrid w:val="0"/>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50</w:t>
            </w:r>
          </w:p>
        </w:tc>
        <w:tc>
          <w:tcPr>
            <w:tcW w:w="777" w:type="pct"/>
            <w:noWrap w:val="0"/>
            <w:vAlign w:val="center"/>
          </w:tcPr>
          <w:p w14:paraId="2B0C9A79">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kern w:val="2"/>
                <w:sz w:val="28"/>
                <w:szCs w:val="28"/>
                <w:highlight w:val="none"/>
                <w:vertAlign w:val="baseline"/>
                <w:lang w:val="en-US" w:eastAsia="zh-CN" w:bidi="ar-SA"/>
              </w:rPr>
            </w:pPr>
            <w:r>
              <w:rPr>
                <w:rFonts w:hint="eastAsia" w:ascii="仿宋" w:hAnsi="仿宋" w:eastAsia="仿宋" w:cs="仿宋"/>
                <w:color w:val="auto"/>
                <w:sz w:val="28"/>
                <w:szCs w:val="28"/>
                <w:highlight w:val="none"/>
                <w:vertAlign w:val="baseline"/>
                <w:lang w:val="en-US" w:eastAsia="zh-CN"/>
              </w:rPr>
              <w:t>预期性</w:t>
            </w:r>
          </w:p>
        </w:tc>
      </w:tr>
      <w:tr w14:paraId="5737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7287B3E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7E63B5CB">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30</w:t>
            </w:r>
          </w:p>
        </w:tc>
        <w:tc>
          <w:tcPr>
            <w:tcW w:w="2529" w:type="pct"/>
            <w:noWrap w:val="0"/>
            <w:vAlign w:val="center"/>
          </w:tcPr>
          <w:p w14:paraId="5A8AD02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保护规划编制完成率（%）</w:t>
            </w:r>
          </w:p>
        </w:tc>
        <w:tc>
          <w:tcPr>
            <w:tcW w:w="673" w:type="pct"/>
            <w:noWrap w:val="0"/>
            <w:vAlign w:val="center"/>
          </w:tcPr>
          <w:p w14:paraId="56BC8127">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2A6F224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vertAlign w:val="baseline"/>
                <w:lang w:val="en-US" w:eastAsia="zh-CN"/>
              </w:rPr>
              <w:t>预期性</w:t>
            </w:r>
          </w:p>
        </w:tc>
      </w:tr>
      <w:tr w14:paraId="5E63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0D76724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rPr>
            </w:pPr>
          </w:p>
        </w:tc>
        <w:tc>
          <w:tcPr>
            <w:tcW w:w="471" w:type="pct"/>
            <w:noWrap w:val="0"/>
            <w:vAlign w:val="center"/>
          </w:tcPr>
          <w:p w14:paraId="720B2D5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31</w:t>
            </w:r>
          </w:p>
        </w:tc>
        <w:tc>
          <w:tcPr>
            <w:tcW w:w="2529" w:type="pct"/>
            <w:noWrap w:val="0"/>
            <w:vAlign w:val="center"/>
          </w:tcPr>
          <w:p w14:paraId="02BBB5C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培育传统建筑工匠（人）</w:t>
            </w:r>
          </w:p>
        </w:tc>
        <w:tc>
          <w:tcPr>
            <w:tcW w:w="673" w:type="pct"/>
            <w:noWrap w:val="0"/>
            <w:vAlign w:val="center"/>
          </w:tcPr>
          <w:p w14:paraId="78E2012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408998F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预期性</w:t>
            </w:r>
          </w:p>
        </w:tc>
      </w:tr>
      <w:tr w14:paraId="45F4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3EAD73D1">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1BB5FD1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32</w:t>
            </w:r>
          </w:p>
        </w:tc>
        <w:tc>
          <w:tcPr>
            <w:tcW w:w="2529" w:type="pct"/>
            <w:noWrap w:val="0"/>
            <w:vAlign w:val="center"/>
          </w:tcPr>
          <w:p w14:paraId="1A14904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农村生活垃圾收运处置体系覆盖率</w:t>
            </w:r>
          </w:p>
        </w:tc>
        <w:tc>
          <w:tcPr>
            <w:tcW w:w="673" w:type="pct"/>
            <w:noWrap w:val="0"/>
            <w:vAlign w:val="center"/>
          </w:tcPr>
          <w:p w14:paraId="540D019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100%</w:t>
            </w:r>
          </w:p>
        </w:tc>
        <w:tc>
          <w:tcPr>
            <w:tcW w:w="777" w:type="pct"/>
            <w:noWrap w:val="0"/>
            <w:vAlign w:val="center"/>
          </w:tcPr>
          <w:p w14:paraId="5148C40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约束性</w:t>
            </w:r>
          </w:p>
        </w:tc>
      </w:tr>
      <w:tr w14:paraId="46F0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38989855">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4FAB26DD">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33</w:t>
            </w:r>
          </w:p>
        </w:tc>
        <w:tc>
          <w:tcPr>
            <w:tcW w:w="2529" w:type="pct"/>
            <w:noWrap w:val="0"/>
            <w:vAlign w:val="center"/>
          </w:tcPr>
          <w:p w14:paraId="6D392BA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改造、新建公厕</w:t>
            </w:r>
          </w:p>
        </w:tc>
        <w:tc>
          <w:tcPr>
            <w:tcW w:w="673" w:type="pct"/>
            <w:noWrap w:val="0"/>
            <w:vAlign w:val="center"/>
          </w:tcPr>
          <w:p w14:paraId="3E9538E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15座</w:t>
            </w:r>
          </w:p>
        </w:tc>
        <w:tc>
          <w:tcPr>
            <w:tcW w:w="777" w:type="pct"/>
            <w:noWrap w:val="0"/>
            <w:vAlign w:val="center"/>
          </w:tcPr>
          <w:p w14:paraId="41350480">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预期性</w:t>
            </w:r>
          </w:p>
        </w:tc>
      </w:tr>
      <w:tr w14:paraId="3DE7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2C5DECD2">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36075786">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34</w:t>
            </w:r>
          </w:p>
        </w:tc>
        <w:tc>
          <w:tcPr>
            <w:tcW w:w="2529" w:type="pct"/>
            <w:noWrap w:val="0"/>
            <w:vAlign w:val="center"/>
          </w:tcPr>
          <w:p w14:paraId="0133509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改建高海拔地区问题厕所</w:t>
            </w:r>
          </w:p>
        </w:tc>
        <w:tc>
          <w:tcPr>
            <w:tcW w:w="673" w:type="pct"/>
            <w:noWrap w:val="0"/>
            <w:vAlign w:val="center"/>
          </w:tcPr>
          <w:p w14:paraId="26197DF4">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20座</w:t>
            </w:r>
          </w:p>
        </w:tc>
        <w:tc>
          <w:tcPr>
            <w:tcW w:w="777" w:type="pct"/>
            <w:noWrap w:val="0"/>
            <w:vAlign w:val="center"/>
          </w:tcPr>
          <w:p w14:paraId="33C506F3">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预期性</w:t>
            </w:r>
          </w:p>
        </w:tc>
      </w:tr>
      <w:tr w14:paraId="6BDD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Merge w:val="continue"/>
            <w:noWrap w:val="0"/>
            <w:vAlign w:val="center"/>
          </w:tcPr>
          <w:p w14:paraId="769D4A7F">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p>
        </w:tc>
        <w:tc>
          <w:tcPr>
            <w:tcW w:w="471" w:type="pct"/>
            <w:noWrap w:val="0"/>
            <w:vAlign w:val="center"/>
          </w:tcPr>
          <w:p w14:paraId="4FF848D9">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35</w:t>
            </w:r>
          </w:p>
        </w:tc>
        <w:tc>
          <w:tcPr>
            <w:tcW w:w="2529" w:type="pct"/>
            <w:noWrap w:val="0"/>
            <w:vAlign w:val="center"/>
          </w:tcPr>
          <w:p w14:paraId="2A1014CC">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建制镇生活污水集中处理率</w:t>
            </w:r>
            <w:r>
              <w:rPr>
                <w:rFonts w:hint="eastAsia" w:ascii="仿宋" w:hAnsi="仿宋" w:eastAsia="仿宋" w:cs="仿宋"/>
                <w:color w:val="auto"/>
                <w:sz w:val="28"/>
                <w:szCs w:val="28"/>
                <w:highlight w:val="none"/>
                <w:vertAlign w:val="baseline"/>
                <w:lang w:val="zh-CN"/>
              </w:rPr>
              <w:t>（</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zh-CN"/>
              </w:rPr>
              <w:t>）</w:t>
            </w:r>
          </w:p>
        </w:tc>
        <w:tc>
          <w:tcPr>
            <w:tcW w:w="673" w:type="pct"/>
            <w:noWrap w:val="0"/>
            <w:vAlign w:val="center"/>
          </w:tcPr>
          <w:p w14:paraId="423F26C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65</w:t>
            </w:r>
          </w:p>
        </w:tc>
        <w:tc>
          <w:tcPr>
            <w:tcW w:w="777" w:type="pct"/>
            <w:noWrap w:val="0"/>
            <w:vAlign w:val="center"/>
          </w:tcPr>
          <w:p w14:paraId="6BDDF05E">
            <w:pPr>
              <w:keepNext w:val="0"/>
              <w:keepLines w:val="0"/>
              <w:pageBreakBefore w:val="0"/>
              <w:widowControl w:val="0"/>
              <w:shd w:val="clear"/>
              <w:kinsoku/>
              <w:wordWrap/>
              <w:overflowPunct/>
              <w:topLinePunct w:val="0"/>
              <w:autoSpaceDE/>
              <w:autoSpaceDN/>
              <w:bidi w:val="0"/>
              <w:adjustRightInd/>
              <w:snapToGrid/>
              <w:spacing w:line="460" w:lineRule="exact"/>
              <w:ind w:firstLine="0" w:firstLineChars="0"/>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预期性</w:t>
            </w:r>
          </w:p>
        </w:tc>
      </w:tr>
    </w:tbl>
    <w:p w14:paraId="19CE299F">
      <w:pPr>
        <w:shd w:val="clea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br w:type="page"/>
      </w:r>
    </w:p>
    <w:p w14:paraId="23048D1B">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16" w:name="_Toc7757"/>
      <w:r>
        <w:rPr>
          <w:rFonts w:hint="eastAsia" w:ascii="方正小标宋简体" w:hAnsi="方正小标宋简体" w:eastAsia="方正小标宋简体" w:cs="方正小标宋简体"/>
          <w:color w:val="auto"/>
          <w:sz w:val="44"/>
          <w:szCs w:val="44"/>
          <w:lang w:val="en-US" w:eastAsia="zh-CN"/>
        </w:rPr>
        <w:t>第四章 优化城镇空间格局</w:t>
      </w:r>
      <w:bookmarkEnd w:id="16"/>
    </w:p>
    <w:p w14:paraId="54416FCA">
      <w:pPr>
        <w:keepNext w:val="0"/>
        <w:keepLines w:val="0"/>
        <w:pageBreakBefore w:val="0"/>
        <w:widowControl w:val="0"/>
        <w:shd w:val="clear"/>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color w:val="auto"/>
          <w:sz w:val="32"/>
          <w:szCs w:val="32"/>
          <w:highlight w:val="none"/>
          <w:u w:val="none"/>
          <w:lang w:val="en-US" w:eastAsia="zh-CN"/>
        </w:rPr>
      </w:pPr>
    </w:p>
    <w:p w14:paraId="3514C87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7" w:name="_Toc23142"/>
      <w:r>
        <w:rPr>
          <w:rFonts w:hint="eastAsia" w:ascii="黑体" w:hAnsi="黑体" w:eastAsia="黑体" w:cs="黑体"/>
          <w:b w:val="0"/>
          <w:bCs w:val="0"/>
          <w:color w:val="auto"/>
          <w:sz w:val="32"/>
          <w:szCs w:val="32"/>
          <w:lang w:val="en-US" w:eastAsia="zh-CN"/>
        </w:rPr>
        <w:t>一、夯实州府极核作用</w:t>
      </w:r>
      <w:bookmarkEnd w:id="17"/>
    </w:p>
    <w:p w14:paraId="6B1BFBF6">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立足阿坝州州府、区域中心城市核心定位，严格落实全州“一核两带四区多点”高质量区域协调发展新格局部署，充分发挥州府城市引领带动作用，全力做强“马尔康-松岗城镇”发展极核，凝聚区域发展合力。统筹整合老城、俄尔雅、卓克基、日瓦坝等重点片区资源禀赋，立足各片区区位特点与功能短板，以住建领域高质量发展为抓手，系统实施城市更新行动、片区品质提升工程、存量资源盘活利用、城市功能补链强链等重点工作。有序疏解老城非核心过载功能，优化城市空间结构，稳步推进新区空间布局优化、业态迭代升级，完善公共服务、市政基础、民生保障等配套设施。推动中心城区走集约高效发展之路，实现有机更新与功能提质增效双向发力，全面提升州府城市综合承载能力、辐射带动能力与宜居宜业水平，为打造高原特色名城、助推全州区域协调发展筑牢住建支撑。</w:t>
      </w:r>
    </w:p>
    <w:p w14:paraId="48AFA29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18" w:name="_Toc32187"/>
      <w:r>
        <w:rPr>
          <w:rFonts w:hint="eastAsia" w:ascii="黑体" w:hAnsi="黑体" w:eastAsia="黑体" w:cs="黑体"/>
          <w:b w:val="0"/>
          <w:bCs w:val="0"/>
          <w:color w:val="auto"/>
          <w:sz w:val="32"/>
          <w:szCs w:val="32"/>
          <w:lang w:val="en-US" w:eastAsia="zh-CN"/>
        </w:rPr>
        <w:t>二、强化中心镇能级提升</w:t>
      </w:r>
      <w:bookmarkEnd w:id="18"/>
    </w:p>
    <w:p w14:paraId="6A8E5C62">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对标四川省重点中心镇建设相关要求，立足国土空间乡镇功能定位，将沙尔宗镇、日部乡、白湾乡作为重点中心镇进行培育，打造辐射周边乡镇的城乡联动枢纽。聚焦中心镇短板弱项，完善沙尔宗镇927米河堤挡墙改建、2770米滨河步道及配套照明、公厕建设。完善中心镇市政管网、生态环境、公共服务、文旅配套体系，持续提升中心镇城镇人口承载、产业集聚、公共服务和辐射带动能力，打造功能完善、景城相融、城乡一体的高原新型城镇化与中心镇建设示范样板。持续补齐一般乡镇市政、环卫、照明、公共服务短板，形成“中心城区引领、重点中心镇支撑、全域乡镇联动”的梯度化城乡发展格局，积极争创1个省级重点中心镇。</w:t>
      </w:r>
    </w:p>
    <w:p w14:paraId="61CEFB8F">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b w:val="0"/>
          <w:bCs w:val="0"/>
          <w:color w:val="auto"/>
          <w:sz w:val="32"/>
          <w:szCs w:val="32"/>
          <w:highlight w:val="none"/>
          <w:u w:val="none"/>
          <w:lang w:val="en-US" w:eastAsia="zh-CN"/>
        </w:rPr>
      </w:pP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4F9635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63" w:hRule="atLeast"/>
        </w:trPr>
        <w:tc>
          <w:tcPr>
            <w:tcW w:w="8522" w:type="dxa"/>
            <w:tcBorders>
              <w:tl2br w:val="nil"/>
              <w:tr2bl w:val="nil"/>
            </w:tcBorders>
            <w:noWrap w:val="0"/>
            <w:vAlign w:val="top"/>
          </w:tcPr>
          <w:p w14:paraId="19DF462C">
            <w:pPr>
              <w:pStyle w:val="2"/>
              <w:keepNext w:val="0"/>
              <w:keepLines w:val="0"/>
              <w:pageBreakBefore w:val="0"/>
              <w:widowControl w:val="0"/>
              <w:shd w:val="clear"/>
              <w:kinsoku/>
              <w:wordWrap/>
              <w:overflowPunct/>
              <w:topLinePunct w:val="0"/>
              <w:autoSpaceDE/>
              <w:autoSpaceDN/>
              <w:bidi w:val="0"/>
              <w:adjustRightInd/>
              <w:snapToGrid/>
              <w:spacing w:after="0"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专栏1：中心镇建设</w:t>
            </w:r>
          </w:p>
          <w:p w14:paraId="7FFFA03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1.阿坝州马尔康市沙尔宗镇市政基础设施建设项目：</w:t>
            </w:r>
            <w:r>
              <w:rPr>
                <w:rFonts w:hint="eastAsia" w:ascii="仿宋" w:hAnsi="仿宋" w:eastAsia="仿宋" w:cs="仿宋"/>
                <w:b w:val="0"/>
                <w:bCs w:val="0"/>
                <w:color w:val="auto"/>
                <w:sz w:val="24"/>
                <w:szCs w:val="24"/>
                <w:highlight w:val="none"/>
                <w:u w:val="none"/>
                <w:lang w:val="en-US" w:eastAsia="zh-CN"/>
              </w:rPr>
              <w:t>改建原有河堤挡墙约900米；改建滨河步道约2500米及照明设施，配套建设公共厕所等附属设施。</w:t>
            </w:r>
          </w:p>
        </w:tc>
      </w:tr>
    </w:tbl>
    <w:p w14:paraId="738A04A2">
      <w:pPr>
        <w:shd w:val="clear"/>
        <w:bidi w:val="0"/>
        <w:rPr>
          <w:rFonts w:hint="eastAsia"/>
          <w:color w:val="auto"/>
          <w:lang w:eastAsia="zh-CN"/>
        </w:rPr>
      </w:pPr>
    </w:p>
    <w:p w14:paraId="1C118958">
      <w:pPr>
        <w:shd w:val="clear"/>
        <w:rPr>
          <w:rFonts w:hint="eastAsia" w:ascii="方正小标宋简体" w:hAnsi="方正小标宋简体" w:eastAsia="方正小标宋简体" w:cs="方正小标宋简体"/>
          <w:b w:val="0"/>
          <w:bCs w:val="0"/>
          <w:color w:val="auto"/>
          <w:sz w:val="44"/>
          <w:szCs w:val="44"/>
          <w:highlight w:val="none"/>
          <w:lang w:eastAsia="zh-CN"/>
        </w:rPr>
      </w:pPr>
      <w:r>
        <w:rPr>
          <w:rFonts w:hint="eastAsia" w:ascii="方正小标宋简体" w:hAnsi="方正小标宋简体" w:eastAsia="方正小标宋简体" w:cs="方正小标宋简体"/>
          <w:b w:val="0"/>
          <w:bCs w:val="0"/>
          <w:color w:val="auto"/>
          <w:sz w:val="44"/>
          <w:szCs w:val="44"/>
          <w:highlight w:val="none"/>
          <w:lang w:eastAsia="zh-CN"/>
        </w:rPr>
        <w:br w:type="page"/>
      </w:r>
    </w:p>
    <w:p w14:paraId="529D9476">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19" w:name="_Toc32717"/>
      <w:r>
        <w:rPr>
          <w:rFonts w:hint="eastAsia" w:ascii="方正小标宋简体" w:hAnsi="方正小标宋简体" w:eastAsia="方正小标宋简体" w:cs="方正小标宋简体"/>
          <w:color w:val="auto"/>
          <w:sz w:val="44"/>
          <w:szCs w:val="44"/>
          <w:lang w:val="en-US" w:eastAsia="zh-CN"/>
        </w:rPr>
        <w:t>第五章 深入推动城市更新</w:t>
      </w:r>
      <w:bookmarkEnd w:id="19"/>
    </w:p>
    <w:p w14:paraId="1E43DF16">
      <w:pPr>
        <w:keepNext w:val="0"/>
        <w:keepLines w:val="0"/>
        <w:pageBreakBefore w:val="0"/>
        <w:widowControl w:val="0"/>
        <w:shd w:val="clear"/>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color w:val="auto"/>
          <w:sz w:val="32"/>
          <w:szCs w:val="32"/>
          <w:highlight w:val="none"/>
          <w:u w:val="none"/>
          <w:lang w:val="en-US" w:eastAsia="zh-CN"/>
        </w:rPr>
      </w:pPr>
    </w:p>
    <w:p w14:paraId="4A75FAA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0" w:name="_Toc7320"/>
      <w:r>
        <w:rPr>
          <w:rFonts w:hint="eastAsia" w:ascii="黑体" w:hAnsi="黑体" w:eastAsia="黑体" w:cs="黑体"/>
          <w:b w:val="0"/>
          <w:bCs w:val="0"/>
          <w:color w:val="auto"/>
          <w:sz w:val="32"/>
          <w:szCs w:val="32"/>
          <w:lang w:val="en-US" w:eastAsia="zh-CN"/>
        </w:rPr>
        <w:t>一、强化城市功能定位</w:t>
      </w:r>
      <w:bookmarkEnd w:id="20"/>
    </w:p>
    <w:p w14:paraId="2CD1C303">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立足“一核三组团一轴七片区”发展格局，锚定“六地六城”目标，重点聚焦清洁能源产业、锂矿资源综合开发利用以及文旅深度融合发展三大核心领域。通过科学规划、系统布局，着力构建绿色低碳循环发展的产业体系，全面推进生态型现代化区域中心城市建设。充分发挥中心城市的辐射带动作用，不断提升城市能级和核心竞争力，努力打造成为引领全州经济社会发展的“首位城市”，树立高质量发展示范标杆。</w:t>
      </w:r>
    </w:p>
    <w:p w14:paraId="2B0860F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黑体" w:hAnsi="黑体" w:eastAsia="黑体" w:cs="黑体"/>
          <w:b w:val="0"/>
          <w:bCs w:val="0"/>
          <w:color w:val="auto"/>
          <w:sz w:val="32"/>
          <w:szCs w:val="32"/>
          <w:lang w:val="en-US" w:eastAsia="zh-CN"/>
        </w:rPr>
      </w:pPr>
      <w:bookmarkStart w:id="21" w:name="_Toc26535"/>
      <w:r>
        <w:rPr>
          <w:rFonts w:hint="eastAsia" w:ascii="黑体" w:hAnsi="黑体" w:eastAsia="黑体" w:cs="黑体"/>
          <w:b w:val="0"/>
          <w:bCs w:val="0"/>
          <w:color w:val="auto"/>
          <w:sz w:val="32"/>
          <w:szCs w:val="32"/>
          <w:lang w:val="en-US" w:eastAsia="zh-CN"/>
        </w:rPr>
        <w:t>二、协同推进城市体检与更新</w:t>
      </w:r>
      <w:bookmarkEnd w:id="21"/>
    </w:p>
    <w:p w14:paraId="3CC73FFA">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b w:val="0"/>
          <w:bCs w:val="0"/>
          <w:color w:val="auto"/>
          <w:sz w:val="32"/>
          <w:szCs w:val="32"/>
          <w:highlight w:val="none"/>
          <w:u w:val="none"/>
          <w:lang w:val="en-US" w:eastAsia="zh-CN"/>
        </w:rPr>
        <w:t>为全面提升马尔康市城市品质和功能，建立健全城市体检评估与城市更新改造协同推进的长效工作机制，系统化、常态化开展城市体检工作。通过多维度、多层次的精细化诊断分析，精准识别城市基础设施、公共服务、生态环境等领域的突出短板和薄弱环节，形成科学完整的</w:t>
      </w:r>
      <w:r>
        <w:rPr>
          <w:rFonts w:hint="eastAsia" w:ascii="仿宋" w:hAnsi="仿宋" w:eastAsia="仿宋" w:cs="仿宋"/>
          <w:color w:val="auto"/>
          <w:sz w:val="32"/>
          <w:szCs w:val="32"/>
          <w:highlight w:val="none"/>
          <w:lang w:val="en-US" w:eastAsia="zh-CN"/>
        </w:rPr>
        <w:t>城市短板问题清单与精细化修补项目储备库。在此基础上，结合城市发展实际需求，统筹考虑经济性、可行性和可持续性，科学编制具有针对性和可操作性的城市更新整治实施方案，确保城市更新工作有序推进、取得实效。构建“体检-更新-评估-提升”闭环机制，合理制定整治更新方案，结合城市体检成果形成问题清单、整治清单和城市更新项目库清单“三张清单”。</w:t>
      </w:r>
    </w:p>
    <w:p w14:paraId="42300217">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color w:val="auto"/>
          <w:sz w:val="32"/>
          <w:szCs w:val="32"/>
          <w:highlight w:val="none"/>
          <w:u w:val="none"/>
          <w:lang w:val="en-US" w:eastAsia="zh-CN"/>
        </w:rPr>
      </w:pPr>
    </w:p>
    <w:p w14:paraId="483A3CF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2" w:name="_Toc17111"/>
      <w:r>
        <w:rPr>
          <w:rFonts w:hint="eastAsia" w:ascii="黑体" w:hAnsi="黑体" w:eastAsia="黑体" w:cs="黑体"/>
          <w:b w:val="0"/>
          <w:bCs w:val="0"/>
          <w:color w:val="auto"/>
          <w:sz w:val="32"/>
          <w:szCs w:val="32"/>
          <w:lang w:val="en-US" w:eastAsia="zh-CN"/>
        </w:rPr>
        <w:t>三、加快老旧小区改造</w:t>
      </w:r>
      <w:bookmarkEnd w:id="22"/>
    </w:p>
    <w:p w14:paraId="5DD0AF3D">
      <w:pPr>
        <w:shd w:val="clear"/>
        <w:ind w:firstLine="64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进一步加大老旧小区综合改造工作力度，</w:t>
      </w:r>
      <w:r>
        <w:rPr>
          <w:rFonts w:hint="eastAsia" w:ascii="仿宋" w:hAnsi="仿宋" w:eastAsia="仿宋" w:cs="仿宋"/>
          <w:color w:val="auto"/>
          <w:sz w:val="32"/>
          <w:szCs w:val="32"/>
          <w:highlight w:val="none"/>
          <w:lang w:val="en-US" w:eastAsia="zh-CN"/>
        </w:rPr>
        <w:t>逐步将2005年以前的老旧小区纳入改造范围，推动老旧小区配套基础设施改造。</w:t>
      </w:r>
      <w:r>
        <w:rPr>
          <w:rFonts w:hint="eastAsia" w:ascii="仿宋" w:hAnsi="仿宋" w:eastAsia="仿宋" w:cs="仿宋"/>
          <w:color w:val="auto"/>
          <w:sz w:val="32"/>
          <w:szCs w:val="32"/>
          <w:highlight w:val="none"/>
          <w:lang w:eastAsia="zh-CN"/>
        </w:rPr>
        <w:t>重点对年久失修的供水、供电、燃气、供暖等地下管线进行全面更新改造，消除安全隐患。积极推进老旧住宅楼加装电梯工程，解决老年人上下楼难题，同步完善小区道路、绿化、照明、停车位等配套基础设施，全面提升小区居住品质。注重建立健全小区物业管理长效机制，通过引入专业物业公司或组建业主自治组织等方式，确保改造后的设施设备得到有效维护和管理，切实巩固改造成果，让居民长期受益。</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3F85F93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90" w:hRule="atLeast"/>
        </w:trPr>
        <w:tc>
          <w:tcPr>
            <w:tcW w:w="8522" w:type="dxa"/>
            <w:tcBorders>
              <w:tl2br w:val="nil"/>
              <w:tr2bl w:val="nil"/>
            </w:tcBorders>
            <w:noWrap w:val="0"/>
            <w:vAlign w:val="top"/>
          </w:tcPr>
          <w:p w14:paraId="3D2F0B36">
            <w:pPr>
              <w:pStyle w:val="2"/>
              <w:keepNext w:val="0"/>
              <w:keepLines w:val="0"/>
              <w:pageBreakBefore w:val="0"/>
              <w:widowControl w:val="0"/>
              <w:shd w:val="clear"/>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专栏2：老旧小区改造</w:t>
            </w:r>
          </w:p>
          <w:p w14:paraId="7FC79C7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1.阿坝州马尔康市城镇老旧小区配套基础设施改造项目</w:t>
            </w:r>
            <w:r>
              <w:rPr>
                <w:rFonts w:hint="eastAsia" w:ascii="仿宋" w:hAnsi="仿宋" w:eastAsia="仿宋" w:cs="仿宋"/>
                <w:b/>
                <w:bCs/>
                <w:color w:val="auto"/>
                <w:sz w:val="24"/>
                <w:szCs w:val="24"/>
                <w:highlight w:val="none"/>
                <w:u w:val="none"/>
                <w:lang w:val="en-US" w:eastAsia="zh-CN"/>
              </w:rPr>
              <w:tab/>
            </w:r>
            <w:r>
              <w:rPr>
                <w:rFonts w:hint="eastAsia" w:ascii="仿宋" w:hAnsi="仿宋" w:eastAsia="仿宋" w:cs="仿宋"/>
                <w:b/>
                <w:bCs/>
                <w:color w:val="auto"/>
                <w:sz w:val="24"/>
                <w:szCs w:val="24"/>
                <w:highlight w:val="none"/>
                <w:u w:val="none"/>
                <w:lang w:val="en-US" w:eastAsia="zh-CN"/>
              </w:rPr>
              <w:t>：</w:t>
            </w:r>
            <w:r>
              <w:rPr>
                <w:rFonts w:hint="eastAsia" w:ascii="仿宋" w:hAnsi="仿宋" w:eastAsia="仿宋" w:cs="仿宋"/>
                <w:b w:val="0"/>
                <w:bCs w:val="0"/>
                <w:color w:val="auto"/>
                <w:sz w:val="24"/>
                <w:szCs w:val="24"/>
                <w:highlight w:val="none"/>
                <w:u w:val="none"/>
                <w:lang w:val="en-US" w:eastAsia="zh-CN"/>
              </w:rPr>
              <w:t>包括小区内改造排水管网11.6千米，道路3.43万平方米，小区内通信线路整治4.5千米，停车场2.63万平方米，配套照明路灯、成品垃圾箱、监控系统、机动车充电桩等基础设施设备；与小区相关的城镇基础设施建设内容包括通信线路整治5.5千米等配套基础设施。</w:t>
            </w:r>
          </w:p>
          <w:p w14:paraId="0F5F98C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2.阿坝州马尔康市廉租房老旧小区配套基础设施改造项目：</w:t>
            </w:r>
            <w:r>
              <w:rPr>
                <w:rFonts w:hint="eastAsia" w:ascii="仿宋" w:hAnsi="仿宋" w:eastAsia="仿宋" w:cs="仿宋"/>
                <w:b w:val="0"/>
                <w:bCs w:val="0"/>
                <w:color w:val="auto"/>
                <w:sz w:val="24"/>
                <w:szCs w:val="24"/>
                <w:highlight w:val="none"/>
                <w:u w:val="none"/>
                <w:lang w:val="en-US" w:eastAsia="zh-CN"/>
              </w:rPr>
              <w:t>对大郎足沟6栋廉租房进行适老化提升改造。</w:t>
            </w:r>
          </w:p>
          <w:p w14:paraId="4616367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yellow"/>
                <w:u w:val="none"/>
                <w:lang w:val="en-US" w:eastAsia="zh-CN"/>
              </w:rPr>
              <w:t>3.马尔康市团结街老旧小区综合整治项目：</w:t>
            </w:r>
            <w:r>
              <w:rPr>
                <w:rFonts w:hint="eastAsia" w:ascii="仿宋" w:hAnsi="仿宋" w:eastAsia="仿宋" w:cs="仿宋"/>
                <w:b w:val="0"/>
                <w:bCs w:val="0"/>
                <w:color w:val="auto"/>
                <w:sz w:val="24"/>
                <w:szCs w:val="24"/>
                <w:highlight w:val="none"/>
                <w:u w:val="none"/>
                <w:lang w:val="en-US" w:eastAsia="zh-CN"/>
              </w:rPr>
              <w:t>对团结街老县委地块（人大政协综合楼、老县委办公区、部分住宿楼、原地震局等后山建筑）进行拆除；新建55000平方米建筑综合体，包含居民安置还建12000平方米、会议中心、商务、人防避灾等。</w:t>
            </w:r>
          </w:p>
        </w:tc>
      </w:tr>
    </w:tbl>
    <w:p w14:paraId="0E440C69">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color w:val="auto"/>
          <w:sz w:val="32"/>
          <w:szCs w:val="32"/>
          <w:highlight w:val="none"/>
          <w:u w:val="none"/>
          <w:lang w:val="en-US" w:eastAsia="zh-CN"/>
        </w:rPr>
      </w:pPr>
    </w:p>
    <w:p w14:paraId="0043D89D">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color w:val="auto"/>
          <w:sz w:val="32"/>
          <w:szCs w:val="32"/>
          <w:highlight w:val="none"/>
          <w:u w:val="none"/>
          <w:lang w:val="en-US" w:eastAsia="zh-CN"/>
        </w:rPr>
      </w:pPr>
    </w:p>
    <w:p w14:paraId="159F8F1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3" w:name="_Toc23068"/>
      <w:r>
        <w:rPr>
          <w:rFonts w:hint="eastAsia" w:ascii="黑体" w:hAnsi="黑体" w:eastAsia="黑体" w:cs="黑体"/>
          <w:b w:val="0"/>
          <w:bCs w:val="0"/>
          <w:color w:val="auto"/>
          <w:sz w:val="32"/>
          <w:szCs w:val="32"/>
          <w:lang w:val="en-US" w:eastAsia="zh-CN"/>
        </w:rPr>
        <w:t>四、推进完整社区建设</w:t>
      </w:r>
      <w:bookmarkEnd w:id="23"/>
    </w:p>
    <w:p w14:paraId="62EE9190">
      <w:pPr>
        <w:shd w:val="clear"/>
        <w:ind w:firstLine="64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围绕“一老一小”两大重点群体的实际需求，统筹推进社区及周边区域的适老化、适幼化改造升级，同步完善文化娱乐、休闲健身等公共服务设施配套，着力打造覆盖全年龄段、功能完善、便捷可达的城市一刻钟便民生活圈。对老年群体增设无障碍通道、扶手护栏、休息座椅等适老设施，为儿童群体配置安全游乐设施、亲子活动空间等适幼场所，同时合理布局社区书屋、文化活动站、健身步道、休闲广场等公共活动空间，通过多维度、全方位的设施建设，切实提升社区居民的生活品质和幸福指数。</w:t>
      </w:r>
    </w:p>
    <w:p w14:paraId="07EBC70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4" w:name="_Toc16386"/>
      <w:r>
        <w:rPr>
          <w:rFonts w:hint="eastAsia" w:ascii="黑体" w:hAnsi="黑体" w:eastAsia="黑体" w:cs="黑体"/>
          <w:b w:val="0"/>
          <w:bCs w:val="0"/>
          <w:color w:val="auto"/>
          <w:sz w:val="32"/>
          <w:szCs w:val="32"/>
          <w:lang w:val="en-US" w:eastAsia="zh-CN"/>
        </w:rPr>
        <w:t>五、加强既有建筑改造</w:t>
      </w:r>
      <w:bookmarkEnd w:id="24"/>
    </w:p>
    <w:p w14:paraId="422AA0BC">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sz w:val="32"/>
          <w:szCs w:val="32"/>
          <w:highlight w:val="none"/>
          <w:lang w:eastAsia="zh-CN"/>
        </w:rPr>
        <w:t>加快推进城乡建设领域节能减排工作，</w:t>
      </w:r>
      <w:r>
        <w:rPr>
          <w:rFonts w:hint="eastAsia" w:ascii="仿宋" w:hAnsi="仿宋" w:eastAsia="仿宋" w:cs="仿宋"/>
          <w:color w:val="auto"/>
          <w:sz w:val="32"/>
          <w:szCs w:val="32"/>
          <w:highlight w:val="none"/>
          <w:lang w:val="en-US" w:eastAsia="zh-CN"/>
        </w:rPr>
        <w:t>推动</w:t>
      </w:r>
      <w:r>
        <w:rPr>
          <w:rFonts w:hint="eastAsia" w:ascii="仿宋" w:hAnsi="仿宋" w:eastAsia="仿宋" w:cs="仿宋"/>
          <w:color w:val="auto"/>
          <w:sz w:val="32"/>
          <w:szCs w:val="32"/>
          <w:highlight w:val="none"/>
          <w:lang w:eastAsia="zh-CN"/>
        </w:rPr>
        <w:t>既有居住建筑和公共建筑的节能改造工程。实施建筑外墙保温、门窗更换、供暖系统优化等节能措施，</w:t>
      </w:r>
      <w:r>
        <w:rPr>
          <w:rFonts w:hint="eastAsia" w:ascii="仿宋" w:hAnsi="仿宋" w:eastAsia="仿宋" w:cs="仿宋"/>
          <w:color w:val="auto"/>
          <w:kern w:val="2"/>
          <w:sz w:val="32"/>
          <w:szCs w:val="32"/>
          <w:highlight w:val="none"/>
          <w:lang w:val="en-US" w:eastAsia="zh-CN" w:bidi="ar-SA"/>
        </w:rPr>
        <w:t>提升建筑能效水平，降低建筑运行能耗。重点</w:t>
      </w:r>
      <w:r>
        <w:rPr>
          <w:rFonts w:hint="eastAsia" w:ascii="仿宋" w:hAnsi="仿宋" w:eastAsia="仿宋" w:cs="仿宋"/>
          <w:color w:val="auto"/>
          <w:sz w:val="32"/>
          <w:szCs w:val="32"/>
          <w:highlight w:val="none"/>
          <w:lang w:val="en-US" w:eastAsia="zh-CN"/>
        </w:rPr>
        <w:t>推动团结街老旧房屋改造</w:t>
      </w:r>
      <w:r>
        <w:rPr>
          <w:rFonts w:hint="eastAsia" w:ascii="仿宋" w:hAnsi="仿宋" w:eastAsia="仿宋" w:cs="仿宋"/>
          <w:color w:val="auto"/>
          <w:kern w:val="2"/>
          <w:sz w:val="32"/>
          <w:szCs w:val="32"/>
          <w:highlight w:val="none"/>
          <w:lang w:val="en-US" w:eastAsia="zh-CN" w:bidi="ar-SA"/>
        </w:rPr>
        <w:t>这一民生工程，通过拆除重建、加固修缮等方式，彻底改善片区居民的居住条件和居住环境，消除房屋安全隐患，提升城市整体形象。</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166D761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trPr>
        <w:tc>
          <w:tcPr>
            <w:tcW w:w="8522" w:type="dxa"/>
            <w:tcBorders>
              <w:tl2br w:val="nil"/>
              <w:tr2bl w:val="nil"/>
            </w:tcBorders>
            <w:noWrap w:val="0"/>
            <w:vAlign w:val="top"/>
          </w:tcPr>
          <w:p w14:paraId="3E9C9FDD">
            <w:pPr>
              <w:pStyle w:val="2"/>
              <w:keepNext w:val="0"/>
              <w:keepLines w:val="0"/>
              <w:pageBreakBefore w:val="0"/>
              <w:widowControl w:val="0"/>
              <w:shd w:val="clear"/>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专栏3：既有建筑改造</w:t>
            </w:r>
          </w:p>
          <w:p w14:paraId="7753A76E">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1.阿坝州马尔康市既有高层民用建筑外墙外保温层更新项目：</w:t>
            </w:r>
            <w:r>
              <w:rPr>
                <w:rFonts w:hint="eastAsia" w:ascii="仿宋" w:hAnsi="仿宋" w:eastAsia="仿宋" w:cs="仿宋"/>
                <w:b w:val="0"/>
                <w:bCs w:val="0"/>
                <w:color w:val="auto"/>
                <w:sz w:val="24"/>
                <w:szCs w:val="24"/>
                <w:highlight w:val="none"/>
                <w:u w:val="none"/>
                <w:lang w:val="en-US" w:eastAsia="zh-CN"/>
              </w:rPr>
              <w:t>对城区既有高层民用建筑外墙外保温层进行加固修缮。</w:t>
            </w:r>
          </w:p>
        </w:tc>
      </w:tr>
    </w:tbl>
    <w:p w14:paraId="2FDE018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5" w:name="_Toc22690"/>
      <w:r>
        <w:rPr>
          <w:rFonts w:hint="eastAsia" w:ascii="黑体" w:hAnsi="黑体" w:eastAsia="黑体" w:cs="黑体"/>
          <w:b w:val="0"/>
          <w:bCs w:val="0"/>
          <w:color w:val="auto"/>
          <w:sz w:val="32"/>
          <w:szCs w:val="32"/>
          <w:lang w:val="en-US" w:eastAsia="zh-CN"/>
        </w:rPr>
        <w:t>六、推进老旧街区更新</w:t>
      </w:r>
      <w:bookmarkEnd w:id="25"/>
    </w:p>
    <w:p w14:paraId="66972FC6">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为全面提升城市商业活力与消费体验，重点推进商业步行街和传统商业街区的改造升级工程。系统性地完善基础设施配套，包括增设休憩设施、优化导视系统、提升照明品质等；科学规划交通组织，合理设置机动车与非机动车停放区域，优化人车分流方案；提升公共空间品质，通过景观绿化、艺术装置、互动设施等元素的植入，打造更具吸引力的城市客厅；引入更多元化的品牌组合，培育特色小店，发展首店经济，形成差异化竞争优势。通过文化IP植入、主题活动策划等方式，为城市更新注入新的活力，实现商业、文化、旅游的融合发展。</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08FA458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01" w:hRule="atLeast"/>
        </w:trPr>
        <w:tc>
          <w:tcPr>
            <w:tcW w:w="8522" w:type="dxa"/>
            <w:tcBorders>
              <w:tl2br w:val="nil"/>
              <w:tr2bl w:val="nil"/>
            </w:tcBorders>
            <w:noWrap w:val="0"/>
            <w:vAlign w:val="top"/>
          </w:tcPr>
          <w:p w14:paraId="53678478">
            <w:pPr>
              <w:pStyle w:val="2"/>
              <w:keepNext w:val="0"/>
              <w:keepLines w:val="0"/>
              <w:pageBreakBefore w:val="0"/>
              <w:widowControl w:val="0"/>
              <w:shd w:val="clear"/>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专栏4：老旧街区更新</w:t>
            </w:r>
          </w:p>
          <w:p w14:paraId="1FA9E126">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1.阿坝州马尔康市马江街片区城市危旧房改造项目</w:t>
            </w:r>
            <w:r>
              <w:rPr>
                <w:rFonts w:hint="eastAsia"/>
                <w:color w:val="auto"/>
                <w:highlight w:val="none"/>
                <w:lang w:eastAsia="zh-CN"/>
              </w:rPr>
              <w:t>：</w:t>
            </w:r>
            <w:r>
              <w:rPr>
                <w:rFonts w:hint="eastAsia" w:ascii="仿宋" w:hAnsi="仿宋" w:eastAsia="仿宋" w:cs="仿宋"/>
                <w:b w:val="0"/>
                <w:bCs w:val="0"/>
                <w:color w:val="auto"/>
                <w:sz w:val="24"/>
                <w:szCs w:val="24"/>
                <w:highlight w:val="none"/>
                <w:u w:val="none"/>
                <w:lang w:val="en-US" w:eastAsia="zh-CN"/>
              </w:rPr>
              <w:t>新建商业综合体（克莎秘境商业综合体）及配套基础设施、绿道、应急避难广场、停车场等。</w:t>
            </w:r>
          </w:p>
          <w:p w14:paraId="74D95F8C">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2.阿坝州马尔康市城市背街小巷更新改造提升整治：</w:t>
            </w:r>
            <w:r>
              <w:rPr>
                <w:rFonts w:hint="eastAsia" w:ascii="仿宋" w:hAnsi="仿宋" w:eastAsia="仿宋" w:cs="仿宋"/>
                <w:b w:val="0"/>
                <w:bCs w:val="0"/>
                <w:color w:val="auto"/>
                <w:sz w:val="24"/>
                <w:szCs w:val="24"/>
                <w:highlight w:val="none"/>
                <w:u w:val="none"/>
                <w:lang w:val="en-US" w:eastAsia="zh-CN"/>
              </w:rPr>
              <w:t>主城区背街小巷建筑保温层改造，绿化、照明、供电、消防、停车棚等基础设施及公共服务设施建设。</w:t>
            </w:r>
          </w:p>
        </w:tc>
      </w:tr>
    </w:tbl>
    <w:p w14:paraId="2747B02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6" w:name="_Toc1916"/>
      <w:r>
        <w:rPr>
          <w:rFonts w:hint="eastAsia" w:ascii="黑体" w:hAnsi="黑体" w:eastAsia="黑体" w:cs="黑体"/>
          <w:b w:val="0"/>
          <w:bCs w:val="0"/>
          <w:color w:val="auto"/>
          <w:sz w:val="32"/>
          <w:szCs w:val="32"/>
          <w:lang w:val="en-US" w:eastAsia="zh-CN"/>
        </w:rPr>
        <w:t>七、积极推动城中村改造</w:t>
      </w:r>
      <w:bookmarkEnd w:id="26"/>
    </w:p>
    <w:p w14:paraId="010B2B46">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针对重点区域，科学制定“城中村”改造年度实施计划，明确目标任务和时间节点，重点</w:t>
      </w:r>
      <w:r>
        <w:rPr>
          <w:rFonts w:hint="eastAsia" w:ascii="仿宋" w:hAnsi="仿宋" w:eastAsia="仿宋" w:cs="仿宋"/>
          <w:color w:val="auto"/>
          <w:sz w:val="32"/>
          <w:szCs w:val="32"/>
          <w:highlight w:val="none"/>
          <w:lang w:val="en-US" w:eastAsia="zh-CN"/>
        </w:rPr>
        <w:t>推进大郎足沟片区、三家寨后山城中村等改造项目。按照“整体规划、分步实施”的原则，统筹推进基础设施改造、环境整治提升和公共服务配套建设，着力改善居民生活环境，提升城市品质。同时，建立健全长效管理机制，巩固改造成果，实现城中村面貌的整体提升和可持续发展。</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0FF672B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56" w:hRule="atLeast"/>
        </w:trPr>
        <w:tc>
          <w:tcPr>
            <w:tcW w:w="8522" w:type="dxa"/>
            <w:tcBorders>
              <w:tl2br w:val="nil"/>
              <w:tr2bl w:val="nil"/>
            </w:tcBorders>
            <w:noWrap w:val="0"/>
            <w:vAlign w:val="top"/>
          </w:tcPr>
          <w:p w14:paraId="2A2A2F8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专栏5：城中村改造</w:t>
            </w:r>
          </w:p>
          <w:p w14:paraId="04D2ADF7">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阿坝州马尔康市阿底片区城中村改造提升项目</w:t>
            </w:r>
            <w:r>
              <w:rPr>
                <w:rFonts w:hint="eastAsia" w:ascii="仿宋" w:hAnsi="仿宋" w:eastAsia="仿宋" w:cs="仿宋"/>
                <w:b w:val="0"/>
                <w:bCs w:val="0"/>
                <w:color w:val="auto"/>
                <w:sz w:val="24"/>
                <w:szCs w:val="24"/>
                <w:highlight w:val="none"/>
                <w:u w:val="none"/>
                <w:lang w:val="en-US" w:eastAsia="zh-CN"/>
              </w:rPr>
              <w:t>：对阿底片区105户城中村房屋进行提升改造，配套管网、道路、公厕等基础设施。</w:t>
            </w:r>
          </w:p>
          <w:p w14:paraId="7B55A202">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阿坝州马尔康市大郎足沟片区城中村改造项目：</w:t>
            </w:r>
            <w:r>
              <w:rPr>
                <w:rFonts w:hint="eastAsia" w:ascii="仿宋" w:hAnsi="仿宋" w:eastAsia="仿宋" w:cs="仿宋"/>
                <w:b w:val="0"/>
                <w:bCs w:val="0"/>
                <w:color w:val="auto"/>
                <w:sz w:val="24"/>
                <w:szCs w:val="24"/>
                <w:highlight w:val="none"/>
                <w:u w:val="none"/>
                <w:lang w:val="en-US" w:eastAsia="zh-CN"/>
              </w:rPr>
              <w:t>危旧房屋拆迁还建，实施供排水改造，雨污分流等地下管网，恢复市政道路等市政基础设施、生态修复、沿街建筑立面节能改造等。</w:t>
            </w:r>
          </w:p>
          <w:p w14:paraId="3D60388B">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马尔康市日瓦坝新区城中村改造项目：</w:t>
            </w:r>
            <w:r>
              <w:rPr>
                <w:rFonts w:hint="eastAsia" w:ascii="仿宋" w:hAnsi="仿宋" w:eastAsia="仿宋" w:cs="仿宋"/>
                <w:b w:val="0"/>
                <w:bCs w:val="0"/>
                <w:color w:val="auto"/>
                <w:sz w:val="24"/>
                <w:szCs w:val="24"/>
                <w:highlight w:val="none"/>
                <w:u w:val="none"/>
                <w:lang w:val="en-US" w:eastAsia="zh-CN"/>
              </w:rPr>
              <w:t>本项目拟对日瓦坝新区内的城中村区域进行更新改造提升，拆除并新建63户城中村房屋，配套给排水、强弱电等基础设施。</w:t>
            </w:r>
          </w:p>
          <w:p w14:paraId="5B35A5C2">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阿坝州马尔康市三家寨后山城中村改造项目</w:t>
            </w:r>
            <w:r>
              <w:rPr>
                <w:rFonts w:hint="eastAsia" w:ascii="仿宋" w:hAnsi="仿宋" w:eastAsia="仿宋" w:cs="仿宋"/>
                <w:b w:val="0"/>
                <w:bCs w:val="0"/>
                <w:color w:val="auto"/>
                <w:sz w:val="24"/>
                <w:szCs w:val="24"/>
                <w:highlight w:val="none"/>
                <w:u w:val="none"/>
                <w:lang w:val="en-US" w:eastAsia="zh-CN"/>
              </w:rPr>
              <w:t>：对片区内130户（公墓沟至憩宫）城中村老旧房屋进行综合整治，并完善配套基础设施建设。</w:t>
            </w:r>
          </w:p>
          <w:p w14:paraId="7B82E34C">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阿坝州马尔康市俄尔雅农贸市场及配套设施建设项目：</w:t>
            </w:r>
            <w:r>
              <w:rPr>
                <w:rFonts w:hint="eastAsia" w:ascii="仿宋" w:hAnsi="仿宋" w:eastAsia="仿宋" w:cs="仿宋"/>
                <w:b w:val="0"/>
                <w:bCs w:val="0"/>
                <w:color w:val="auto"/>
                <w:sz w:val="24"/>
                <w:szCs w:val="24"/>
                <w:highlight w:val="none"/>
                <w:u w:val="none"/>
                <w:lang w:val="en-US" w:eastAsia="zh-CN"/>
              </w:rPr>
              <w:t>新建农贸商业综合体2栋，建筑面积15000平方米（包含地下停车场）。</w:t>
            </w:r>
          </w:p>
        </w:tc>
      </w:tr>
    </w:tbl>
    <w:p w14:paraId="748526D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7" w:name="_Toc18863"/>
      <w:r>
        <w:rPr>
          <w:rFonts w:hint="eastAsia" w:ascii="黑体" w:hAnsi="黑体" w:eastAsia="黑体" w:cs="黑体"/>
          <w:b w:val="0"/>
          <w:bCs w:val="0"/>
          <w:color w:val="auto"/>
          <w:sz w:val="32"/>
          <w:szCs w:val="32"/>
          <w:lang w:val="en-US" w:eastAsia="zh-CN"/>
        </w:rPr>
        <w:t>八、推动公共空间优化升级</w:t>
      </w:r>
      <w:bookmarkEnd w:id="27"/>
    </w:p>
    <w:p w14:paraId="52C0E241">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利用腾退空间、桥下空间等零散闲置空间，打造广场绿地、休闲公园等小型便民开放空间，增加社区公园和口袋公园，推动公园绿地开放共享。</w:t>
      </w:r>
      <w:r>
        <w:rPr>
          <w:rFonts w:hint="eastAsia" w:ascii="仿宋" w:hAnsi="仿宋" w:eastAsia="仿宋" w:cs="仿宋"/>
          <w:color w:val="auto"/>
          <w:sz w:val="32"/>
          <w:szCs w:val="32"/>
          <w:highlight w:val="none"/>
          <w:lang w:eastAsia="zh-CN"/>
        </w:rPr>
        <w:t>推进城市微小公共空间的整治与提升，</w:t>
      </w:r>
      <w:r>
        <w:rPr>
          <w:rFonts w:hint="eastAsia" w:ascii="仿宋" w:hAnsi="仿宋" w:eastAsia="仿宋" w:cs="仿宋"/>
          <w:color w:val="auto"/>
          <w:sz w:val="32"/>
          <w:szCs w:val="32"/>
          <w:highlight w:val="none"/>
          <w:lang w:val="en-US" w:eastAsia="zh-CN"/>
        </w:rPr>
        <w:t>推动嘉缘广场、俄尔雅滨水文化长廊、嶂恰岭公园栈道等改造提升项目的实施。融合地方特色文化元素，打造具有辨识度的城市景观节点，提升整体视觉效果与文化氛围。注重无障碍设施的精细化设计与全面覆盖，确保各类人群都能便捷地享受公共空间服务，增强市民的幸福感与归属感。鼓励多元市场化主体提供多样化的共享空间，推动公共空间一体化精细治理。</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2940937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320B6E1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专栏6：公共空间优化升级</w:t>
            </w:r>
          </w:p>
          <w:p w14:paraId="2F6E96A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1.阿坝州马尔康市县建片区公共空间改造利用项目</w:t>
            </w:r>
            <w:r>
              <w:rPr>
                <w:rFonts w:hint="eastAsia" w:ascii="仿宋" w:hAnsi="仿宋" w:eastAsia="仿宋" w:cs="仿宋"/>
                <w:b w:val="0"/>
                <w:bCs w:val="0"/>
                <w:color w:val="auto"/>
                <w:sz w:val="24"/>
                <w:szCs w:val="24"/>
                <w:highlight w:val="none"/>
                <w:u w:val="none"/>
                <w:lang w:val="en-US" w:eastAsia="zh-CN"/>
              </w:rPr>
              <w:t>：对县建片区至天怡宾馆段公共区域改造2000㎡及配套设施建设。</w:t>
            </w:r>
          </w:p>
          <w:p w14:paraId="07DB3B4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2.阿坝州马尔康市嶂恰岭公园栈道建设项目</w:t>
            </w:r>
            <w:r>
              <w:rPr>
                <w:rFonts w:hint="eastAsia" w:ascii="仿宋" w:hAnsi="仿宋" w:eastAsia="仿宋" w:cs="仿宋"/>
                <w:b w:val="0"/>
                <w:bCs w:val="0"/>
                <w:color w:val="auto"/>
                <w:sz w:val="24"/>
                <w:szCs w:val="24"/>
                <w:highlight w:val="none"/>
                <w:u w:val="none"/>
                <w:lang w:val="en-US" w:eastAsia="zh-CN"/>
              </w:rPr>
              <w:t>：沿途休息亭子3个，椅子5个；西边从烈士陵园、达萨街277号到公园健身平台总长度1383米，沿途亭子三个，椅子7个，嶂恰公园东西环绕窄道新建共合计长，2122.6米。</w:t>
            </w:r>
          </w:p>
          <w:p w14:paraId="0D1FE56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3.阿坝州马尔康市滨河健身步道改造提升项目：</w:t>
            </w:r>
            <w:r>
              <w:rPr>
                <w:rFonts w:hint="eastAsia" w:ascii="仿宋" w:hAnsi="仿宋" w:eastAsia="仿宋" w:cs="仿宋"/>
                <w:b w:val="0"/>
                <w:bCs w:val="0"/>
                <w:color w:val="auto"/>
                <w:sz w:val="24"/>
                <w:szCs w:val="24"/>
                <w:highlight w:val="none"/>
                <w:u w:val="none"/>
                <w:lang w:val="en-US" w:eastAsia="zh-CN"/>
              </w:rPr>
              <w:t>日瓦坝长征学校至俄尔雅长征干部学校滨河健身步道及户外运动公共服务设施提升改造。</w:t>
            </w:r>
          </w:p>
          <w:p w14:paraId="3CDC6BA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8.</w:t>
            </w:r>
            <w:r>
              <w:rPr>
                <w:rFonts w:hint="default" w:ascii="仿宋" w:hAnsi="仿宋" w:eastAsia="仿宋" w:cs="仿宋"/>
                <w:b/>
                <w:bCs/>
                <w:color w:val="auto"/>
                <w:sz w:val="24"/>
                <w:szCs w:val="24"/>
                <w:highlight w:val="none"/>
                <w:u w:val="none"/>
                <w:lang w:val="en-US" w:eastAsia="zh-CN"/>
              </w:rPr>
              <w:t>阿坝州马尔康市马尔康镇日瓦坝至俄尔雅步道环线建设项目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新建马尔康镇日瓦坝至俄尔雅步道环线建设项目</w:t>
            </w:r>
            <w:r>
              <w:rPr>
                <w:rFonts w:hint="eastAsia" w:ascii="仿宋" w:hAnsi="仿宋" w:eastAsia="仿宋" w:cs="仿宋"/>
                <w:b w:val="0"/>
                <w:bCs w:val="0"/>
                <w:color w:val="auto"/>
                <w:sz w:val="24"/>
                <w:szCs w:val="24"/>
                <w:highlight w:val="none"/>
                <w:u w:val="none"/>
                <w:lang w:val="en-US" w:eastAsia="zh-CN"/>
              </w:rPr>
              <w:t>。</w:t>
            </w:r>
          </w:p>
          <w:p w14:paraId="56DDAA6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4.阿坝州马尔康市梭磨河下游段环境综合治理项目：</w:t>
            </w:r>
            <w:r>
              <w:rPr>
                <w:rFonts w:hint="eastAsia" w:ascii="仿宋" w:hAnsi="仿宋" w:eastAsia="仿宋" w:cs="仿宋"/>
                <w:b w:val="0"/>
                <w:bCs w:val="0"/>
                <w:color w:val="auto"/>
                <w:sz w:val="24"/>
                <w:szCs w:val="24"/>
                <w:highlight w:val="none"/>
                <w:u w:val="none"/>
                <w:lang w:val="en-US" w:eastAsia="zh-CN"/>
              </w:rPr>
              <w:t>G248沿线英波格-松岗段（英波格-松岗段）建筑立面整治、门前屋后环境提升、沿路老旧围墙整治提升。</w:t>
            </w:r>
          </w:p>
          <w:p w14:paraId="6F886D1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5.阿坝州马尔康市街心花园大桥至城关中桥公共空间改造利用项目：</w:t>
            </w:r>
            <w:r>
              <w:rPr>
                <w:rFonts w:hint="eastAsia" w:ascii="仿宋" w:hAnsi="仿宋" w:eastAsia="仿宋" w:cs="仿宋"/>
                <w:b w:val="0"/>
                <w:bCs w:val="0"/>
                <w:color w:val="auto"/>
                <w:sz w:val="24"/>
                <w:szCs w:val="24"/>
                <w:highlight w:val="none"/>
                <w:u w:val="none"/>
                <w:lang w:val="en-US" w:eastAsia="zh-CN"/>
              </w:rPr>
              <w:t>对街心花园大桥至城关中桥公共区域改造约20000㎡及配套设施建设。</w:t>
            </w:r>
          </w:p>
          <w:p w14:paraId="39B27A0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6.阿坝州马尔康市达萨街城市生态修复项目</w:t>
            </w:r>
            <w:r>
              <w:rPr>
                <w:rFonts w:hint="eastAsia" w:ascii="仿宋" w:hAnsi="仿宋" w:eastAsia="仿宋" w:cs="仿宋"/>
                <w:b w:val="0"/>
                <w:bCs w:val="0"/>
                <w:color w:val="auto"/>
                <w:sz w:val="24"/>
                <w:szCs w:val="24"/>
                <w:highlight w:val="none"/>
                <w:u w:val="none"/>
                <w:lang w:val="en-US" w:eastAsia="zh-CN"/>
              </w:rPr>
              <w:t>：在达萨街实施约6400平方米生态修复。</w:t>
            </w:r>
          </w:p>
          <w:p w14:paraId="0FD30A3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7.马尔康市嘉缘广场配套便民服务用房项目：</w:t>
            </w:r>
            <w:r>
              <w:rPr>
                <w:rFonts w:hint="eastAsia" w:ascii="仿宋" w:hAnsi="仿宋" w:eastAsia="仿宋" w:cs="仿宋"/>
                <w:b w:val="0"/>
                <w:bCs w:val="0"/>
                <w:color w:val="auto"/>
                <w:sz w:val="24"/>
                <w:szCs w:val="24"/>
                <w:highlight w:val="none"/>
                <w:u w:val="none"/>
                <w:lang w:val="en-US" w:eastAsia="zh-CN"/>
              </w:rPr>
              <w:t>嘉缘广场景观配套用房176平方米。</w:t>
            </w:r>
          </w:p>
          <w:p w14:paraId="49D5AB0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8.马尔康日瓦坝大桥两岸整治项目：</w:t>
            </w:r>
            <w:r>
              <w:rPr>
                <w:rFonts w:hint="eastAsia" w:ascii="仿宋" w:hAnsi="仿宋" w:eastAsia="仿宋" w:cs="仿宋"/>
                <w:b w:val="0"/>
                <w:bCs w:val="0"/>
                <w:color w:val="auto"/>
                <w:sz w:val="24"/>
                <w:szCs w:val="24"/>
                <w:highlight w:val="none"/>
                <w:u w:val="none"/>
                <w:lang w:val="en-US" w:eastAsia="zh-CN"/>
              </w:rPr>
              <w:t>日瓦坝大桥两岸堡坎空间梳理、微景观打造、夜间亮化等。</w:t>
            </w:r>
          </w:p>
          <w:p w14:paraId="7AF2556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9.马尔康市阿底村高速路口挡墙整治项目：</w:t>
            </w:r>
            <w:r>
              <w:rPr>
                <w:rFonts w:hint="eastAsia" w:ascii="仿宋" w:hAnsi="仿宋" w:eastAsia="仿宋" w:cs="仿宋"/>
                <w:b w:val="0"/>
                <w:bCs w:val="0"/>
                <w:color w:val="auto"/>
                <w:sz w:val="24"/>
                <w:szCs w:val="24"/>
                <w:highlight w:val="none"/>
                <w:u w:val="none"/>
                <w:lang w:val="en-US" w:eastAsia="zh-CN"/>
              </w:rPr>
              <w:t>对阿底村高速路口对面挡墙进行提升整治。</w:t>
            </w:r>
          </w:p>
          <w:p w14:paraId="7885F47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10.马尔康市城市品质提升-双拥广场生态修复项目</w:t>
            </w:r>
            <w:r>
              <w:rPr>
                <w:rFonts w:hint="eastAsia" w:ascii="仿宋" w:hAnsi="仿宋" w:eastAsia="仿宋" w:cs="仿宋"/>
                <w:b w:val="0"/>
                <w:bCs w:val="0"/>
                <w:color w:val="auto"/>
                <w:sz w:val="24"/>
                <w:szCs w:val="24"/>
                <w:highlight w:val="none"/>
                <w:u w:val="none"/>
                <w:lang w:val="en-US" w:eastAsia="zh-CN"/>
              </w:rPr>
              <w:t>：双拥广场场地平整及绿化种植。</w:t>
            </w:r>
          </w:p>
          <w:p w14:paraId="25B3DCD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11.马尔康市城区河道护栏及GRC治理项目：</w:t>
            </w:r>
            <w:r>
              <w:rPr>
                <w:rFonts w:hint="eastAsia" w:ascii="仿宋" w:hAnsi="仿宋" w:eastAsia="仿宋" w:cs="仿宋"/>
                <w:b w:val="0"/>
                <w:bCs w:val="0"/>
                <w:color w:val="auto"/>
                <w:sz w:val="24"/>
                <w:szCs w:val="24"/>
                <w:highlight w:val="none"/>
                <w:u w:val="none"/>
                <w:lang w:val="en-US" w:eastAsia="zh-CN"/>
              </w:rPr>
              <w:t>主城区护栏、栏杆修复治理3公里；GRC板提升改造7公里。</w:t>
            </w:r>
          </w:p>
          <w:p w14:paraId="69ACA58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12.阿坝州马尔康市俄尔雅滨水文化长廊改造提升项目：</w:t>
            </w:r>
            <w:r>
              <w:rPr>
                <w:rFonts w:hint="eastAsia" w:ascii="仿宋" w:hAnsi="仿宋" w:eastAsia="仿宋" w:cs="仿宋"/>
                <w:b w:val="0"/>
                <w:bCs w:val="0"/>
                <w:color w:val="auto"/>
                <w:sz w:val="24"/>
                <w:szCs w:val="24"/>
                <w:highlight w:val="none"/>
                <w:u w:val="none"/>
                <w:lang w:val="en-US" w:eastAsia="zh-CN"/>
              </w:rPr>
              <w:t>小水沟片区俄尔雅路一段（农科所西侧-俄尔雅老桥）长约650m，面积约8000㎡，人行道品质提升、滨水空间景观提升、街道设施增补提升、 新增驿站、公厕等；以及俄尔雅老桥提升改造，长约55m，面积约300㎡桥梁整体改 造，包括桥头空间梳理、桥梁加固、交通标识、路灯、夜景照明、栏杆维护翻新等。</w:t>
            </w:r>
          </w:p>
          <w:p w14:paraId="277E865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13.马尔康市小水沟片区城市公共空间整治与便民服务设施建设项目：</w:t>
            </w:r>
            <w:r>
              <w:rPr>
                <w:rFonts w:hint="eastAsia" w:ascii="仿宋" w:hAnsi="仿宋" w:eastAsia="仿宋" w:cs="仿宋"/>
                <w:b w:val="0"/>
                <w:bCs w:val="0"/>
                <w:color w:val="auto"/>
                <w:sz w:val="24"/>
                <w:szCs w:val="24"/>
                <w:highlight w:val="none"/>
                <w:u w:val="none"/>
                <w:lang w:val="en-US" w:eastAsia="zh-CN"/>
              </w:rPr>
              <w:t>小水沟片区，俄尔雅大桥对面拆迁治乱，打造小型商业综合体。</w:t>
            </w:r>
          </w:p>
        </w:tc>
      </w:tr>
    </w:tbl>
    <w:p w14:paraId="52CB63F3">
      <w:pPr>
        <w:shd w:val="clear"/>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br w:type="page"/>
      </w:r>
    </w:p>
    <w:p w14:paraId="2FE81D3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28" w:name="_Toc11260"/>
      <w:r>
        <w:rPr>
          <w:rFonts w:hint="eastAsia" w:ascii="方正小标宋简体" w:hAnsi="方正小标宋简体" w:eastAsia="方正小标宋简体" w:cs="方正小标宋简体"/>
          <w:color w:val="auto"/>
          <w:sz w:val="44"/>
          <w:szCs w:val="44"/>
          <w:lang w:val="en-US" w:eastAsia="zh-CN"/>
        </w:rPr>
        <w:t>第六章 筑牢城市安全防线</w:t>
      </w:r>
      <w:bookmarkEnd w:id="28"/>
    </w:p>
    <w:p w14:paraId="05CB1E4B">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18B96B6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29" w:name="_Toc2774"/>
      <w:r>
        <w:rPr>
          <w:rFonts w:hint="eastAsia" w:ascii="黑体" w:hAnsi="黑体" w:eastAsia="黑体" w:cs="黑体"/>
          <w:b w:val="0"/>
          <w:bCs w:val="0"/>
          <w:color w:val="auto"/>
          <w:sz w:val="32"/>
          <w:szCs w:val="32"/>
          <w:lang w:val="en-US" w:eastAsia="zh-CN"/>
        </w:rPr>
        <w:t>一、推进城市道路设施建设</w:t>
      </w:r>
      <w:bookmarkEnd w:id="29"/>
    </w:p>
    <w:p w14:paraId="142A041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为全面提升城镇交通基础设施水平，加快构建绿色低碳出行体系，重点推进道路升级改造工程和配套设施完善工作，大力促进城镇慢行交通系统发展。</w:t>
      </w:r>
      <w:r>
        <w:rPr>
          <w:rFonts w:hint="eastAsia" w:ascii="仿宋" w:hAnsi="仿宋" w:eastAsia="仿宋" w:cs="仿宋"/>
          <w:color w:val="auto"/>
          <w:kern w:val="2"/>
          <w:sz w:val="32"/>
          <w:szCs w:val="32"/>
          <w:highlight w:val="none"/>
          <w:lang w:val="en-US" w:eastAsia="zh-CN" w:bidi="ar-SA"/>
        </w:rPr>
        <w:t>优化道路断面设计，合理分配机动车道、非机动车道和人行道空间；加强道路沿线绿化景观建设，打造舒适宜人的街道环境；完善道路交通标志标线系统，增设智能交通信号设施，提升道路通行效率与安全性。针对重点拥堵路段，实施精细化交通组织优化方案。注重道路设施的智慧化升级，推进多功能智慧灯杆建设，集成照明、监控、通信等功能，提升城市道路的智能化管理水平。</w:t>
      </w:r>
      <w:r>
        <w:rPr>
          <w:rFonts w:hint="eastAsia" w:ascii="仿宋" w:hAnsi="仿宋" w:eastAsia="仿宋" w:cs="仿宋"/>
          <w:color w:val="auto"/>
          <w:sz w:val="32"/>
          <w:szCs w:val="32"/>
          <w:highlight w:val="none"/>
          <w:lang w:val="en-US" w:eastAsia="zh-CN"/>
        </w:rPr>
        <w:t>有序推动马尔康市G248</w:t>
      </w:r>
      <w:r>
        <w:rPr>
          <w:rFonts w:hint="eastAsia" w:ascii="仿宋" w:hAnsi="仿宋" w:eastAsia="仿宋" w:cs="仿宋"/>
          <w:b w:val="0"/>
          <w:bCs w:val="0"/>
          <w:color w:val="auto"/>
          <w:sz w:val="32"/>
          <w:szCs w:val="32"/>
          <w:highlight w:val="none"/>
          <w:lang w:val="en-US" w:eastAsia="zh-CN"/>
        </w:rPr>
        <w:t>（英波格-松岗段）提升改造，嘉缘桥、军民连心桥建设以及日瓦坝至俄尔雅步道环线等项目建设。</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6C7E16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4A81C62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专栏7：城市道路设施建设</w:t>
            </w:r>
          </w:p>
          <w:p w14:paraId="637A703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1.阿坝州马尔康市马尔康镇本真片区军民连心桥建设项目：</w:t>
            </w:r>
            <w:r>
              <w:rPr>
                <w:rFonts w:hint="eastAsia" w:ascii="仿宋" w:hAnsi="仿宋" w:eastAsia="仿宋" w:cs="仿宋"/>
                <w:b w:val="0"/>
                <w:bCs w:val="0"/>
                <w:color w:val="auto"/>
                <w:sz w:val="24"/>
                <w:szCs w:val="24"/>
                <w:highlight w:val="none"/>
                <w:u w:val="none"/>
                <w:lang w:val="en-US" w:eastAsia="zh-CN"/>
              </w:rPr>
              <w:t>新建桥梁1座，长110米、宽15米，右岸桥头设引道27米，宽15米以及电力通讯、照明等基础设施建设。</w:t>
            </w:r>
          </w:p>
          <w:p w14:paraId="2C24AF3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2.阿坝州马尔康市达萨街大水沟段市政基础设施建设项目</w:t>
            </w:r>
            <w:r>
              <w:rPr>
                <w:rFonts w:hint="eastAsia" w:ascii="仿宋" w:hAnsi="仿宋" w:eastAsia="仿宋" w:cs="仿宋"/>
                <w:b w:val="0"/>
                <w:bCs w:val="0"/>
                <w:color w:val="auto"/>
                <w:sz w:val="24"/>
                <w:szCs w:val="24"/>
                <w:highlight w:val="none"/>
                <w:u w:val="none"/>
                <w:lang w:val="en-US" w:eastAsia="zh-CN"/>
              </w:rPr>
              <w:t>：新建人行道长3.580千米、宽2-3米，改建人行道长1.228千米、宽2-3米；新建桥梁2座，其中人行桥梁1座，长28.8米、宽2.6米；中桥1座，长26米、宽11.9米；路基防护约8579.6方，道路配套堡坎约9589平方米，及配套附属设施。</w:t>
            </w:r>
          </w:p>
          <w:p w14:paraId="7CF486E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3.阿坝州马尔康市现有市政桥梁更新改造项目：</w:t>
            </w:r>
            <w:r>
              <w:rPr>
                <w:rFonts w:hint="eastAsia" w:ascii="仿宋" w:hAnsi="仿宋" w:eastAsia="仿宋" w:cs="仿宋"/>
                <w:b w:val="0"/>
                <w:bCs w:val="0"/>
                <w:color w:val="auto"/>
                <w:sz w:val="24"/>
                <w:szCs w:val="24"/>
                <w:highlight w:val="none"/>
                <w:u w:val="none"/>
                <w:lang w:val="en-US" w:eastAsia="zh-CN"/>
              </w:rPr>
              <w:t>对15座桥梁主体结构护栏伸缩缝等内容进行提升改造。</w:t>
            </w:r>
          </w:p>
          <w:p w14:paraId="03EC5A13">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4.阿坝州马尔康市主城路灯照明线路提升改造项目：</w:t>
            </w:r>
            <w:r>
              <w:rPr>
                <w:rFonts w:hint="eastAsia" w:ascii="仿宋" w:hAnsi="仿宋" w:eastAsia="仿宋" w:cs="仿宋"/>
                <w:b w:val="0"/>
                <w:bCs w:val="0"/>
                <w:color w:val="auto"/>
                <w:sz w:val="24"/>
                <w:szCs w:val="24"/>
                <w:highlight w:val="none"/>
                <w:u w:val="none"/>
                <w:lang w:val="en-US" w:eastAsia="zh-CN"/>
              </w:rPr>
              <w:t>对马尔康市城区31千米路灯线路及路灯控制器进行提升改造。</w:t>
            </w:r>
          </w:p>
          <w:p w14:paraId="00A84CF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5.阿坝州马尔康市达萨街至团结街智慧综合杆改造示范项目：</w:t>
            </w:r>
            <w:r>
              <w:rPr>
                <w:rFonts w:hint="eastAsia" w:ascii="仿宋" w:hAnsi="仿宋" w:eastAsia="仿宋" w:cs="仿宋"/>
                <w:b w:val="0"/>
                <w:bCs w:val="0"/>
                <w:color w:val="auto"/>
                <w:sz w:val="24"/>
                <w:szCs w:val="24"/>
                <w:highlight w:val="none"/>
                <w:u w:val="none"/>
                <w:lang w:val="en-US" w:eastAsia="zh-CN"/>
              </w:rPr>
              <w:t>约1200m街道智慧综合杆、综合箱柜系统改造，以交叉口为主要改造点，14个交叉口， 每个交叉口按4个综合杆考虑。</w:t>
            </w:r>
          </w:p>
          <w:p w14:paraId="03C8ABF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6.</w:t>
            </w:r>
            <w:r>
              <w:rPr>
                <w:rFonts w:hint="default" w:ascii="仿宋" w:hAnsi="仿宋" w:eastAsia="仿宋" w:cs="仿宋"/>
                <w:b/>
                <w:bCs/>
                <w:color w:val="auto"/>
                <w:sz w:val="24"/>
                <w:szCs w:val="24"/>
                <w:highlight w:val="none"/>
                <w:u w:val="none"/>
                <w:lang w:val="en-US" w:eastAsia="zh-CN"/>
              </w:rPr>
              <w:t>阿坝州马尔康市市政道路提升改造项目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对主城区市政道路坑洼、塌陷、积水点等不平整地段进行提升改造，对市政道路标线进行全覆盖维护。</w:t>
            </w:r>
          </w:p>
          <w:p w14:paraId="626887E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7.马尔康市红心桥市政道路提升项目：</w:t>
            </w:r>
            <w:r>
              <w:rPr>
                <w:rFonts w:hint="eastAsia" w:ascii="仿宋" w:hAnsi="仿宋" w:eastAsia="仿宋" w:cs="仿宋"/>
                <w:b w:val="0"/>
                <w:bCs w:val="0"/>
                <w:color w:val="auto"/>
                <w:sz w:val="24"/>
                <w:szCs w:val="24"/>
                <w:highlight w:val="none"/>
                <w:u w:val="none"/>
                <w:lang w:val="en-US" w:eastAsia="zh-CN"/>
              </w:rPr>
              <w:t>桥头交通组织梳理提升、微景观打造。</w:t>
            </w:r>
          </w:p>
          <w:p w14:paraId="785C2250">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8.</w:t>
            </w:r>
            <w:r>
              <w:rPr>
                <w:rFonts w:hint="default" w:ascii="仿宋" w:hAnsi="仿宋" w:eastAsia="仿宋" w:cs="仿宋"/>
                <w:b/>
                <w:bCs/>
                <w:color w:val="auto"/>
                <w:sz w:val="24"/>
                <w:szCs w:val="24"/>
                <w:highlight w:val="none"/>
                <w:u w:val="none"/>
                <w:lang w:val="en-US" w:eastAsia="zh-CN"/>
              </w:rPr>
              <w:t>马尔康市双拥桥市政基础设施建设项目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新建一座人行桥梁，长度92米，宽度2-4米。</w:t>
            </w:r>
          </w:p>
          <w:p w14:paraId="3957DF85">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9.</w:t>
            </w:r>
            <w:r>
              <w:rPr>
                <w:rFonts w:hint="default" w:ascii="仿宋" w:hAnsi="仿宋" w:eastAsia="仿宋" w:cs="仿宋"/>
                <w:b/>
                <w:bCs/>
                <w:color w:val="auto"/>
                <w:sz w:val="24"/>
                <w:szCs w:val="24"/>
                <w:highlight w:val="none"/>
                <w:u w:val="none"/>
                <w:lang w:val="en-US" w:eastAsia="zh-CN"/>
              </w:rPr>
              <w:t>马尔康市无障碍设施提升项目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对传感器15条街道，道路全长22.238km，现有人行道长度合计28.921km，应进行提升改造的检查井井盖侵占盲道共498处；路灯、监控设施侵占盲道共计176处；公交站牌、垃圾桶等设施侵占盲道范围共计78处；缘石坡道设置不规范或缺失，共计620道；轮椅坡道缺失23道；过街语音提示器缺失69套。</w:t>
            </w:r>
          </w:p>
          <w:p w14:paraId="30D6C2C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10.</w:t>
            </w:r>
            <w:r>
              <w:rPr>
                <w:rFonts w:hint="default" w:ascii="仿宋" w:hAnsi="仿宋" w:eastAsia="仿宋" w:cs="仿宋"/>
                <w:b/>
                <w:bCs/>
                <w:color w:val="auto"/>
                <w:sz w:val="24"/>
                <w:szCs w:val="24"/>
                <w:highlight w:val="none"/>
                <w:u w:val="none"/>
                <w:lang w:val="en-US" w:eastAsia="zh-CN"/>
              </w:rPr>
              <w:t>马尔康市客运中心交叉口人行天桥建设项目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卡辉大桥、美谷街、南木达街交叉口面积约6000㎡，包括交通组织优化、交叉口改造、交安设施、标识系统等</w:t>
            </w:r>
            <w:r>
              <w:rPr>
                <w:rFonts w:hint="eastAsia" w:ascii="仿宋" w:hAnsi="仿宋" w:eastAsia="仿宋" w:cs="仿宋"/>
                <w:b w:val="0"/>
                <w:bCs w:val="0"/>
                <w:color w:val="auto"/>
                <w:sz w:val="24"/>
                <w:szCs w:val="24"/>
                <w:highlight w:val="none"/>
                <w:u w:val="none"/>
                <w:lang w:val="en-US" w:eastAsia="zh-CN"/>
              </w:rPr>
              <w:t>。</w:t>
            </w:r>
          </w:p>
          <w:p w14:paraId="45EF5C0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11.</w:t>
            </w:r>
            <w:r>
              <w:rPr>
                <w:rFonts w:hint="default" w:ascii="仿宋" w:hAnsi="仿宋" w:eastAsia="仿宋" w:cs="仿宋"/>
                <w:b/>
                <w:bCs/>
                <w:color w:val="auto"/>
                <w:sz w:val="24"/>
                <w:szCs w:val="24"/>
                <w:highlight w:val="none"/>
                <w:u w:val="none"/>
                <w:lang w:val="en-US" w:eastAsia="zh-CN"/>
              </w:rPr>
              <w:t>阿坝州马尔康市红心桥建设项目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新建桥梁全长50米，宽30米；配套建设照明、交安、管线改迁、河堤建设等附属工程</w:t>
            </w:r>
            <w:r>
              <w:rPr>
                <w:rFonts w:hint="eastAsia" w:ascii="仿宋" w:hAnsi="仿宋" w:eastAsia="仿宋" w:cs="仿宋"/>
                <w:b w:val="0"/>
                <w:bCs w:val="0"/>
                <w:color w:val="auto"/>
                <w:sz w:val="24"/>
                <w:szCs w:val="24"/>
                <w:highlight w:val="none"/>
                <w:u w:val="none"/>
                <w:lang w:val="en-US" w:eastAsia="zh-CN"/>
              </w:rPr>
              <w:t>。</w:t>
            </w:r>
          </w:p>
        </w:tc>
      </w:tr>
    </w:tbl>
    <w:p w14:paraId="0729BE1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0" w:name="_Toc7097"/>
      <w:r>
        <w:rPr>
          <w:rFonts w:hint="eastAsia" w:ascii="黑体" w:hAnsi="黑体" w:eastAsia="黑体" w:cs="黑体"/>
          <w:b w:val="0"/>
          <w:bCs w:val="0"/>
          <w:color w:val="auto"/>
          <w:sz w:val="32"/>
          <w:szCs w:val="32"/>
          <w:lang w:val="en-US" w:eastAsia="zh-CN"/>
        </w:rPr>
        <w:t>二、推动城市污水处理提质增效</w:t>
      </w:r>
      <w:bookmarkEnd w:id="30"/>
    </w:p>
    <w:p w14:paraId="5D986F2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全面提升城市水环境治理能力，系统性地完善污水收集管网基础设施体系，构建更加高效、科学、可持续的城市水环境治理长效机制。重点加强污水处理设施的运行维护管理能力建设，通过引进智能化监测设备和专业化运维团队，建立现代化的运维管理平台，切实提高污水处理系统的稳定性和处理效率，保障污水处理设施长期稳定运行。积极开展马尔主城区南岸污水管网改造、达萨街污水收集管网等建设项目，进一步优化污水管网布局，提升污水收集覆盖率，有效减少污水外溢和环境污染风险，为市民创造更加清洁、健康的生活环境。</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6FF9D9D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1537B86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专栏8：污水处理提质增效</w:t>
            </w:r>
          </w:p>
          <w:p w14:paraId="5CBBD955">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1.阿坝州马尔康市马林局片区至达萨街污水管网改造项目：</w:t>
            </w:r>
            <w:r>
              <w:rPr>
                <w:rFonts w:hint="eastAsia" w:ascii="仿宋" w:hAnsi="仿宋" w:eastAsia="仿宋" w:cs="仿宋"/>
                <w:b w:val="0"/>
                <w:bCs w:val="0"/>
                <w:color w:val="auto"/>
                <w:sz w:val="24"/>
                <w:szCs w:val="24"/>
                <w:highlight w:val="none"/>
                <w:u w:val="none"/>
                <w:lang w:val="en-US" w:eastAsia="zh-CN"/>
              </w:rPr>
              <w:t>对马尔康市马尔康镇主城区内武警医院至马林局对面污水管网及达萨街污水管网进行改造。改建DN800污水管网，配套建设检查井等附属设施。</w:t>
            </w:r>
          </w:p>
          <w:p w14:paraId="2AD22D7B">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2.阿坝州马尔康市马江街嘉绒里段排水改造项目</w:t>
            </w:r>
            <w:r>
              <w:rPr>
                <w:rFonts w:hint="eastAsia" w:ascii="仿宋" w:hAnsi="仿宋" w:eastAsia="仿宋" w:cs="仿宋"/>
                <w:b w:val="0"/>
                <w:bCs w:val="0"/>
                <w:color w:val="auto"/>
                <w:sz w:val="24"/>
                <w:szCs w:val="24"/>
                <w:highlight w:val="none"/>
                <w:u w:val="none"/>
                <w:lang w:val="en-US" w:eastAsia="zh-CN"/>
              </w:rPr>
              <w:t>：实施嘉绒里雨污分流、供排水等基础设施改造。</w:t>
            </w:r>
          </w:p>
          <w:p w14:paraId="2507039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3.阿坝州马尔康市达萨街至大水沟污水管网改造项目：</w:t>
            </w:r>
            <w:r>
              <w:rPr>
                <w:rFonts w:hint="eastAsia" w:ascii="仿宋" w:hAnsi="仿宋" w:eastAsia="仿宋" w:cs="仿宋"/>
                <w:b w:val="0"/>
                <w:bCs w:val="0"/>
                <w:color w:val="auto"/>
                <w:sz w:val="24"/>
                <w:szCs w:val="24"/>
                <w:highlight w:val="none"/>
                <w:u w:val="none"/>
                <w:lang w:val="en-US" w:eastAsia="zh-CN"/>
              </w:rPr>
              <w:t>改建DN800污水管网9.6公里，配套建设检查井等附属设施；改建DN600污水管网4.9公里，配套建设检查井、等物联网感知系统配等附属设施。</w:t>
            </w:r>
          </w:p>
          <w:p w14:paraId="14E9C83D">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4.阿坝州马尔康市移民大桥至松岗镇片区污水收集管网建设项目：</w:t>
            </w:r>
            <w:r>
              <w:rPr>
                <w:rFonts w:hint="eastAsia" w:ascii="仿宋" w:hAnsi="仿宋" w:eastAsia="仿宋" w:cs="仿宋"/>
                <w:b w:val="0"/>
                <w:bCs w:val="0"/>
                <w:color w:val="auto"/>
                <w:sz w:val="24"/>
                <w:szCs w:val="24"/>
                <w:highlight w:val="none"/>
                <w:u w:val="none"/>
                <w:lang w:val="en-US" w:eastAsia="zh-CN"/>
              </w:rPr>
              <w:t>对马尔康市移民大桥至松岗镇片区内污水管网进行新建。1、新建DN800污水管网10.5公里；2、新建配套污水收集管网5.58公里，配套建设检查井等附属设施。</w:t>
            </w:r>
          </w:p>
        </w:tc>
      </w:tr>
    </w:tbl>
    <w:p w14:paraId="7AF95AA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1" w:name="_Toc25775"/>
      <w:r>
        <w:rPr>
          <w:rFonts w:hint="eastAsia" w:ascii="黑体" w:hAnsi="黑体" w:eastAsia="黑体" w:cs="黑体"/>
          <w:b w:val="0"/>
          <w:bCs w:val="0"/>
          <w:color w:val="auto"/>
          <w:sz w:val="32"/>
          <w:szCs w:val="32"/>
          <w:lang w:val="en-US" w:eastAsia="zh-CN"/>
        </w:rPr>
        <w:t>三、保障城市供水能力</w:t>
      </w:r>
      <w:bookmarkEnd w:id="31"/>
    </w:p>
    <w:p w14:paraId="5F6B035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全面提升城市供水系统的安全可靠性，启动覆盖全域的市政供水管网系统化排查与检测工作。重点推进供水主管网的升级改造工程，加快对俄尔雅片区、卓克基片区等老旧供水管网区域的更新进程。对老化、破损的管道进行统一更换，对存在结构隐患的管段开展加固维修，同时对供水能力不足的管网实施扩容提升，以系统化、多层次的工程手段切实保障供水质量和运行稳定。</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2867D84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631CAD9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专栏9：保障城市供水能力</w:t>
            </w:r>
          </w:p>
          <w:p w14:paraId="349D2D3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1.阿坝州马尔康市城镇供水设施建设项目：</w:t>
            </w:r>
            <w:r>
              <w:rPr>
                <w:rFonts w:hint="eastAsia" w:ascii="仿宋" w:hAnsi="仿宋" w:eastAsia="仿宋" w:cs="仿宋"/>
                <w:b w:val="0"/>
                <w:bCs w:val="0"/>
                <w:color w:val="auto"/>
                <w:sz w:val="24"/>
                <w:szCs w:val="24"/>
                <w:highlight w:val="none"/>
                <w:u w:val="none"/>
                <w:lang w:val="en-US" w:eastAsia="zh-CN"/>
              </w:rPr>
              <w:t>改建供水主管网21.57公里（管径DN100-200），支管网12.2公里（管径DN50-100）；改建6个加压泵房；以及相关计量设施设备等配套相关附属设施。</w:t>
            </w:r>
          </w:p>
          <w:p w14:paraId="04B3C03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2.阿坝州马尔康市俄尔雅片区供水管道更新改造项目：</w:t>
            </w:r>
            <w:r>
              <w:rPr>
                <w:rFonts w:hint="eastAsia" w:ascii="仿宋" w:hAnsi="仿宋" w:eastAsia="仿宋" w:cs="仿宋"/>
                <w:b w:val="0"/>
                <w:bCs w:val="0"/>
                <w:color w:val="auto"/>
                <w:sz w:val="24"/>
                <w:szCs w:val="24"/>
                <w:highlight w:val="none"/>
                <w:u w:val="none"/>
                <w:lang w:val="en-US" w:eastAsia="zh-CN"/>
              </w:rPr>
              <w:t>对俄尔雅片区内供水管网进行改造。改造DN300无缝钢管高压供水管道3公里，铺设DN100支管网10公里及等物联网感知系统配套设施。</w:t>
            </w:r>
          </w:p>
          <w:p w14:paraId="6294187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3.</w:t>
            </w:r>
            <w:r>
              <w:rPr>
                <w:rFonts w:hint="default" w:ascii="仿宋" w:hAnsi="仿宋" w:eastAsia="仿宋" w:cs="仿宋"/>
                <w:b/>
                <w:bCs/>
                <w:color w:val="auto"/>
                <w:sz w:val="24"/>
                <w:szCs w:val="24"/>
                <w:highlight w:val="none"/>
                <w:u w:val="none"/>
                <w:lang w:val="en-US" w:eastAsia="zh-CN"/>
              </w:rPr>
              <w:t>阿坝州马尔康市城区至邓家村供水管道新建项目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对城区至邓家村片区内供水管网新建DN300无缝钢管高压供水管道15.8公里，DN200PE管中压供水管道5.5公里，等物联网感知系统配套设施</w:t>
            </w:r>
            <w:r>
              <w:rPr>
                <w:rFonts w:hint="eastAsia" w:ascii="仿宋" w:hAnsi="仿宋" w:eastAsia="仿宋" w:cs="仿宋"/>
                <w:b w:val="0"/>
                <w:bCs w:val="0"/>
                <w:color w:val="auto"/>
                <w:sz w:val="24"/>
                <w:szCs w:val="24"/>
                <w:highlight w:val="none"/>
                <w:u w:val="none"/>
                <w:lang w:val="en-US" w:eastAsia="zh-CN"/>
              </w:rPr>
              <w:t>。</w:t>
            </w:r>
          </w:p>
          <w:p w14:paraId="0F69F2C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4.</w:t>
            </w:r>
            <w:r>
              <w:rPr>
                <w:rFonts w:hint="default" w:ascii="仿宋" w:hAnsi="仿宋" w:eastAsia="仿宋" w:cs="仿宋"/>
                <w:b/>
                <w:bCs/>
                <w:color w:val="auto"/>
                <w:sz w:val="24"/>
                <w:szCs w:val="24"/>
                <w:highlight w:val="none"/>
                <w:u w:val="none"/>
                <w:lang w:val="en-US" w:eastAsia="zh-CN"/>
              </w:rPr>
              <w:t>阿坝州马尔康市松岗镇供水及配套设施建设项目</w:t>
            </w:r>
            <w:r>
              <w:rPr>
                <w:rFonts w:hint="eastAsia" w:ascii="仿宋" w:hAnsi="仿宋" w:eastAsia="仿宋" w:cs="仿宋"/>
                <w:b w:val="0"/>
                <w:bCs w:val="0"/>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新建水厂一座及取水口，水厂设计规模为2000m³/d及相关配套设施</w:t>
            </w:r>
          </w:p>
          <w:p w14:paraId="32CA765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5.</w:t>
            </w:r>
            <w:r>
              <w:rPr>
                <w:rFonts w:hint="default" w:ascii="仿宋" w:hAnsi="仿宋" w:eastAsia="仿宋" w:cs="仿宋"/>
                <w:b/>
                <w:bCs/>
                <w:color w:val="auto"/>
                <w:sz w:val="24"/>
                <w:szCs w:val="24"/>
                <w:highlight w:val="none"/>
                <w:u w:val="none"/>
                <w:lang w:val="en-US" w:eastAsia="zh-CN"/>
              </w:rPr>
              <w:t>阿坝州马尔康市松岗镇供水管网及配套设施建设项目</w:t>
            </w:r>
            <w:r>
              <w:rPr>
                <w:rFonts w:hint="eastAsia" w:ascii="仿宋" w:hAnsi="仿宋" w:eastAsia="仿宋" w:cs="仿宋"/>
                <w:b/>
                <w:bCs/>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新建取水口，DN100-DN200供水管网23.32Km及相关配套设施</w:t>
            </w:r>
            <w:r>
              <w:rPr>
                <w:rFonts w:hint="eastAsia" w:ascii="仿宋" w:hAnsi="仿宋" w:eastAsia="仿宋" w:cs="仿宋"/>
                <w:b w:val="0"/>
                <w:bCs w:val="0"/>
                <w:color w:val="auto"/>
                <w:sz w:val="24"/>
                <w:szCs w:val="24"/>
                <w:highlight w:val="none"/>
                <w:u w:val="none"/>
                <w:lang w:val="en-US" w:eastAsia="zh-CN"/>
              </w:rPr>
              <w:t>。</w:t>
            </w:r>
          </w:p>
          <w:p w14:paraId="58A9340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6.</w:t>
            </w:r>
            <w:r>
              <w:rPr>
                <w:rFonts w:hint="default" w:ascii="仿宋" w:hAnsi="仿宋" w:eastAsia="仿宋" w:cs="仿宋"/>
                <w:b/>
                <w:bCs/>
                <w:color w:val="auto"/>
                <w:sz w:val="24"/>
                <w:szCs w:val="24"/>
                <w:highlight w:val="none"/>
                <w:u w:val="none"/>
                <w:lang w:val="en-US" w:eastAsia="zh-CN"/>
              </w:rPr>
              <w:t>阿坝州马尔康市卓克基片区供水管道更新改造项目</w:t>
            </w:r>
            <w:r>
              <w:rPr>
                <w:rFonts w:hint="eastAsia" w:ascii="仿宋" w:hAnsi="仿宋" w:eastAsia="仿宋" w:cs="仿宋"/>
                <w:b w:val="0"/>
                <w:bCs w:val="0"/>
                <w:color w:val="auto"/>
                <w:sz w:val="24"/>
                <w:szCs w:val="24"/>
                <w:highlight w:val="none"/>
                <w:u w:val="none"/>
                <w:lang w:val="en-US" w:eastAsia="zh-CN"/>
              </w:rPr>
              <w:t>：</w:t>
            </w:r>
            <w:r>
              <w:rPr>
                <w:rFonts w:hint="default" w:ascii="仿宋" w:hAnsi="仿宋" w:eastAsia="仿宋" w:cs="仿宋"/>
                <w:b w:val="0"/>
                <w:bCs w:val="0"/>
                <w:color w:val="auto"/>
                <w:sz w:val="24"/>
                <w:szCs w:val="24"/>
                <w:highlight w:val="none"/>
                <w:u w:val="none"/>
                <w:lang w:val="en-US" w:eastAsia="zh-CN"/>
              </w:rPr>
              <w:t>对卓克基片区内供水管网进行改造。改造DN300无缝钢管高压供水管道15.5公里。</w:t>
            </w:r>
          </w:p>
        </w:tc>
      </w:tr>
    </w:tbl>
    <w:p w14:paraId="0108EFA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2" w:name="_Toc19230"/>
      <w:r>
        <w:rPr>
          <w:rFonts w:hint="eastAsia" w:ascii="黑体" w:hAnsi="黑体" w:eastAsia="黑体" w:cs="黑体"/>
          <w:b w:val="0"/>
          <w:bCs w:val="0"/>
          <w:color w:val="auto"/>
          <w:sz w:val="32"/>
          <w:szCs w:val="32"/>
          <w:lang w:val="en-US" w:eastAsia="zh-CN"/>
        </w:rPr>
        <w:t>四、加强城市排水防涝能力</w:t>
      </w:r>
      <w:bookmarkEnd w:id="32"/>
    </w:p>
    <w:p w14:paraId="6913F58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系统化推进全域海绵城市建设，通过科学规划、统筹布局，全面提升城市水环境治理水平。重点实施排水管网及设施的提标改造工程，对老旧管网进行系统性更新，增强其排水能力和使用寿命。高标准建设城市排涝通道网络，优化水系连通性，构建多层级、立体化的防洪排涝体系。持续完善海绵城市基础设施，实现雨水资源的高效利用，促进城市可持续发展。</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3FEDD26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772F62B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专栏10：加强排水防涝能力</w:t>
            </w:r>
          </w:p>
          <w:p w14:paraId="62BA36A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1.马尔康市主城区排水防涝地下管网建设项目：</w:t>
            </w:r>
            <w:r>
              <w:rPr>
                <w:rFonts w:hint="eastAsia" w:ascii="仿宋" w:hAnsi="仿宋" w:eastAsia="仿宋" w:cs="仿宋"/>
                <w:b w:val="0"/>
                <w:bCs w:val="0"/>
                <w:color w:val="auto"/>
                <w:sz w:val="24"/>
                <w:szCs w:val="24"/>
                <w:highlight w:val="none"/>
                <w:u w:val="none"/>
                <w:lang w:val="en-US" w:eastAsia="zh-CN"/>
              </w:rPr>
              <w:t>改造马尔康市主城区排水防涝设施。1、改造DN300钢筋混凝土雨水管道11.8公里、 DN400钢筋混凝土雨水管道5.58公里、DN500钢筋混凝土雨水管道2.75公里、DN600 钢筋混凝土雨水管道5.9公里、DN800钢筋混凝土雨水管道11.58公里、DN1000钢筋混 凝土雨水管道10.15公里、DN1200钢筋混凝土雨水管道3.5公里；2、增设雨水检查井 1248座；3、增设易涝积水区域立箅式雨水口2496处，等物联网感知系统配套设备。</w:t>
            </w:r>
          </w:p>
        </w:tc>
      </w:tr>
    </w:tbl>
    <w:p w14:paraId="57857FF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3" w:name="_Toc30540"/>
      <w:r>
        <w:rPr>
          <w:rFonts w:hint="eastAsia" w:ascii="黑体" w:hAnsi="黑体" w:eastAsia="黑体" w:cs="黑体"/>
          <w:b w:val="0"/>
          <w:bCs w:val="0"/>
          <w:color w:val="auto"/>
          <w:sz w:val="32"/>
          <w:szCs w:val="32"/>
          <w:lang w:val="en-US" w:eastAsia="zh-CN"/>
        </w:rPr>
        <w:t>五、深化城</w:t>
      </w:r>
      <w:r>
        <w:rPr>
          <w:rFonts w:hint="default" w:ascii="黑体" w:hAnsi="黑体" w:eastAsia="黑体" w:cs="黑体"/>
          <w:b w:val="0"/>
          <w:bCs w:val="0"/>
          <w:color w:val="auto"/>
          <w:sz w:val="32"/>
          <w:szCs w:val="32"/>
          <w:lang w:val="en-US" w:eastAsia="zh-CN"/>
        </w:rPr>
        <w:t>市</w:t>
      </w:r>
      <w:r>
        <w:rPr>
          <w:rFonts w:hint="eastAsia" w:ascii="黑体" w:hAnsi="黑体" w:eastAsia="黑体" w:cs="黑体"/>
          <w:b w:val="0"/>
          <w:bCs w:val="0"/>
          <w:color w:val="auto"/>
          <w:sz w:val="32"/>
          <w:szCs w:val="32"/>
          <w:lang w:val="en-US" w:eastAsia="zh-CN"/>
        </w:rPr>
        <w:t>燃气安全整治</w:t>
      </w:r>
      <w:bookmarkEnd w:id="33"/>
    </w:p>
    <w:p w14:paraId="4017B2F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常态化、系统化、有针对性地深入开展城镇燃气安全风险隐患的全面排查与专项整治工作，通过建立健全燃气安全风险分级管控和隐患排查治理双重预防机制，形成长效管理机制。定期组织专业力量对城镇燃气管网、燃气设施设备等进行全方位、无死角的隐患排查，对发现的安全风险及时分级分类、建立台账，并采取有效措施进行整改治理。完善燃气安全管理制度，强化风险源头管控，推动隐患排查治理规范化、标准化、信息化，切实提升城镇燃气安全管理水平，防范和遏制燃气安全事故发生。</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0491627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6E9A96E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专栏11：燃气安全整治</w:t>
            </w:r>
          </w:p>
          <w:p w14:paraId="6CF7A18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1.马尔康市主城区燃气管道建设项目。</w:t>
            </w:r>
            <w:r>
              <w:rPr>
                <w:rFonts w:hint="eastAsia" w:ascii="仿宋" w:hAnsi="仿宋" w:eastAsia="仿宋" w:cs="仿宋"/>
                <w:b w:val="0"/>
                <w:bCs w:val="0"/>
                <w:color w:val="auto"/>
                <w:sz w:val="24"/>
                <w:szCs w:val="24"/>
                <w:highlight w:val="none"/>
                <w:u w:val="none"/>
                <w:lang w:val="en-US" w:eastAsia="zh-CN"/>
              </w:rPr>
              <w:t>新建约20公里燃气支管网建设及配套设施建设。</w:t>
            </w:r>
          </w:p>
        </w:tc>
      </w:tr>
    </w:tbl>
    <w:p w14:paraId="2621A9C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4" w:name="_Toc10755"/>
      <w:r>
        <w:rPr>
          <w:rFonts w:hint="eastAsia" w:ascii="黑体" w:hAnsi="黑体" w:eastAsia="黑体" w:cs="黑体"/>
          <w:b w:val="0"/>
          <w:bCs w:val="0"/>
          <w:color w:val="auto"/>
          <w:sz w:val="32"/>
          <w:szCs w:val="32"/>
          <w:lang w:val="en-US" w:eastAsia="zh-CN"/>
        </w:rPr>
        <w:t>六、完善供氧供暖配套</w:t>
      </w:r>
      <w:bookmarkEnd w:id="34"/>
    </w:p>
    <w:p w14:paraId="12AD5BA7">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十五五”时期，统筹推进城市民生配套设施提质升级，夯实城市宜居保障根基。有序实施马尔康市城区集中供养试点建设项目，科学布局新建城区公办学校、医疗机构、养老服务机构等一体化集中供养配套设施，补齐教育、医疗、养老公共服务短板，优化公共服务空间布局，提升民生服务承载能力。同步落地马尔康市城市供暖工程，完成城区88.55万平方米建筑供暖设施全覆盖建设，完善供暖管网铺设、末端设备安装等配套体系，适配高原高寒地域气候特点，改善城区居民、公共单位居住与办公环境，持续增强城市民生保障水平，推动城市功能品质与群众幸福质感双向提升。</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02534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noWrap w:val="0"/>
            <w:vAlign w:val="top"/>
          </w:tcPr>
          <w:p w14:paraId="288A2C34">
            <w:pPr>
              <w:pStyle w:val="2"/>
              <w:shd w:val="clear"/>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专栏12：供氧供暖</w:t>
            </w:r>
          </w:p>
          <w:p w14:paraId="26538C3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1.阿坝州马尔康市城区集中供氧试点建设项目：</w:t>
            </w:r>
            <w:r>
              <w:rPr>
                <w:rFonts w:hint="eastAsia" w:ascii="仿宋" w:hAnsi="仿宋" w:eastAsia="仿宋" w:cs="仿宋"/>
                <w:b w:val="0"/>
                <w:bCs w:val="0"/>
                <w:color w:val="auto"/>
                <w:sz w:val="24"/>
                <w:szCs w:val="24"/>
                <w:highlight w:val="none"/>
                <w:lang w:val="en-US" w:eastAsia="zh-CN"/>
              </w:rPr>
              <w:t>新建城区公办学校、医院、养老机构等集中供氧设施。</w:t>
            </w:r>
          </w:p>
          <w:p w14:paraId="3BE6F0E6">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ascii="仿宋" w:hAnsi="仿宋" w:eastAsia="仿宋" w:cs="仿宋"/>
                <w:b/>
                <w:bCs/>
                <w:color w:val="auto"/>
                <w:sz w:val="24"/>
                <w:szCs w:val="24"/>
                <w:highlight w:val="none"/>
                <w:lang w:val="en-US" w:eastAsia="zh-CN"/>
              </w:rPr>
              <w:t>2.阿坝州马尔康市城市供暖工程（三期）：</w:t>
            </w:r>
            <w:r>
              <w:rPr>
                <w:rFonts w:hint="eastAsia" w:ascii="仿宋" w:hAnsi="仿宋" w:eastAsia="仿宋" w:cs="仿宋"/>
                <w:b w:val="0"/>
                <w:bCs w:val="0"/>
                <w:color w:val="auto"/>
                <w:sz w:val="24"/>
                <w:szCs w:val="24"/>
                <w:highlight w:val="none"/>
                <w:lang w:val="en-US" w:eastAsia="zh-CN"/>
              </w:rPr>
              <w:t>马尔康城区供暖面积88.55万平方米。</w:t>
            </w:r>
          </w:p>
        </w:tc>
      </w:tr>
    </w:tbl>
    <w:p w14:paraId="32FA5EE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5" w:name="_Toc11013"/>
      <w:r>
        <w:rPr>
          <w:rFonts w:hint="eastAsia" w:ascii="黑体" w:hAnsi="黑体" w:eastAsia="黑体" w:cs="黑体"/>
          <w:b w:val="0"/>
          <w:bCs w:val="0"/>
          <w:color w:val="auto"/>
          <w:sz w:val="32"/>
          <w:szCs w:val="32"/>
          <w:lang w:val="en-US" w:eastAsia="zh-CN"/>
        </w:rPr>
        <w:t>七、推动“无废城市”建设</w:t>
      </w:r>
      <w:bookmarkEnd w:id="35"/>
    </w:p>
    <w:p w14:paraId="047FC5D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全面提升城市生活垃圾综合治理能力，系统推进生活垃圾分类投放、分类收集、分类运输及再生资源回收利用等全链条收运处置体系建设。重点完善前端分类投放设施布局，优化中端分类收运网络，健全末端分类处理设施，持续提升生活垃圾资源化利用率和无害化处理水平。加快推进建筑垃圾资源化利用设施建设，完善建筑垃圾处置设施布局，构建建筑垃圾产生、运输、处置全过程监管体系，实现建筑垃圾减量化、资源化、无害化处理目标。完善垃圾收运处置基础设施，健全长效管理机制，全面提升城市固体废弃物综合治理效能。</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48CF224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64DE073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专栏13：“无废城市”建设</w:t>
            </w:r>
          </w:p>
          <w:p w14:paraId="1615B05B">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1.马尔康市垃圾填埋场地下水污染修复和管控项目：</w:t>
            </w:r>
            <w:r>
              <w:rPr>
                <w:rFonts w:hint="eastAsia" w:ascii="仿宋" w:hAnsi="仿宋" w:eastAsia="仿宋" w:cs="仿宋"/>
                <w:b w:val="0"/>
                <w:bCs w:val="0"/>
                <w:color w:val="auto"/>
                <w:sz w:val="24"/>
                <w:szCs w:val="24"/>
                <w:highlight w:val="none"/>
                <w:u w:val="none"/>
                <w:lang w:val="en-US" w:eastAsia="zh-CN"/>
              </w:rPr>
              <w:t>约2万平方米，待存量垃圾转运完成后，对填埋场地下水、土壤进行生态化修复处理。</w:t>
            </w:r>
          </w:p>
          <w:p w14:paraId="05515733">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2.建筑垃圾收转及无害化资源利用项目：</w:t>
            </w:r>
            <w:r>
              <w:rPr>
                <w:rFonts w:hint="eastAsia" w:ascii="仿宋" w:hAnsi="仿宋" w:eastAsia="仿宋" w:cs="仿宋"/>
                <w:b w:val="0"/>
                <w:bCs w:val="0"/>
                <w:color w:val="auto"/>
                <w:sz w:val="24"/>
                <w:szCs w:val="24"/>
                <w:highlight w:val="none"/>
                <w:u w:val="none"/>
                <w:lang w:val="en-US" w:eastAsia="zh-CN"/>
              </w:rPr>
              <w:t>在《马尔康市垃圾填埋场地下水和土壤修复治理项目》完成后，在该场地新建建筑垃圾收转及无害化资源利用厂，用于处理建筑垃圾并实现资源的循环利用。</w:t>
            </w:r>
          </w:p>
        </w:tc>
      </w:tr>
    </w:tbl>
    <w:p w14:paraId="009A29E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6" w:name="_Toc24507"/>
      <w:r>
        <w:rPr>
          <w:rFonts w:hint="eastAsia" w:ascii="黑体" w:hAnsi="黑体" w:eastAsia="黑体" w:cs="黑体"/>
          <w:b w:val="0"/>
          <w:bCs w:val="0"/>
          <w:color w:val="auto"/>
          <w:sz w:val="32"/>
          <w:szCs w:val="32"/>
          <w:lang w:val="en-US" w:eastAsia="zh-CN"/>
        </w:rPr>
        <w:t>八、精细化治理城市垃圾</w:t>
      </w:r>
      <w:bookmarkEnd w:id="36"/>
    </w:p>
    <w:p w14:paraId="2B83F0B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聚焦城市垃圾精细化治理，推进马尔康主城区生活垃圾分类收集项目建设，科学布局规范分类投放点位，配齐标准化分类收集设施设备。构建全域覆盖、规范有序的生活垃圾分类收集与密闭化分类运输体系，完善前端分类投放、中端分类转运全链条运行机制。同步健全网格化环卫管护模式，强化垃圾收运全过程闭环管理，规范收运作业流程，杜绝混收混运、沿途遗撒等问题。以项目建设为抓手，深化全民分类宣传引导，持续提升城市环境卫生治理标准化、精细化、常态化水平，筑牢高原宜居城市生态环境基础。</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3016F3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0B31196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专栏14：城市垃圾治理</w:t>
            </w:r>
          </w:p>
          <w:p w14:paraId="01AF664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1.马尔康市生活垃圾分类收集项目：</w:t>
            </w:r>
            <w:r>
              <w:rPr>
                <w:rFonts w:hint="eastAsia" w:ascii="仿宋" w:hAnsi="仿宋" w:eastAsia="仿宋" w:cs="仿宋"/>
                <w:b w:val="0"/>
                <w:bCs w:val="0"/>
                <w:color w:val="auto"/>
                <w:sz w:val="24"/>
                <w:szCs w:val="24"/>
                <w:highlight w:val="none"/>
                <w:u w:val="none"/>
                <w:lang w:val="en-US" w:eastAsia="zh-CN"/>
              </w:rPr>
              <w:t>对主城区生活垃圾进行分类收集、分类运输等内容。</w:t>
            </w:r>
          </w:p>
          <w:p w14:paraId="3028034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2.马尔康市生活垃圾危废处置车间及分筛系统建设项目：</w:t>
            </w:r>
            <w:r>
              <w:rPr>
                <w:rFonts w:hint="eastAsia" w:ascii="仿宋" w:hAnsi="仿宋" w:eastAsia="仿宋" w:cs="仿宋"/>
                <w:b w:val="0"/>
                <w:bCs w:val="0"/>
                <w:color w:val="auto"/>
                <w:sz w:val="24"/>
                <w:szCs w:val="24"/>
                <w:highlight w:val="none"/>
                <w:u w:val="none"/>
                <w:lang w:val="en-US" w:eastAsia="zh-CN"/>
              </w:rPr>
              <w:t>建设生活垃圾无害化处理厂规范危废存储车间，生活垃圾前端分选车间及设备建设等配套设施。</w:t>
            </w:r>
          </w:p>
        </w:tc>
      </w:tr>
    </w:tbl>
    <w:p w14:paraId="006B349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37" w:name="_Toc20696"/>
      <w:r>
        <w:rPr>
          <w:rFonts w:hint="eastAsia" w:ascii="黑体" w:hAnsi="黑体" w:eastAsia="黑体" w:cs="黑体"/>
          <w:b w:val="0"/>
          <w:bCs w:val="0"/>
          <w:color w:val="auto"/>
          <w:sz w:val="32"/>
          <w:szCs w:val="32"/>
          <w:lang w:val="en-US" w:eastAsia="zh-CN"/>
        </w:rPr>
        <w:t>九、推进城市地下管网和管廊建设</w:t>
      </w:r>
      <w:bookmarkEnd w:id="37"/>
    </w:p>
    <w:p w14:paraId="65C8EB7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全面摸清城市地下管网运行状况，系统组织开展城市燃气、供水、排水等各类地下管网的全面普查与安全评估工作，进一步提升市政基础设施安全管理水平。通过运用现代化测绘技术和信息化管理手段，对管网布局、运行状态、安全隐患等进行全方位排查诊断。科学规划、统筹推进马尔康镇综合管廊建设项目</w:t>
      </w:r>
      <w:r>
        <w:rPr>
          <w:rFonts w:hint="eastAsia" w:ascii="仿宋" w:hAnsi="仿宋" w:eastAsia="仿宋" w:cs="仿宋"/>
          <w:color w:val="auto"/>
          <w:kern w:val="2"/>
          <w:sz w:val="32"/>
          <w:szCs w:val="32"/>
          <w:highlight w:val="none"/>
          <w:lang w:val="en-US" w:eastAsia="zh-CN" w:bidi="ar-SA"/>
        </w:rPr>
        <w:t>，按照“先急后缓、分步实施”的原则，有序开展管廊主体结构施工、管线入廊、智能化监控系统安装等系列工程，着力构建安全高效、集约共享的地下综合管廊体系，切实提升城市基础设施承载能力和运行效率</w:t>
      </w:r>
      <w:r>
        <w:rPr>
          <w:rFonts w:hint="eastAsia" w:ascii="仿宋" w:hAnsi="仿宋" w:eastAsia="仿宋" w:cs="仿宋"/>
          <w:color w:val="auto"/>
          <w:sz w:val="32"/>
          <w:szCs w:val="32"/>
          <w:highlight w:val="none"/>
          <w:lang w:val="en-US" w:eastAsia="zh-CN"/>
        </w:rPr>
        <w:t>。</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71E209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1A8F889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专栏15：地下管网和管廊建设</w:t>
            </w:r>
          </w:p>
          <w:p w14:paraId="3901AFE0">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1.马尔康市主城区微管廊建设项目：</w:t>
            </w:r>
            <w:r>
              <w:rPr>
                <w:rFonts w:hint="eastAsia" w:ascii="仿宋" w:hAnsi="仿宋" w:eastAsia="仿宋" w:cs="仿宋"/>
                <w:b w:val="0"/>
                <w:bCs w:val="0"/>
                <w:color w:val="auto"/>
                <w:sz w:val="24"/>
                <w:szCs w:val="24"/>
                <w:highlight w:val="none"/>
                <w:u w:val="none"/>
                <w:lang w:val="en-US" w:eastAsia="zh-CN"/>
              </w:rPr>
              <w:t>在城区道路延线构建小型化预制弱动力管道，并配套智能化、智能监控、通风、照明、检修口等辅助设施。</w:t>
            </w:r>
          </w:p>
        </w:tc>
      </w:tr>
    </w:tbl>
    <w:p w14:paraId="20D08D94">
      <w:pPr>
        <w:shd w:val="clear"/>
        <w:bidi w:val="0"/>
        <w:rPr>
          <w:rFonts w:hint="eastAsia"/>
          <w:color w:val="auto"/>
          <w:lang w:val="en-US" w:eastAsia="zh-CN"/>
        </w:rPr>
      </w:pPr>
    </w:p>
    <w:p w14:paraId="4F2C045D">
      <w:pPr>
        <w:shd w:val="clear"/>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br w:type="page"/>
      </w:r>
    </w:p>
    <w:p w14:paraId="3AE403B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38" w:name="_Toc27762"/>
      <w:r>
        <w:rPr>
          <w:rFonts w:hint="eastAsia" w:ascii="方正小标宋简体" w:hAnsi="方正小标宋简体" w:eastAsia="方正小标宋简体" w:cs="方正小标宋简体"/>
          <w:color w:val="auto"/>
          <w:sz w:val="44"/>
          <w:szCs w:val="44"/>
          <w:lang w:val="en-US" w:eastAsia="zh-CN"/>
        </w:rPr>
        <w:t>第七章 健全住房保障体系</w:t>
      </w:r>
      <w:bookmarkEnd w:id="38"/>
    </w:p>
    <w:p w14:paraId="4E324026">
      <w:pPr>
        <w:keepNext w:val="0"/>
        <w:keepLines w:val="0"/>
        <w:pageBreakBefore w:val="0"/>
        <w:widowControl w:val="0"/>
        <w:shd w:val="clear"/>
        <w:kinsoku/>
        <w:wordWrap/>
        <w:overflowPunct/>
        <w:topLinePunct w:val="0"/>
        <w:autoSpaceDE/>
        <w:autoSpaceDN/>
        <w:bidi w:val="0"/>
        <w:adjustRightInd/>
        <w:snapToGrid/>
        <w:ind w:firstLine="643" w:firstLineChars="200"/>
        <w:textAlignment w:val="auto"/>
        <w:rPr>
          <w:rFonts w:hint="eastAsia" w:ascii="仿宋" w:hAnsi="仿宋" w:eastAsia="仿宋" w:cs="仿宋"/>
          <w:b/>
          <w:bCs/>
          <w:color w:val="auto"/>
          <w:sz w:val="32"/>
          <w:szCs w:val="32"/>
          <w:highlight w:val="none"/>
          <w:lang w:val="en-US" w:eastAsia="zh-CN"/>
        </w:rPr>
      </w:pPr>
    </w:p>
    <w:p w14:paraId="3076CC8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highlight w:val="none"/>
          <w:lang w:val="en-US" w:eastAsia="zh-CN"/>
        </w:rPr>
      </w:pPr>
      <w:bookmarkStart w:id="39" w:name="_Toc14015"/>
      <w:r>
        <w:rPr>
          <w:rFonts w:hint="eastAsia" w:ascii="黑体" w:hAnsi="黑体" w:eastAsia="黑体" w:cs="黑体"/>
          <w:b w:val="0"/>
          <w:bCs w:val="0"/>
          <w:color w:val="auto"/>
          <w:sz w:val="32"/>
          <w:szCs w:val="32"/>
          <w:lang w:val="en-US" w:eastAsia="zh-CN"/>
        </w:rPr>
        <w:t>一、完善保障性住房建设</w:t>
      </w:r>
      <w:bookmarkEnd w:id="39"/>
    </w:p>
    <w:p w14:paraId="16EC377E">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依据《马尔康市公共租赁住房管理办法》做好公租房管理，搭建公租房数字化管理平台，实现数据实时更新和共享，提高管理效率，确保公租房资源的合理配置。制定保障性租赁住房建设规划，明确近几年建设目标和任务，确保能有效推进配售型保障性住房建设项目。合理确定公租房保障对象并发放租赁补贴，缓解困难群众资金压力。规划建设保障性住房和商业综合体，并对大郎足沟廉租房开展适老化提升改造，增强区域内住房保障水平。</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FBDAC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noWrap w:val="0"/>
            <w:vAlign w:val="top"/>
          </w:tcPr>
          <w:p w14:paraId="2F1DF893">
            <w:pPr>
              <w:pStyle w:val="2"/>
              <w:shd w:val="clear"/>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专栏16：住房保障</w:t>
            </w:r>
          </w:p>
          <w:p w14:paraId="72ED164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1.马尔康市保障性租赁住房及配套设施建设项目：</w:t>
            </w:r>
            <w:r>
              <w:rPr>
                <w:rFonts w:hint="eastAsia" w:ascii="仿宋" w:hAnsi="仿宋" w:eastAsia="仿宋" w:cs="仿宋"/>
                <w:b w:val="0"/>
                <w:bCs w:val="0"/>
                <w:color w:val="auto"/>
                <w:sz w:val="24"/>
                <w:szCs w:val="24"/>
                <w:highlight w:val="none"/>
                <w:lang w:val="en-US" w:eastAsia="zh-CN"/>
              </w:rPr>
              <w:t>本项目占地面积28000平方米，总建筑面积70000.00m，其中:住房建筑面积约53600m，配套便民服务用房建筑面积约6000.00㎡，体育运动场所建筑面积约1500.00㎡，地下室建筑面积约8900.00m。规划纳入2025年建设保障性租赁住房计。</w:t>
            </w:r>
          </w:p>
          <w:p w14:paraId="5083A96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ascii="仿宋" w:hAnsi="仿宋" w:eastAsia="仿宋" w:cs="仿宋"/>
                <w:b/>
                <w:bCs/>
                <w:color w:val="auto"/>
                <w:sz w:val="24"/>
                <w:szCs w:val="24"/>
                <w:highlight w:val="none"/>
                <w:lang w:val="en-US" w:eastAsia="zh-CN"/>
              </w:rPr>
              <w:t>2.马尔康市危旧房改造安置住房基础设施配套建设项目：</w:t>
            </w:r>
            <w:r>
              <w:rPr>
                <w:rFonts w:hint="eastAsia" w:ascii="仿宋" w:hAnsi="仿宋" w:eastAsia="仿宋" w:cs="仿宋"/>
                <w:b w:val="0"/>
                <w:bCs w:val="0"/>
                <w:color w:val="auto"/>
                <w:sz w:val="24"/>
                <w:szCs w:val="24"/>
                <w:highlight w:val="yellow"/>
                <w:lang w:val="en-US" w:eastAsia="zh-CN"/>
              </w:rPr>
              <w:t>新建120套危旧房改造安置住房涉及的配套设施。</w:t>
            </w:r>
          </w:p>
        </w:tc>
      </w:tr>
    </w:tbl>
    <w:p w14:paraId="6093FD4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0" w:name="_Toc697"/>
      <w:r>
        <w:rPr>
          <w:rFonts w:hint="eastAsia" w:ascii="黑体" w:hAnsi="黑体" w:eastAsia="黑体" w:cs="黑体"/>
          <w:b w:val="0"/>
          <w:bCs w:val="0"/>
          <w:color w:val="auto"/>
          <w:sz w:val="32"/>
          <w:szCs w:val="32"/>
          <w:lang w:val="en-US" w:eastAsia="zh-CN"/>
        </w:rPr>
        <w:t>二、加强物业服务管理</w:t>
      </w:r>
      <w:bookmarkEnd w:id="40"/>
    </w:p>
    <w:p w14:paraId="7170585E">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深化“党建+物业”模式，以党建引领为抓手，推动物业管理深度融入社区基层治理，实现党建与物业管理的有机融合。定期开展培训活动，对小区物业管理人员进行系统性培训，提升其专业技能和服务水平，进而提高管理效率。规范物业管理市场，通过评选和推广物业服务示范品牌，树立行业标杆，进一步提升全市物业服务的整体质量和管理水平。</w:t>
      </w:r>
    </w:p>
    <w:p w14:paraId="65945C5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1" w:name="_Toc22429"/>
      <w:r>
        <w:rPr>
          <w:rFonts w:hint="eastAsia" w:ascii="黑体" w:hAnsi="黑体" w:eastAsia="黑体" w:cs="黑体"/>
          <w:b w:val="0"/>
          <w:bCs w:val="0"/>
          <w:color w:val="auto"/>
          <w:sz w:val="32"/>
          <w:szCs w:val="32"/>
          <w:lang w:val="en-US" w:eastAsia="zh-CN"/>
        </w:rPr>
        <w:t>三、提升农村住房保障水平</w:t>
      </w:r>
      <w:bookmarkEnd w:id="41"/>
    </w:p>
    <w:p w14:paraId="42D368AA">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实施农村低收入群体住房安全动态监测，加强农村危房改造的技术指导与质量监管，确保改造工程的质量和安全。探索农村住房保障的新模式，加大农村建筑工匠的培训力度，提升其专业技能和施工水平，从而提高农村住房建设的整体质量。建立健全质量监管体系，确保每项改造工程均符合国家规定的安全标准。</w:t>
      </w:r>
    </w:p>
    <w:p w14:paraId="37D6BEF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2" w:name="_Toc16942"/>
      <w:r>
        <w:rPr>
          <w:rFonts w:hint="eastAsia" w:ascii="黑体" w:hAnsi="黑体" w:eastAsia="黑体" w:cs="黑体"/>
          <w:b w:val="0"/>
          <w:bCs w:val="0"/>
          <w:color w:val="auto"/>
          <w:sz w:val="32"/>
          <w:szCs w:val="32"/>
          <w:lang w:val="en-US" w:eastAsia="zh-CN"/>
        </w:rPr>
        <w:t>四、优化体系平台建设</w:t>
      </w:r>
      <w:bookmarkEnd w:id="42"/>
    </w:p>
    <w:p w14:paraId="47BE073B">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建立房地产市场监测体系，实时监控房价波动、成交量变化以及库存增减等市场动态。并对这些关键数据的持续跟踪和分析，以便及时了解市场的整体状况，为政策制定和市场调控提供科学依据。建设房屋交易监管数字化能力强化项目，整合房屋交易合同网签备案、资金监管、房源信息发布等多项功能，实现一体化管理。通过信息化平台公开房源信息、交易价格和相关法律法规，提高房屋交易透明度，方便群众办事。</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A3854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noWrap w:val="0"/>
            <w:vAlign w:val="top"/>
          </w:tcPr>
          <w:p w14:paraId="392B7A86">
            <w:pPr>
              <w:pStyle w:val="2"/>
              <w:shd w:val="clear"/>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专栏17：房屋交易</w:t>
            </w:r>
          </w:p>
          <w:p w14:paraId="560B388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ascii="仿宋" w:hAnsi="仿宋" w:eastAsia="仿宋" w:cs="仿宋"/>
                <w:b/>
                <w:bCs/>
                <w:color w:val="auto"/>
                <w:sz w:val="24"/>
                <w:szCs w:val="24"/>
                <w:highlight w:val="yellow"/>
                <w:lang w:val="en-US" w:eastAsia="zh-CN"/>
              </w:rPr>
              <w:t>1.房屋交易监管数字化能力强化项目：</w:t>
            </w:r>
            <w:r>
              <w:rPr>
                <w:rFonts w:hint="eastAsia" w:ascii="仿宋" w:hAnsi="仿宋" w:eastAsia="仿宋" w:cs="仿宋"/>
                <w:b w:val="0"/>
                <w:bCs w:val="0"/>
                <w:color w:val="auto"/>
                <w:sz w:val="24"/>
                <w:szCs w:val="24"/>
                <w:highlight w:val="yellow"/>
                <w:lang w:val="en-US" w:eastAsia="zh-CN"/>
              </w:rPr>
              <w:t>提高平台信息共享。</w:t>
            </w:r>
          </w:p>
        </w:tc>
      </w:tr>
    </w:tbl>
    <w:p w14:paraId="144EEA1B">
      <w:pPr>
        <w:shd w:val="clear"/>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br w:type="page"/>
      </w:r>
    </w:p>
    <w:p w14:paraId="0976F93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43" w:name="_Toc19381"/>
      <w:r>
        <w:rPr>
          <w:rFonts w:hint="eastAsia" w:ascii="方正小标宋简体" w:hAnsi="方正小标宋简体" w:eastAsia="方正小标宋简体" w:cs="方正小标宋简体"/>
          <w:color w:val="auto"/>
          <w:sz w:val="44"/>
          <w:szCs w:val="44"/>
          <w:lang w:val="en-US" w:eastAsia="zh-CN"/>
        </w:rPr>
        <w:t>第八章 强化建筑业监管</w:t>
      </w:r>
      <w:bookmarkEnd w:id="43"/>
    </w:p>
    <w:p w14:paraId="1F3255BC">
      <w:pPr>
        <w:keepNext w:val="0"/>
        <w:keepLines w:val="0"/>
        <w:pageBreakBefore w:val="0"/>
        <w:widowControl w:val="0"/>
        <w:shd w:val="clear"/>
        <w:kinsoku/>
        <w:wordWrap/>
        <w:overflowPunct/>
        <w:topLinePunct w:val="0"/>
        <w:autoSpaceDE/>
        <w:autoSpaceDN/>
        <w:bidi w:val="0"/>
        <w:adjustRightInd/>
        <w:snapToGrid/>
        <w:ind w:firstLine="643" w:firstLineChars="200"/>
        <w:textAlignment w:val="auto"/>
        <w:rPr>
          <w:rFonts w:hint="eastAsia" w:ascii="仿宋" w:hAnsi="仿宋" w:eastAsia="仿宋" w:cs="仿宋"/>
          <w:b/>
          <w:bCs/>
          <w:color w:val="auto"/>
          <w:sz w:val="32"/>
          <w:szCs w:val="32"/>
          <w:highlight w:val="none"/>
          <w:lang w:val="en-US" w:eastAsia="zh-CN"/>
        </w:rPr>
      </w:pPr>
    </w:p>
    <w:p w14:paraId="1B207D7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4" w:name="_Toc1183"/>
      <w:r>
        <w:rPr>
          <w:rFonts w:hint="eastAsia" w:ascii="黑体" w:hAnsi="黑体" w:eastAsia="黑体" w:cs="黑体"/>
          <w:b w:val="0"/>
          <w:bCs w:val="0"/>
          <w:color w:val="auto"/>
          <w:sz w:val="32"/>
          <w:szCs w:val="32"/>
          <w:lang w:val="en-US" w:eastAsia="zh-CN"/>
        </w:rPr>
        <w:t>一、强化建筑企业培育力度</w:t>
      </w:r>
      <w:bookmarkEnd w:id="44"/>
    </w:p>
    <w:p w14:paraId="031E6D47">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制定精准的扶持政策，在资质提升、市场拓展、科技创新等多个层面提供全方位的支持。搭建建筑企业培育与协同发展平台，促进本地企业与外来企业的深度合作，实现资源共享与优势互补；并积极组织企业参与培训交流活动，邀请行业专家及企业管理者分享宝贵经验，全面提升企业的管理与专业技术水平。</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7410DC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noWrap w:val="0"/>
            <w:vAlign w:val="top"/>
          </w:tcPr>
          <w:p w14:paraId="6829652B">
            <w:pPr>
              <w:pStyle w:val="2"/>
              <w:shd w:val="clear"/>
              <w:spacing w:line="360" w:lineRule="auto"/>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专栏18：建筑企业</w:t>
            </w:r>
          </w:p>
          <w:p w14:paraId="290129C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ascii="仿宋" w:hAnsi="仿宋" w:eastAsia="仿宋" w:cs="仿宋"/>
                <w:b/>
                <w:bCs/>
                <w:color w:val="auto"/>
                <w:sz w:val="24"/>
                <w:szCs w:val="24"/>
                <w:highlight w:val="yellow"/>
                <w:lang w:val="en-US" w:eastAsia="zh-CN"/>
              </w:rPr>
              <w:t>1.建筑企业培育与协同发展平台建设项目：</w:t>
            </w:r>
            <w:r>
              <w:rPr>
                <w:rFonts w:hint="eastAsia" w:ascii="仿宋" w:hAnsi="仿宋" w:eastAsia="仿宋" w:cs="仿宋"/>
                <w:b w:val="0"/>
                <w:bCs w:val="0"/>
                <w:color w:val="auto"/>
                <w:sz w:val="24"/>
                <w:szCs w:val="24"/>
                <w:highlight w:val="yellow"/>
                <w:lang w:val="en-US" w:eastAsia="zh-CN"/>
              </w:rPr>
              <w:t>开发企业协同合作数字化平台，链接本地17家在库企业与外来优质企业，实现资源共享；定期搭建行业交流展厅，组织培训交流活动。</w:t>
            </w:r>
          </w:p>
        </w:tc>
      </w:tr>
    </w:tbl>
    <w:p w14:paraId="08044B9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5" w:name="_Toc1487"/>
      <w:r>
        <w:rPr>
          <w:rFonts w:hint="eastAsia" w:ascii="黑体" w:hAnsi="黑体" w:eastAsia="黑体" w:cs="黑体"/>
          <w:b w:val="0"/>
          <w:bCs w:val="0"/>
          <w:color w:val="auto"/>
          <w:sz w:val="32"/>
          <w:szCs w:val="32"/>
          <w:lang w:val="en-US" w:eastAsia="zh-CN"/>
        </w:rPr>
        <w:t>二、强化市场安全监管</w:t>
      </w:r>
      <w:bookmarkEnd w:id="45"/>
    </w:p>
    <w:p w14:paraId="2DA59C84">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持续推进住建领域数字化监管建设，依托各类智慧专项项目，构建全覆盖、全链条、智能化的市场监管体系。推行预售资金“三方共管”模式，升级资金溯源核验系统，搭建不动产疑点筛查模型，精准排查监管漏洞。常态化开展市场专项检查，严厉查处违规建设行为，曝光典型案例，健全信用惩戒与长效监管机制，持续规范建筑市场秩序，提升行业法治化、智慧化监管水平。</w:t>
      </w:r>
    </w:p>
    <w:tbl>
      <w:tblPr>
        <w:tblStyle w:val="9"/>
        <w:tblpPr w:leftFromText="180" w:rightFromText="180" w:vertAnchor="text" w:tblpY="177"/>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E568D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noWrap w:val="0"/>
            <w:vAlign w:val="top"/>
          </w:tcPr>
          <w:p w14:paraId="6F5D8221">
            <w:pPr>
              <w:pStyle w:val="2"/>
              <w:shd w:val="clear"/>
              <w:spacing w:line="360" w:lineRule="auto"/>
              <w:jc w:val="center"/>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专栏19：建筑监管</w:t>
            </w:r>
          </w:p>
          <w:p w14:paraId="276C3B4E">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yellow"/>
                <w:lang w:val="en-US" w:eastAsia="zh-CN"/>
              </w:rPr>
              <w:t>1.</w:t>
            </w:r>
            <w:r>
              <w:rPr>
                <w:rFonts w:hint="default" w:ascii="仿宋" w:hAnsi="仿宋" w:eastAsia="仿宋" w:cs="仿宋"/>
                <w:b/>
                <w:bCs/>
                <w:color w:val="auto"/>
                <w:sz w:val="24"/>
                <w:szCs w:val="24"/>
                <w:highlight w:val="yellow"/>
                <w:lang w:val="en-US" w:eastAsia="zh-CN"/>
              </w:rPr>
              <w:t>房屋交易监管数字化能力强化项目</w:t>
            </w:r>
            <w:r>
              <w:rPr>
                <w:rFonts w:hint="eastAsia" w:ascii="仿宋" w:hAnsi="仿宋" w:eastAsia="仿宋" w:cs="仿宋"/>
                <w:b/>
                <w:bCs/>
                <w:color w:val="auto"/>
                <w:sz w:val="24"/>
                <w:szCs w:val="24"/>
                <w:highlight w:val="yellow"/>
                <w:lang w:val="en-US" w:eastAsia="zh-CN"/>
              </w:rPr>
              <w:t>：</w:t>
            </w:r>
            <w:r>
              <w:rPr>
                <w:rFonts w:hint="default" w:ascii="仿宋" w:hAnsi="仿宋" w:eastAsia="仿宋" w:cs="仿宋"/>
                <w:b w:val="0"/>
                <w:bCs w:val="0"/>
                <w:color w:val="auto"/>
                <w:sz w:val="24"/>
                <w:szCs w:val="24"/>
                <w:highlight w:val="yellow"/>
                <w:lang w:val="en-US" w:eastAsia="zh-CN"/>
              </w:rPr>
              <w:t>推行预售资金 “三方共管” 模式，升级监管系统以实现资金流向实时追踪及节点自动核验；开发 “不动产疑点筛查模型”，整合税收优惠、产权信息等数据。</w:t>
            </w:r>
          </w:p>
        </w:tc>
      </w:tr>
    </w:tbl>
    <w:p w14:paraId="19A8012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6" w:name="_Toc14628"/>
      <w:r>
        <w:rPr>
          <w:rFonts w:hint="eastAsia" w:ascii="黑体" w:hAnsi="黑体" w:eastAsia="黑体" w:cs="黑体"/>
          <w:b w:val="0"/>
          <w:bCs w:val="0"/>
          <w:color w:val="auto"/>
          <w:sz w:val="32"/>
          <w:szCs w:val="32"/>
          <w:lang w:val="en-US" w:eastAsia="zh-CN"/>
        </w:rPr>
        <w:t>三、推行智能建造工程</w:t>
      </w:r>
      <w:bookmarkEnd w:id="46"/>
    </w:p>
    <w:p w14:paraId="004D7BAD">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立足马尔康高原城市建设与建筑业发展实际，以数字化、智能化赋能行业转型升级为导向，大力推进智能建造工程建设。推广BIM技术、物联网、智慧工地等新技术在房屋建筑、市政工程、城市更新项目全过程集成应用，适配高原高寒施工特点。优先在政府投资项目、重点民生工程示范落地智能建造模式，确保智能建造工程项目覆盖率达10%，引导本地建筑企业向智能施工、数字运维转型。健全智能建造技术应用标准与监管体系，培育专业技术人才队伍，以点带面扩大示范效应，推动传统建造方式迭代升级，全面提升工程建设质量、安全管控与行业现代化发展水平。</w:t>
      </w:r>
    </w:p>
    <w:p w14:paraId="69DC362F">
      <w:pPr>
        <w:shd w:val="clea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br w:type="page"/>
      </w:r>
    </w:p>
    <w:p w14:paraId="5CB2FA56">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47" w:name="_Toc2668"/>
      <w:r>
        <w:rPr>
          <w:rFonts w:hint="eastAsia" w:ascii="方正小标宋简体" w:hAnsi="方正小标宋简体" w:eastAsia="方正小标宋简体" w:cs="方正小标宋简体"/>
          <w:color w:val="auto"/>
          <w:sz w:val="44"/>
          <w:szCs w:val="44"/>
          <w:lang w:val="en-US" w:eastAsia="zh-CN"/>
        </w:rPr>
        <w:t>第九章 培育绿色建筑产业</w:t>
      </w:r>
      <w:bookmarkEnd w:id="47"/>
    </w:p>
    <w:p w14:paraId="1E71D863">
      <w:pPr>
        <w:keepNext w:val="0"/>
        <w:keepLines w:val="0"/>
        <w:pageBreakBefore w:val="0"/>
        <w:widowControl w:val="0"/>
        <w:shd w:val="clear"/>
        <w:kinsoku/>
        <w:wordWrap/>
        <w:overflowPunct/>
        <w:topLinePunct w:val="0"/>
        <w:autoSpaceDE/>
        <w:autoSpaceDN/>
        <w:bidi w:val="0"/>
        <w:adjustRightInd/>
        <w:snapToGrid/>
        <w:ind w:firstLine="643" w:firstLineChars="200"/>
        <w:textAlignment w:val="auto"/>
        <w:rPr>
          <w:rFonts w:hint="eastAsia" w:ascii="仿宋" w:hAnsi="仿宋" w:eastAsia="仿宋" w:cs="仿宋"/>
          <w:b/>
          <w:bCs/>
          <w:color w:val="auto"/>
          <w:sz w:val="32"/>
          <w:szCs w:val="32"/>
          <w:highlight w:val="none"/>
          <w:lang w:val="en-US" w:eastAsia="zh-CN"/>
        </w:rPr>
      </w:pPr>
    </w:p>
    <w:p w14:paraId="31D3B60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8" w:name="_Toc25840"/>
      <w:r>
        <w:rPr>
          <w:rFonts w:hint="eastAsia" w:ascii="黑体" w:hAnsi="黑体" w:eastAsia="黑体" w:cs="黑体"/>
          <w:b w:val="0"/>
          <w:bCs w:val="0"/>
          <w:color w:val="auto"/>
          <w:sz w:val="32"/>
          <w:szCs w:val="32"/>
          <w:lang w:val="en-US" w:eastAsia="zh-CN"/>
        </w:rPr>
        <w:t>一、推广绿色建筑</w:t>
      </w:r>
      <w:bookmarkEnd w:id="48"/>
    </w:p>
    <w:p w14:paraId="6DA9779D">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贯彻绿色建筑标准，确保新建建筑合规。制定激励政策，对高星级绿色建筑项目给予容积率奖励、资金补贴等优惠，鼓励开发商和建筑企业积极参与绿色建筑的建设，同时开展既有建筑节能改造技术培训。推广绿色建筑技术与产品，提高建筑行业对绿色建筑的认识和技能水平，打造示范项目，绿色建筑在新建建筑中的占比，推动整个建筑行业向更加环保和可持续的方向发展。</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4366D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noWrap w:val="0"/>
            <w:vAlign w:val="top"/>
          </w:tcPr>
          <w:p w14:paraId="354BA03E">
            <w:pPr>
              <w:pStyle w:val="2"/>
              <w:shd w:val="clear"/>
              <w:spacing w:line="360" w:lineRule="auto"/>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专栏20：绿色建筑</w:t>
            </w:r>
          </w:p>
          <w:p w14:paraId="4A98422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ascii="仿宋" w:hAnsi="仿宋" w:eastAsia="仿宋" w:cs="仿宋"/>
                <w:b/>
                <w:bCs/>
                <w:color w:val="auto"/>
                <w:sz w:val="24"/>
                <w:szCs w:val="24"/>
                <w:highlight w:val="yellow"/>
                <w:lang w:val="en-US" w:eastAsia="zh-CN"/>
              </w:rPr>
              <w:t>1.建筑节能改造技术培训项目。</w:t>
            </w:r>
            <w:r>
              <w:rPr>
                <w:rFonts w:hint="eastAsia" w:ascii="仿宋" w:hAnsi="仿宋" w:eastAsia="仿宋" w:cs="仿宋"/>
                <w:b w:val="0"/>
                <w:bCs w:val="0"/>
                <w:color w:val="auto"/>
                <w:sz w:val="24"/>
                <w:szCs w:val="24"/>
                <w:highlight w:val="yellow"/>
                <w:lang w:val="en-US" w:eastAsia="zh-CN"/>
              </w:rPr>
              <w:t>开展既有建筑节能改造技术培训，培育本土改造施工团队。</w:t>
            </w:r>
          </w:p>
        </w:tc>
      </w:tr>
    </w:tbl>
    <w:p w14:paraId="1180D36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49" w:name="_Toc31165"/>
      <w:r>
        <w:rPr>
          <w:rFonts w:hint="eastAsia" w:ascii="黑体" w:hAnsi="黑体" w:eastAsia="黑体" w:cs="黑体"/>
          <w:b w:val="0"/>
          <w:bCs w:val="0"/>
          <w:color w:val="auto"/>
          <w:sz w:val="32"/>
          <w:szCs w:val="32"/>
          <w:lang w:val="en-US" w:eastAsia="zh-CN"/>
        </w:rPr>
        <w:t>二、发展装配式建筑</w:t>
      </w:r>
      <w:bookmarkEnd w:id="49"/>
    </w:p>
    <w:p w14:paraId="44E876CF">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立足马尔康建筑业现有产业基础与高原城市建设实际，顺应新型建筑工业化、绿色低碳发展趋势，持续推动建造方式转型升级。严格落实装配式建筑推广要求，将政府投资公共建筑、市政工程及城镇新建住宅作为重点推广领域，稳步提升推广规模，确保新开工装配式建筑占新建建筑比例达到20%。因地制宜适配高原气候与民族建筑风貌特点，优先推广适宜本地的装配式钢结构、轻型预制构件体系。培育壮大本地建筑企业转型发展，完善设计、生产、施工全链条服务能力，强化全过程标准监管，打造示范标杆，引领行业向绿色化、工业化、标准化高质量发展。</w:t>
      </w:r>
    </w:p>
    <w:p w14:paraId="63426CB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50" w:name="_Toc24573"/>
      <w:r>
        <w:rPr>
          <w:rFonts w:hint="eastAsia" w:ascii="黑体" w:hAnsi="黑体" w:eastAsia="黑体" w:cs="黑体"/>
          <w:b w:val="0"/>
          <w:bCs w:val="0"/>
          <w:color w:val="auto"/>
          <w:sz w:val="32"/>
          <w:szCs w:val="32"/>
          <w:lang w:val="en-US" w:eastAsia="zh-CN"/>
        </w:rPr>
        <w:t>三、培育行业精英</w:t>
      </w:r>
      <w:bookmarkEnd w:id="50"/>
    </w:p>
    <w:p w14:paraId="06952220">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制定本土人才培养方案，进一步深化与院校合作，构建人才培养基地。加大建筑工人技能培训投入力度，确保工匠能够掌握最新的技术和知识。评选杰出企业与人才，推行人才激励制度，通过各种奖励和激励措施，激发人才的潜力和创造力，进一步推动整个行业的发展。</w:t>
      </w:r>
    </w:p>
    <w:p w14:paraId="246218C8">
      <w:pPr>
        <w:shd w:val="clear"/>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br w:type="page"/>
      </w:r>
    </w:p>
    <w:p w14:paraId="7294BD6A">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val="en-US" w:eastAsia="zh-CN"/>
        </w:rPr>
      </w:pPr>
      <w:bookmarkStart w:id="51" w:name="_Toc19002"/>
      <w:r>
        <w:rPr>
          <w:rFonts w:hint="eastAsia" w:ascii="方正小标宋简体" w:hAnsi="方正小标宋简体" w:eastAsia="方正小标宋简体" w:cs="方正小标宋简体"/>
          <w:color w:val="auto"/>
          <w:sz w:val="44"/>
          <w:szCs w:val="44"/>
          <w:lang w:val="en-US" w:eastAsia="zh-CN"/>
        </w:rPr>
        <w:t>第十章 深化城乡环境治理</w:t>
      </w:r>
      <w:bookmarkEnd w:id="51"/>
    </w:p>
    <w:p w14:paraId="46294B72">
      <w:pPr>
        <w:keepNext w:val="0"/>
        <w:keepLines w:val="0"/>
        <w:pageBreakBefore w:val="0"/>
        <w:widowControl w:val="0"/>
        <w:shd w:val="clea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color w:val="auto"/>
          <w:sz w:val="32"/>
          <w:szCs w:val="32"/>
          <w:highlight w:val="none"/>
          <w:u w:val="none"/>
          <w:lang w:val="en-US" w:eastAsia="zh-CN"/>
        </w:rPr>
      </w:pPr>
    </w:p>
    <w:p w14:paraId="5BB78D4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黑体" w:hAnsi="黑体" w:eastAsia="黑体" w:cs="黑体"/>
          <w:b w:val="0"/>
          <w:bCs w:val="0"/>
          <w:color w:val="auto"/>
          <w:sz w:val="32"/>
          <w:szCs w:val="32"/>
          <w:lang w:val="en-US" w:eastAsia="zh-CN"/>
        </w:rPr>
      </w:pPr>
      <w:bookmarkStart w:id="52" w:name="_Toc21432"/>
      <w:r>
        <w:rPr>
          <w:rFonts w:hint="eastAsia" w:ascii="黑体" w:hAnsi="黑体" w:eastAsia="黑体" w:cs="黑体"/>
          <w:b w:val="0"/>
          <w:bCs w:val="0"/>
          <w:color w:val="auto"/>
          <w:sz w:val="32"/>
          <w:szCs w:val="32"/>
          <w:lang w:val="en-US" w:eastAsia="zh-CN"/>
        </w:rPr>
        <w:t>一、规范城市风貌管控</w:t>
      </w:r>
      <w:bookmarkEnd w:id="52"/>
    </w:p>
    <w:p w14:paraId="39425CE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分类治理违规占道与流动摊贩，划定“严管街”，严禁任何形式占道经营；在居民集中区、学校周边规划“便民疏导区”，规范流动摊贩经营时间，统一配备经营设施与垃圾收纳箱。集中清理乱搭乱建与乱贴乱画，开展“拆违治乱”专项行动，重点拆除主次干道两侧、小区内未经审批的私搭棚亭、违规广告牌；组建专业清理队伍，定期对公交站台、墙体、路灯杆等设施的广告进行清除，同步在社区设置“便民信息公示栏”，引导广告规范张贴。加大城镇干道、公园广场、街角空地等公共场所日常保洁，及时修剪、整形城镇树木，养护、更新花草景观。</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54BCB5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18" w:hRule="atLeast"/>
        </w:trPr>
        <w:tc>
          <w:tcPr>
            <w:tcW w:w="8522" w:type="dxa"/>
            <w:tcBorders>
              <w:tl2br w:val="nil"/>
              <w:tr2bl w:val="nil"/>
            </w:tcBorders>
            <w:noWrap w:val="0"/>
            <w:vAlign w:val="top"/>
          </w:tcPr>
          <w:p w14:paraId="44A2E9E2">
            <w:pPr>
              <w:pStyle w:val="2"/>
              <w:shd w:val="clear"/>
              <w:jc w:val="center"/>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专栏21：风貌管控</w:t>
            </w:r>
          </w:p>
          <w:p w14:paraId="0197FEF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1.马尔康市城市雕塑、壁画系统修复工程：</w:t>
            </w:r>
            <w:r>
              <w:rPr>
                <w:rFonts w:hint="eastAsia" w:ascii="仿宋" w:hAnsi="仿宋" w:eastAsia="仿宋" w:cs="仿宋"/>
                <w:b w:val="0"/>
                <w:bCs w:val="0"/>
                <w:color w:val="auto"/>
                <w:sz w:val="24"/>
                <w:szCs w:val="24"/>
                <w:highlight w:val="none"/>
                <w:u w:val="none"/>
                <w:lang w:val="en-US" w:eastAsia="zh-CN"/>
              </w:rPr>
              <w:t>中心城区范围内规范统一全市雕塑、精神堡垒、壁画、大型标识标语的设计风格和设置要求，与 城市风貌协调统一。</w:t>
            </w:r>
          </w:p>
          <w:p w14:paraId="27353CF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2.马尔康市全市隔离桩/墩品质提升：</w:t>
            </w:r>
            <w:r>
              <w:rPr>
                <w:rFonts w:hint="eastAsia" w:ascii="仿宋" w:hAnsi="仿宋" w:eastAsia="仿宋" w:cs="仿宋"/>
                <w:b w:val="0"/>
                <w:bCs w:val="0"/>
                <w:color w:val="auto"/>
                <w:sz w:val="24"/>
                <w:szCs w:val="24"/>
                <w:highlight w:val="none"/>
                <w:u w:val="none"/>
                <w:lang w:val="en-US" w:eastAsia="zh-CN"/>
              </w:rPr>
              <w:t>规范统一全市城市道路人行道隔离桩/墩设计样式和设置标准，展示马尔康人文特色，改善通行条件，提升服务品质。</w:t>
            </w:r>
          </w:p>
        </w:tc>
      </w:tr>
    </w:tbl>
    <w:p w14:paraId="77E63B63">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32"/>
          <w:szCs w:val="32"/>
          <w:highlight w:val="none"/>
          <w:lang w:val="en-US" w:eastAsia="zh-CN"/>
        </w:rPr>
      </w:pPr>
    </w:p>
    <w:p w14:paraId="4E1533F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53" w:name="_Toc16654"/>
      <w:r>
        <w:rPr>
          <w:rFonts w:hint="eastAsia" w:ascii="黑体" w:hAnsi="黑体" w:eastAsia="黑体" w:cs="黑体"/>
          <w:b w:val="0"/>
          <w:bCs w:val="0"/>
          <w:color w:val="auto"/>
          <w:sz w:val="32"/>
          <w:szCs w:val="32"/>
          <w:lang w:val="en-US" w:eastAsia="zh-CN"/>
        </w:rPr>
        <w:t>二、补齐镇村设施短板</w:t>
      </w:r>
      <w:bookmarkEnd w:id="53"/>
    </w:p>
    <w:p w14:paraId="5927875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马尔康市以民生改善和产业发展为导向，全面推进村镇基础设施短板补齐工作。推进</w:t>
      </w:r>
      <w:r>
        <w:rPr>
          <w:rFonts w:hint="eastAsia" w:ascii="仿宋" w:hAnsi="仿宋" w:eastAsia="仿宋" w:cs="仿宋"/>
          <w:color w:val="auto"/>
          <w:sz w:val="32"/>
          <w:szCs w:val="32"/>
          <w:highlight w:val="none"/>
          <w:lang w:val="en-US" w:eastAsia="zh-CN"/>
        </w:rPr>
        <w:t>建制镇</w:t>
      </w:r>
      <w:r>
        <w:rPr>
          <w:rFonts w:hint="default" w:ascii="仿宋" w:hAnsi="仿宋" w:eastAsia="仿宋" w:cs="仿宋"/>
          <w:color w:val="auto"/>
          <w:sz w:val="32"/>
          <w:szCs w:val="32"/>
          <w:highlight w:val="none"/>
          <w:lang w:val="en-US" w:eastAsia="zh-CN"/>
        </w:rPr>
        <w:t>污水处理厂设施及配套管网修复，完善污水无害化、资源化处理设施，持续改善村镇水环境质量。</w:t>
      </w:r>
      <w:r>
        <w:rPr>
          <w:rFonts w:hint="eastAsia" w:ascii="仿宋" w:hAnsi="仿宋" w:eastAsia="仿宋" w:cs="仿宋"/>
          <w:color w:val="auto"/>
          <w:sz w:val="32"/>
          <w:szCs w:val="32"/>
          <w:highlight w:val="none"/>
          <w:lang w:val="en-US" w:eastAsia="zh-CN"/>
        </w:rPr>
        <w:t>持续完善“户分类、村收集、乡转运、片区处理”的农村生活垃圾收运处置体系。合理规划垃圾收集点、中转站布局，保障垃圾转运高效顺畅。加大对收运设备的投入，及时更新、维护垃圾清运车辆，提高收运能力，实现农村生活垃圾日产日清。结合农村实际情况，因地制宜建设小型垃圾资源化处理设施，建立村庄环境卫生巡查制度，定期对村庄环境卫生进行检查，及时发现并清理垃圾堆积、乱堆乱放等问题。鼓励村民参与村庄环境卫生监督，形成全民参与的良好氛围，保持村庄环境整洁。</w:t>
      </w:r>
      <w:r>
        <w:rPr>
          <w:rFonts w:hint="default" w:ascii="仿宋" w:hAnsi="仿宋" w:eastAsia="仿宋" w:cs="仿宋"/>
          <w:color w:val="auto"/>
          <w:sz w:val="32"/>
          <w:szCs w:val="32"/>
          <w:highlight w:val="none"/>
          <w:lang w:val="en-US" w:eastAsia="zh-CN"/>
        </w:rPr>
        <w:t>依托市政基础设施升级工程，推进</w:t>
      </w:r>
      <w:r>
        <w:rPr>
          <w:rFonts w:hint="eastAsia" w:ascii="仿宋" w:hAnsi="仿宋" w:eastAsia="仿宋" w:cs="仿宋"/>
          <w:color w:val="auto"/>
          <w:sz w:val="32"/>
          <w:szCs w:val="32"/>
          <w:highlight w:val="none"/>
          <w:lang w:val="en-US" w:eastAsia="zh-CN"/>
        </w:rPr>
        <w:t>松岗镇、沙尔宗镇</w:t>
      </w:r>
      <w:r>
        <w:rPr>
          <w:rFonts w:hint="default" w:ascii="仿宋" w:hAnsi="仿宋" w:eastAsia="仿宋" w:cs="仿宋"/>
          <w:color w:val="auto"/>
          <w:sz w:val="32"/>
          <w:szCs w:val="32"/>
          <w:highlight w:val="none"/>
          <w:lang w:val="en-US" w:eastAsia="zh-CN"/>
        </w:rPr>
        <w:t>等区域管线预埋入地改造，逐步完善中低压配气网络，为村镇居民生活和产业发展提供稳定能源支撑。</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2547185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3D434B8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专栏22：镇村设施</w:t>
            </w:r>
          </w:p>
          <w:p w14:paraId="11E2B360">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1.马尔康市城乡环境综合整治项目：</w:t>
            </w:r>
            <w:r>
              <w:rPr>
                <w:rFonts w:hint="eastAsia" w:ascii="仿宋" w:hAnsi="仿宋" w:eastAsia="仿宋" w:cs="仿宋"/>
                <w:b w:val="0"/>
                <w:bCs w:val="0"/>
                <w:color w:val="auto"/>
                <w:sz w:val="24"/>
                <w:szCs w:val="24"/>
                <w:highlight w:val="none"/>
                <w:u w:val="none"/>
                <w:lang w:val="en-US" w:eastAsia="zh-CN"/>
              </w:rPr>
              <w:t>全市各乡镇垃圾收集点规范化提升改造，采购船型垃圾箱体120个，压缩垃圾车4台，大件垃圾转运车辆2辆，农村生活垃圾巡查车1辆；垃圾桶600L*1000个，360L垃圾桶1400个等垃圾处理设施设备。</w:t>
            </w:r>
          </w:p>
          <w:p w14:paraId="7E046CE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2.阿坝州马尔康市松岗镇基础设施提升建设项目：</w:t>
            </w:r>
            <w:r>
              <w:rPr>
                <w:rFonts w:hint="eastAsia" w:ascii="仿宋" w:hAnsi="仿宋" w:eastAsia="仿宋" w:cs="仿宋"/>
                <w:b w:val="0"/>
                <w:bCs w:val="0"/>
                <w:color w:val="auto"/>
                <w:sz w:val="24"/>
                <w:szCs w:val="24"/>
                <w:highlight w:val="none"/>
                <w:u w:val="none"/>
                <w:lang w:val="en-US" w:eastAsia="zh-CN"/>
              </w:rPr>
              <w:t>对集镇进行污水管网补短、雨污分流后恢复河堤挡墙、市政道路及生态修复，配套建设照明、公共厕所等附属设施。</w:t>
            </w:r>
          </w:p>
          <w:p w14:paraId="0957E26D">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3.阿坝州马尔康市村镇燃气建设项目。</w:t>
            </w:r>
            <w:r>
              <w:rPr>
                <w:rFonts w:hint="eastAsia" w:ascii="仿宋" w:hAnsi="仿宋" w:eastAsia="仿宋" w:cs="仿宋"/>
                <w:b w:val="0"/>
                <w:bCs w:val="0"/>
                <w:color w:val="auto"/>
                <w:sz w:val="24"/>
                <w:szCs w:val="24"/>
                <w:highlight w:val="none"/>
                <w:u w:val="none"/>
                <w:lang w:val="en-US" w:eastAsia="zh-CN"/>
              </w:rPr>
              <w:t>在松岗镇、沙尔宗镇新建燃气设施及管网。</w:t>
            </w:r>
          </w:p>
        </w:tc>
      </w:tr>
    </w:tbl>
    <w:p w14:paraId="6A51785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黑体" w:hAnsi="黑体" w:eastAsia="黑体" w:cs="黑体"/>
          <w:b w:val="0"/>
          <w:bCs w:val="0"/>
          <w:color w:val="auto"/>
          <w:sz w:val="32"/>
          <w:szCs w:val="32"/>
          <w:lang w:val="en-US" w:eastAsia="zh-CN"/>
        </w:rPr>
      </w:pPr>
      <w:bookmarkStart w:id="54" w:name="_Toc29776"/>
      <w:r>
        <w:rPr>
          <w:rFonts w:hint="eastAsia" w:ascii="黑体" w:hAnsi="黑体" w:eastAsia="黑体" w:cs="黑体"/>
          <w:b w:val="0"/>
          <w:bCs w:val="0"/>
          <w:color w:val="auto"/>
          <w:sz w:val="32"/>
          <w:szCs w:val="32"/>
          <w:lang w:val="en-US" w:eastAsia="zh-CN"/>
        </w:rPr>
        <w:t>三、提升公共厕所设施水平</w:t>
      </w:r>
      <w:bookmarkEnd w:id="54"/>
    </w:p>
    <w:p w14:paraId="1A26561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依据人口密度、居民需求及旅游发展趋势，在城镇商业区、居住区、人流聚集区，以及乡村旅游景点、村民集中活动区域等，按照“方便可达、布局均衡”原则，精准规划建设一批公共厕所。对现有设施陈旧、功能不完善的公厕进行升级改造，增设残疾人专用厕位、母婴室等特殊功能区域。严格按照《全州公共厕所专项整治工作方案》要求，确保全市所有公厕实行“全天、全时段”开放运行。推行“监督员+管理员”工作模式，明确管理员负责公厕日常清扫保洁，定时进行深度清洁与消毒。监督员负责对管理员工作进行监督检查，定期巡查公厕环境卫生状况，发现问题及时督促整改，形成闭环管理。结合对马尔康市部分区域高海拔寒冷（严寒）气候特点，全市已建成但冬季无法正常运行、缺乏配套设施、外观欠佳、旱厕等问题的公厕进行重点改建，通过采用保温材料、优化供暖系统等措施，确保公厕在冬季能够正常运行。</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5501FE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4396776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专栏23：公共厕所建设</w:t>
            </w:r>
          </w:p>
          <w:p w14:paraId="54BE7150">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1.马尔康市环卫设施增补提升项目：</w:t>
            </w:r>
            <w:r>
              <w:rPr>
                <w:rFonts w:hint="eastAsia" w:ascii="仿宋" w:hAnsi="仿宋" w:eastAsia="仿宋" w:cs="仿宋"/>
                <w:b w:val="0"/>
                <w:bCs w:val="0"/>
                <w:color w:val="auto"/>
                <w:sz w:val="24"/>
                <w:szCs w:val="24"/>
                <w:highlight w:val="none"/>
                <w:u w:val="none"/>
                <w:lang w:val="en-US" w:eastAsia="zh-CN"/>
              </w:rPr>
              <w:t>阿底大桥环卫公厕、卡辉大桥河东智慧环卫公厕、嘉绒耍街公交车站环卫公厕、美谷大桥环卫公厕新建环卫公厕4座、垃圾房4座；对现有15座市政公厕进行提升改造。</w:t>
            </w:r>
          </w:p>
        </w:tc>
      </w:tr>
    </w:tbl>
    <w:p w14:paraId="03549636">
      <w:pPr>
        <w:shd w:val="clear"/>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br w:type="page"/>
      </w:r>
    </w:p>
    <w:p w14:paraId="5337687E">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default" w:ascii="方正小标宋简体" w:hAnsi="方正小标宋简体" w:eastAsia="方正小标宋简体" w:cs="方正小标宋简体"/>
          <w:color w:val="auto"/>
          <w:sz w:val="44"/>
          <w:szCs w:val="44"/>
          <w:lang w:val="en-US" w:eastAsia="zh-CN"/>
        </w:rPr>
      </w:pPr>
      <w:bookmarkStart w:id="55" w:name="_Toc24235"/>
      <w:r>
        <w:rPr>
          <w:rFonts w:hint="eastAsia" w:ascii="方正小标宋简体" w:hAnsi="方正小标宋简体" w:eastAsia="方正小标宋简体" w:cs="方正小标宋简体"/>
          <w:color w:val="auto"/>
          <w:sz w:val="44"/>
          <w:szCs w:val="44"/>
          <w:lang w:val="en-US" w:eastAsia="zh-CN"/>
        </w:rPr>
        <w:t xml:space="preserve">第十一章 </w:t>
      </w:r>
      <w:r>
        <w:rPr>
          <w:rFonts w:hint="default" w:ascii="方正小标宋简体" w:hAnsi="方正小标宋简体" w:eastAsia="方正小标宋简体" w:cs="方正小标宋简体"/>
          <w:color w:val="auto"/>
          <w:sz w:val="44"/>
          <w:szCs w:val="44"/>
          <w:lang w:val="en-US" w:eastAsia="zh-CN"/>
        </w:rPr>
        <w:t>加强历史文化保护利用</w:t>
      </w:r>
      <w:bookmarkEnd w:id="55"/>
    </w:p>
    <w:p w14:paraId="1F9A41E0">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38B2E2F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56" w:name="_Toc29028"/>
      <w:r>
        <w:rPr>
          <w:rFonts w:hint="eastAsia" w:ascii="黑体" w:hAnsi="黑体" w:eastAsia="黑体" w:cs="黑体"/>
          <w:b w:val="0"/>
          <w:bCs w:val="0"/>
          <w:color w:val="auto"/>
          <w:sz w:val="32"/>
          <w:szCs w:val="32"/>
          <w:lang w:val="en-US" w:eastAsia="zh-CN"/>
        </w:rPr>
        <w:t>一、强化历史文脉整体保护</w:t>
      </w:r>
      <w:bookmarkEnd w:id="56"/>
    </w:p>
    <w:p w14:paraId="41A0069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深入推进历史文化保护传承工作，全面系统地梳理和挖掘各类历史文化资源，建立健全多层次、全方位的保护名录体系。科学划定历史文化保护的重点区域，精准识别具有重要价值的历史建筑、传统村落、非物质文化遗产等保护载体，制定针对性的保护措施和实施方案。同时，构建长效化、规范化的保护管理机制，完善监督考核制度，确保各项保护措施落实到位，形成政府主导、社会参与、多方联动的历史文化保护工作格局。</w:t>
      </w:r>
    </w:p>
    <w:p w14:paraId="2A1D7EA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57" w:name="_Toc26954"/>
      <w:r>
        <w:rPr>
          <w:rFonts w:hint="eastAsia" w:ascii="黑体" w:hAnsi="黑体" w:eastAsia="黑体" w:cs="黑体"/>
          <w:b w:val="0"/>
          <w:bCs w:val="0"/>
          <w:color w:val="auto"/>
          <w:sz w:val="32"/>
          <w:szCs w:val="32"/>
          <w:lang w:val="en-US" w:eastAsia="zh-CN"/>
        </w:rPr>
        <w:t>二、激活传统村落特色价值</w:t>
      </w:r>
      <w:bookmarkEnd w:id="57"/>
    </w:p>
    <w:p w14:paraId="5A209C6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积极探索创新传统村落保护与利用的新模式新路径。注重对传统建筑和传统民居的活化利用，科学规划和合理改造，在保留原有建筑风貌和历史文化价值的基础上，赋予其新的使用功能。着力完善村落的基础设施建设，包括道路、水电、通信等硬件设施，以及教育、医疗、文化等公共服务设施，切实改善村民生活条件。立足当地资源禀赋，因地制宜发展文化旅游、特色农业、手工艺制作等特色产业，打造具有地域特色的产业链条，促进传统村落的经济振兴和文化传承，实现保护与发展的良性互动。</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57D0AA0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0DD413F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专栏24：传统村落保护利用</w:t>
            </w:r>
          </w:p>
          <w:p w14:paraId="0205A1DE">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1.马尔康市传统村落活化利用示范项目：</w:t>
            </w:r>
            <w:r>
              <w:rPr>
                <w:rFonts w:hint="eastAsia" w:ascii="仿宋" w:hAnsi="仿宋" w:eastAsia="仿宋" w:cs="仿宋"/>
                <w:b w:val="0"/>
                <w:bCs w:val="0"/>
                <w:color w:val="auto"/>
                <w:sz w:val="24"/>
                <w:szCs w:val="24"/>
                <w:highlight w:val="none"/>
                <w:u w:val="none"/>
                <w:lang w:val="en-US" w:eastAsia="zh-CN"/>
              </w:rPr>
              <w:t>对10个传统村落内传统民居进行保护修缮，完善基础设施，促进文旅融合发展。</w:t>
            </w:r>
          </w:p>
        </w:tc>
      </w:tr>
    </w:tbl>
    <w:p w14:paraId="43DAFB4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58" w:name="_Toc16662"/>
      <w:r>
        <w:rPr>
          <w:rFonts w:hint="eastAsia" w:ascii="黑体" w:hAnsi="黑体" w:eastAsia="黑体" w:cs="黑体"/>
          <w:b w:val="0"/>
          <w:bCs w:val="0"/>
          <w:color w:val="auto"/>
          <w:sz w:val="32"/>
          <w:szCs w:val="32"/>
          <w:lang w:val="en-US" w:eastAsia="zh-CN"/>
        </w:rPr>
        <w:t>三、推进历史建筑分类修缮</w:t>
      </w:r>
      <w:bookmarkEnd w:id="58"/>
    </w:p>
    <w:p w14:paraId="4ABD5D0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为进一步加强历史建筑的保护与管理，全面强化历史建筑的认定工作，建立更加科学完善的认定标准和程序。同时要着力提升历史建筑周边环境的整体品质，</w:t>
      </w:r>
      <w:r>
        <w:rPr>
          <w:rFonts w:hint="eastAsia" w:ascii="仿宋" w:hAnsi="仿宋" w:eastAsia="仿宋" w:cs="仿宋"/>
          <w:color w:val="auto"/>
          <w:kern w:val="2"/>
          <w:sz w:val="32"/>
          <w:szCs w:val="32"/>
          <w:highlight w:val="none"/>
          <w:lang w:val="en-US" w:eastAsia="zh-CN" w:bidi="ar-SA"/>
        </w:rPr>
        <w:t>通过优化景观设计、完善基础设施、整治周边环境等措施，打造与历史建筑相协调的优美环境。积极</w:t>
      </w:r>
      <w:r>
        <w:rPr>
          <w:rFonts w:hint="eastAsia" w:ascii="仿宋" w:hAnsi="仿宋" w:eastAsia="仿宋" w:cs="仿宋"/>
          <w:color w:val="auto"/>
          <w:sz w:val="32"/>
          <w:szCs w:val="32"/>
          <w:highlight w:val="none"/>
          <w:lang w:val="en-US" w:eastAsia="zh-CN"/>
        </w:rPr>
        <w:t>推动</w:t>
      </w:r>
      <w:r>
        <w:rPr>
          <w:rFonts w:hint="eastAsia" w:ascii="仿宋" w:hAnsi="仿宋" w:eastAsia="仿宋" w:cs="仿宋"/>
          <w:color w:val="auto"/>
          <w:kern w:val="2"/>
          <w:sz w:val="32"/>
          <w:szCs w:val="32"/>
          <w:highlight w:val="none"/>
          <w:lang w:val="en-US" w:eastAsia="zh-CN" w:bidi="ar-SA"/>
        </w:rPr>
        <w:t>历史建筑</w:t>
      </w:r>
      <w:r>
        <w:rPr>
          <w:rFonts w:hint="eastAsia" w:ascii="仿宋" w:hAnsi="仿宋" w:eastAsia="仿宋" w:cs="仿宋"/>
          <w:color w:val="auto"/>
          <w:sz w:val="32"/>
          <w:szCs w:val="32"/>
          <w:highlight w:val="none"/>
          <w:lang w:val="en-US" w:eastAsia="zh-CN"/>
        </w:rPr>
        <w:t>改造项目</w:t>
      </w:r>
      <w:r>
        <w:rPr>
          <w:rFonts w:hint="eastAsia" w:ascii="仿宋" w:hAnsi="仿宋" w:eastAsia="仿宋" w:cs="仿宋"/>
          <w:color w:val="auto"/>
          <w:kern w:val="2"/>
          <w:sz w:val="32"/>
          <w:szCs w:val="32"/>
          <w:highlight w:val="none"/>
          <w:lang w:val="en-US" w:eastAsia="zh-CN" w:bidi="ar-SA"/>
        </w:rPr>
        <w:t>的实施</w:t>
      </w:r>
      <w:r>
        <w:rPr>
          <w:rFonts w:hint="eastAsia" w:ascii="仿宋" w:hAnsi="仿宋" w:eastAsia="仿宋" w:cs="仿宋"/>
          <w:color w:val="auto"/>
          <w:sz w:val="32"/>
          <w:szCs w:val="32"/>
          <w:highlight w:val="none"/>
          <w:lang w:val="en-US" w:eastAsia="zh-CN"/>
        </w:rPr>
        <w:t>建设</w:t>
      </w:r>
      <w:r>
        <w:rPr>
          <w:rFonts w:hint="eastAsia" w:ascii="仿宋" w:hAnsi="仿宋" w:eastAsia="仿宋" w:cs="仿宋"/>
          <w:color w:val="auto"/>
          <w:kern w:val="2"/>
          <w:sz w:val="32"/>
          <w:szCs w:val="32"/>
          <w:highlight w:val="none"/>
          <w:lang w:val="en-US" w:eastAsia="zh-CN" w:bidi="ar-SA"/>
        </w:rPr>
        <w:t>，鼓励采用保护性改造方式，在保留历史风貌的前提下进行功能提升和合理利用，使历史建筑焕发新的生机与活力，实现保护与发展的良性互动</w:t>
      </w:r>
      <w:r>
        <w:rPr>
          <w:rFonts w:hint="eastAsia" w:ascii="仿宋" w:hAnsi="仿宋" w:eastAsia="仿宋" w:cs="仿宋"/>
          <w:color w:val="auto"/>
          <w:sz w:val="32"/>
          <w:szCs w:val="32"/>
          <w:highlight w:val="none"/>
          <w:lang w:val="en-US" w:eastAsia="zh-CN"/>
        </w:rPr>
        <w:t>。</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567DA2E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349" w:hRule="atLeast"/>
        </w:trPr>
        <w:tc>
          <w:tcPr>
            <w:tcW w:w="8522" w:type="dxa"/>
            <w:tcBorders>
              <w:tl2br w:val="nil"/>
              <w:tr2bl w:val="nil"/>
            </w:tcBorders>
            <w:noWrap w:val="0"/>
            <w:vAlign w:val="top"/>
          </w:tcPr>
          <w:p w14:paraId="073D8A6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专栏25：历史建筑修缮</w:t>
            </w:r>
          </w:p>
          <w:p w14:paraId="07159E8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color w:val="auto"/>
                <w:highlight w:val="none"/>
                <w:lang w:eastAsia="zh-CN"/>
              </w:rPr>
            </w:pPr>
            <w:r>
              <w:rPr>
                <w:rFonts w:hint="eastAsia" w:ascii="仿宋" w:hAnsi="仿宋" w:eastAsia="仿宋" w:cs="仿宋"/>
                <w:b/>
                <w:bCs/>
                <w:color w:val="auto"/>
                <w:sz w:val="24"/>
                <w:szCs w:val="24"/>
                <w:highlight w:val="none"/>
                <w:u w:val="none"/>
                <w:lang w:val="en-US" w:eastAsia="zh-CN"/>
              </w:rPr>
              <w:t>1.马尔康市历史建筑保护修缮与公共文化功能提升项目。</w:t>
            </w:r>
            <w:r>
              <w:rPr>
                <w:rFonts w:hint="eastAsia" w:ascii="仿宋" w:hAnsi="仿宋" w:eastAsia="仿宋" w:cs="仿宋"/>
                <w:b w:val="0"/>
                <w:bCs w:val="0"/>
                <w:color w:val="auto"/>
                <w:sz w:val="24"/>
                <w:szCs w:val="24"/>
                <w:highlight w:val="none"/>
                <w:u w:val="none"/>
                <w:lang w:val="en-US" w:eastAsia="zh-CN"/>
              </w:rPr>
              <w:t>对全市范围内历史建筑进行保护修缮，并对其功能进行提升；对提升后有条件的历史建筑改造为文化展厅、小型博物馆等公共文化空间。</w:t>
            </w:r>
          </w:p>
        </w:tc>
      </w:tr>
    </w:tbl>
    <w:p w14:paraId="42B4A96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59" w:name="_Toc19492"/>
      <w:r>
        <w:rPr>
          <w:rFonts w:hint="eastAsia" w:ascii="黑体" w:hAnsi="黑体" w:eastAsia="黑体" w:cs="黑体"/>
          <w:b w:val="0"/>
          <w:bCs w:val="0"/>
          <w:color w:val="auto"/>
          <w:sz w:val="32"/>
          <w:szCs w:val="32"/>
          <w:lang w:val="en-US" w:eastAsia="zh-CN"/>
        </w:rPr>
        <w:t>四、培育传统建筑工匠</w:t>
      </w:r>
      <w:bookmarkEnd w:id="59"/>
    </w:p>
    <w:p w14:paraId="6FE4F9D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立足马尔康民族建筑风貌保护传承实际，严格对标四川省传统建筑工匠培育工作要求，健全本土传统建筑工匠培育、认定、传承体系。聚焦藏羌民居、传统古建修缮等特色技艺，常态化开展技能培训、技艺研修和实操实训，累计培育传统建筑工匠100人，壮大木作、石作、彩绘、碉楼营造等本土工匠队伍。完善传统建筑工匠等级认定与名录管理制度，搭建技艺交流和从业服务平台。依托传统村落、历史建筑修缮项目，以项目实践传承古法技艺。强化工匠人才政策扶持与宣传推介，培育乡土建筑技艺传承人，夯实马尔康民族特色建筑保护与活化利用人才支撑。</w:t>
      </w:r>
    </w:p>
    <w:p w14:paraId="7C3B002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黑体" w:hAnsi="黑体" w:eastAsia="黑体" w:cs="黑体"/>
          <w:b w:val="0"/>
          <w:bCs w:val="0"/>
          <w:color w:val="auto"/>
          <w:sz w:val="32"/>
          <w:szCs w:val="32"/>
          <w:lang w:val="en-US" w:eastAsia="zh-CN"/>
        </w:rPr>
      </w:pPr>
      <w:bookmarkStart w:id="60" w:name="_Toc16598"/>
      <w:r>
        <w:rPr>
          <w:rFonts w:hint="eastAsia" w:ascii="黑体" w:hAnsi="黑体" w:eastAsia="黑体" w:cs="黑体"/>
          <w:b w:val="0"/>
          <w:bCs w:val="0"/>
          <w:color w:val="auto"/>
          <w:sz w:val="32"/>
          <w:szCs w:val="32"/>
          <w:lang w:val="en-US" w:eastAsia="zh-CN"/>
        </w:rPr>
        <w:t>五、推动文旅融合发展</w:t>
      </w:r>
      <w:bookmarkEnd w:id="60"/>
    </w:p>
    <w:p w14:paraId="76AEF06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以文化内涵塑造旅游品牌，以旅游产业彰显文化魅力，通过文旅深度融合的创新发展模式，持续促进文化产业与旅游产业的优势互补与协同发展。着力挖掘地方特色文化资源，将其转化为具有吸引力的旅游产品，同时借助旅游业的传播效应，让优秀传统文化得到更广泛的传承与弘扬。通过双向赋能的良性循环，丰富游客的文化体验，有效激活乡村经济的内生动力，带动餐饮、住宿、文创等相关产业链的全面发展，为乡村振兴注入持久活力，实现社会效益与经济效益的双赢局面。</w:t>
      </w:r>
    </w:p>
    <w:p w14:paraId="1911C93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p>
    <w:p w14:paraId="4CEC5BE8">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outlineLvl w:val="0"/>
        <w:rPr>
          <w:rFonts w:hint="eastAsia" w:ascii="黑体" w:hAnsi="黑体" w:eastAsia="黑体" w:cs="黑体"/>
          <w:color w:val="auto"/>
          <w:sz w:val="32"/>
          <w:szCs w:val="32"/>
        </w:rPr>
      </w:pPr>
      <w:bookmarkStart w:id="61" w:name="_Toc31133"/>
      <w:r>
        <w:rPr>
          <w:rFonts w:hint="eastAsia" w:ascii="方正小标宋简体" w:hAnsi="方正小标宋简体" w:eastAsia="方正小标宋简体" w:cs="方正小标宋简体"/>
          <w:b w:val="0"/>
          <w:bCs w:val="0"/>
          <w:color w:val="auto"/>
          <w:sz w:val="44"/>
          <w:szCs w:val="44"/>
          <w:highlight w:val="none"/>
          <w:lang w:val="en-US" w:eastAsia="zh-CN"/>
        </w:rPr>
        <w:t>第十二章 保障措施</w:t>
      </w:r>
      <w:bookmarkEnd w:id="61"/>
    </w:p>
    <w:p w14:paraId="42CB9D89">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rPr>
      </w:pPr>
    </w:p>
    <w:p w14:paraId="4DC2006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62" w:name="_Toc16735"/>
      <w:r>
        <w:rPr>
          <w:rFonts w:hint="eastAsia" w:ascii="黑体" w:hAnsi="黑体" w:eastAsia="黑体" w:cs="黑体"/>
          <w:b w:val="0"/>
          <w:bCs w:val="0"/>
          <w:color w:val="auto"/>
          <w:sz w:val="32"/>
          <w:szCs w:val="32"/>
          <w:lang w:val="en-US" w:eastAsia="zh-CN"/>
        </w:rPr>
        <w:t>一、加强组织领导</w:t>
      </w:r>
      <w:bookmarkEnd w:id="62"/>
    </w:p>
    <w:p w14:paraId="1528868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bookmarkStart w:id="63" w:name="_Toc12065"/>
      <w:r>
        <w:rPr>
          <w:rFonts w:hint="eastAsia" w:ascii="仿宋" w:hAnsi="仿宋" w:eastAsia="仿宋" w:cs="仿宋"/>
          <w:color w:val="auto"/>
          <w:sz w:val="32"/>
          <w:szCs w:val="32"/>
        </w:rPr>
        <w:t>成立</w:t>
      </w:r>
      <w:r>
        <w:rPr>
          <w:rFonts w:hint="eastAsia" w:ascii="仿宋" w:hAnsi="仿宋" w:eastAsia="仿宋" w:cs="仿宋"/>
          <w:color w:val="auto"/>
          <w:sz w:val="32"/>
          <w:szCs w:val="32"/>
          <w:lang w:val="en-US" w:eastAsia="zh-CN"/>
        </w:rPr>
        <w:t>马尔康市</w:t>
      </w:r>
      <w:r>
        <w:rPr>
          <w:rFonts w:hint="eastAsia" w:ascii="仿宋" w:hAnsi="仿宋" w:eastAsia="仿宋" w:cs="仿宋"/>
          <w:color w:val="auto"/>
          <w:sz w:val="32"/>
          <w:szCs w:val="32"/>
        </w:rPr>
        <w:t>住房城乡建设“十五五”规划实施领导小组，由</w:t>
      </w:r>
      <w:r>
        <w:rPr>
          <w:rFonts w:hint="eastAsia" w:ascii="仿宋" w:hAnsi="仿宋" w:eastAsia="仿宋" w:cs="仿宋"/>
          <w:color w:val="auto"/>
          <w:sz w:val="32"/>
          <w:szCs w:val="32"/>
          <w:lang w:val="en-US" w:eastAsia="zh-CN"/>
        </w:rPr>
        <w:t>住建局</w:t>
      </w:r>
      <w:r>
        <w:rPr>
          <w:rFonts w:hint="eastAsia" w:ascii="仿宋" w:hAnsi="仿宋" w:eastAsia="仿宋" w:cs="仿宋"/>
          <w:color w:val="auto"/>
          <w:sz w:val="32"/>
          <w:szCs w:val="32"/>
        </w:rPr>
        <w:t>主要领导任组长，相关部门和乡镇负责人为成员。明确各部门和乡镇职责分工，加强协调配合，形成工作合力。建立健全规划实施考核机制，将规划目标任务分解落实到年度工作计划，定期对规划实施情况进行评估和考核。</w:t>
      </w:r>
      <w:bookmarkEnd w:id="63"/>
    </w:p>
    <w:p w14:paraId="71C6372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64" w:name="_Toc12230"/>
      <w:r>
        <w:rPr>
          <w:rFonts w:hint="eastAsia" w:ascii="黑体" w:hAnsi="黑体" w:eastAsia="黑体" w:cs="黑体"/>
          <w:b w:val="0"/>
          <w:bCs w:val="0"/>
          <w:color w:val="auto"/>
          <w:sz w:val="32"/>
          <w:szCs w:val="32"/>
          <w:lang w:val="en-US" w:eastAsia="zh-CN"/>
        </w:rPr>
        <w:t>二、强化政策支持</w:t>
      </w:r>
      <w:bookmarkEnd w:id="64"/>
    </w:p>
    <w:p w14:paraId="2C82363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积极争取国家、省、市相关政策和资金支持，加大对住房保障、城市建设、城乡融合发展等领域的投入。制定完善土地、财税、金融等配套政策，引导社会资本参与住房城乡建设项目。加强政策宣传解读，提高政策知晓度和执行效果。</w:t>
      </w:r>
    </w:p>
    <w:p w14:paraId="61BCC1C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65" w:name="_Toc32697"/>
      <w:r>
        <w:rPr>
          <w:rFonts w:hint="eastAsia" w:ascii="黑体" w:hAnsi="黑体" w:eastAsia="黑体" w:cs="黑体"/>
          <w:b w:val="0"/>
          <w:bCs w:val="0"/>
          <w:color w:val="auto"/>
          <w:sz w:val="32"/>
          <w:szCs w:val="32"/>
          <w:lang w:val="en-US" w:eastAsia="zh-CN"/>
        </w:rPr>
        <w:t>三、加强人才保障</w:t>
      </w:r>
      <w:bookmarkEnd w:id="65"/>
    </w:p>
    <w:p w14:paraId="7F3C258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加大住房城乡建设领域专业人才引进和培养力度，制定人才发展规划和激励政策。加强与高校、科研机构合作，建立人才培养基地，开展多层次、多形式的人才培训。优化人才发展环境，吸引和留住优秀人才，为住房城乡建设事业发展提供智力支持。</w:t>
      </w:r>
    </w:p>
    <w:p w14:paraId="648247D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val="0"/>
          <w:color w:val="auto"/>
          <w:sz w:val="32"/>
          <w:szCs w:val="32"/>
          <w:lang w:val="en-US" w:eastAsia="zh-CN"/>
        </w:rPr>
      </w:pPr>
      <w:bookmarkStart w:id="66" w:name="_Toc14808"/>
      <w:r>
        <w:rPr>
          <w:rFonts w:hint="eastAsia" w:ascii="黑体" w:hAnsi="黑体" w:eastAsia="黑体" w:cs="黑体"/>
          <w:b w:val="0"/>
          <w:bCs w:val="0"/>
          <w:color w:val="auto"/>
          <w:sz w:val="32"/>
          <w:szCs w:val="32"/>
          <w:lang w:val="en-US" w:eastAsia="zh-CN"/>
        </w:rPr>
        <w:t>四、严格监督评估</w:t>
      </w:r>
      <w:bookmarkEnd w:id="66"/>
    </w:p>
    <w:p w14:paraId="390371D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建立健全规划实施监督评估机制，加强对规划实施全过程的监督检查。定期对规划执行情况进行跟踪分析和评估，及时发现问题并提出调整建议。加强社会监督，鼓励公众参与规划实施监督，确保规划顺利实施。</w:t>
      </w:r>
    </w:p>
    <w:p w14:paraId="431EFF5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4F92D55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0A6516A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color w:val="auto"/>
          <w:sz w:val="32"/>
          <w:szCs w:val="32"/>
          <w:lang w:val="en-US" w:eastAsia="zh-CN"/>
        </w:rPr>
      </w:pPr>
      <w:bookmarkStart w:id="67" w:name="_Toc32386"/>
      <w:bookmarkStart w:id="68" w:name="_Toc23364"/>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马尔康市“十五五”规划储备项目清单</w:t>
      </w:r>
      <w:bookmarkEnd w:id="67"/>
      <w:bookmarkEnd w:id="68"/>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8"/>
        <w:gridCol w:w="498"/>
        <w:gridCol w:w="770"/>
        <w:gridCol w:w="499"/>
        <w:gridCol w:w="778"/>
        <w:gridCol w:w="1848"/>
        <w:gridCol w:w="2948"/>
        <w:gridCol w:w="1227"/>
        <w:gridCol w:w="873"/>
        <w:gridCol w:w="750"/>
        <w:gridCol w:w="818"/>
        <w:gridCol w:w="750"/>
        <w:gridCol w:w="955"/>
        <w:gridCol w:w="900"/>
        <w:gridCol w:w="927"/>
        <w:gridCol w:w="914"/>
        <w:gridCol w:w="818"/>
        <w:gridCol w:w="982"/>
        <w:gridCol w:w="859"/>
        <w:gridCol w:w="1203"/>
        <w:gridCol w:w="1324"/>
      </w:tblGrid>
      <w:tr w14:paraId="2A9B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7" w:type="pct"/>
            <w:vMerge w:val="restart"/>
            <w:tcBorders>
              <w:top w:val="single" w:color="000000" w:sz="4" w:space="0"/>
              <w:left w:val="single" w:color="000000" w:sz="4" w:space="0"/>
              <w:bottom w:val="single" w:color="000000" w:sz="4" w:space="0"/>
              <w:right w:val="single" w:color="000000" w:sz="4" w:space="0"/>
            </w:tcBorders>
            <w:noWrap w:val="0"/>
            <w:vAlign w:val="center"/>
          </w:tcPr>
          <w:p w14:paraId="2D0CC8C7">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7" w:type="pct"/>
            <w:vMerge w:val="restart"/>
            <w:tcBorders>
              <w:top w:val="single" w:color="000000" w:sz="4" w:space="0"/>
              <w:left w:val="single" w:color="000000" w:sz="4" w:space="0"/>
              <w:bottom w:val="single" w:color="000000" w:sz="4" w:space="0"/>
              <w:right w:val="single" w:color="000000" w:sz="4" w:space="0"/>
            </w:tcBorders>
            <w:noWrap w:val="0"/>
            <w:vAlign w:val="center"/>
          </w:tcPr>
          <w:p w14:paraId="2BDA20EC">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县市</w:t>
            </w:r>
          </w:p>
        </w:tc>
        <w:tc>
          <w:tcPr>
            <w:tcW w:w="182" w:type="pct"/>
            <w:vMerge w:val="restart"/>
            <w:tcBorders>
              <w:top w:val="single" w:color="000000" w:sz="4" w:space="0"/>
              <w:left w:val="single" w:color="000000" w:sz="4" w:space="0"/>
              <w:bottom w:val="single" w:color="000000" w:sz="4" w:space="0"/>
              <w:right w:val="single" w:color="000000" w:sz="4" w:space="0"/>
            </w:tcBorders>
            <w:noWrap w:val="0"/>
            <w:vAlign w:val="center"/>
          </w:tcPr>
          <w:p w14:paraId="23222676">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申报方向</w:t>
            </w:r>
          </w:p>
        </w:tc>
        <w:tc>
          <w:tcPr>
            <w:tcW w:w="302" w:type="pct"/>
            <w:gridSpan w:val="2"/>
            <w:vMerge w:val="restart"/>
            <w:tcBorders>
              <w:top w:val="single" w:color="000000" w:sz="4" w:space="0"/>
              <w:left w:val="single" w:color="000000" w:sz="4" w:space="0"/>
              <w:right w:val="single" w:color="000000" w:sz="4" w:space="0"/>
            </w:tcBorders>
            <w:noWrap w:val="0"/>
            <w:vAlign w:val="center"/>
          </w:tcPr>
          <w:p w14:paraId="49FFBE52">
            <w:pPr>
              <w:shd w:val="clear"/>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项目类型</w:t>
            </w:r>
          </w:p>
        </w:tc>
        <w:tc>
          <w:tcPr>
            <w:tcW w:w="437" w:type="pct"/>
            <w:vMerge w:val="restart"/>
            <w:tcBorders>
              <w:top w:val="single" w:color="000000" w:sz="4" w:space="0"/>
              <w:left w:val="single" w:color="000000" w:sz="4" w:space="0"/>
              <w:bottom w:val="single" w:color="000000" w:sz="4" w:space="0"/>
              <w:right w:val="single" w:color="000000" w:sz="4" w:space="0"/>
            </w:tcBorders>
            <w:noWrap w:val="0"/>
            <w:vAlign w:val="center"/>
          </w:tcPr>
          <w:p w14:paraId="7C90E6CC">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697" w:type="pct"/>
            <w:vMerge w:val="restart"/>
            <w:tcBorders>
              <w:top w:val="single" w:color="000000" w:sz="4" w:space="0"/>
              <w:left w:val="single" w:color="000000" w:sz="4" w:space="0"/>
              <w:bottom w:val="single" w:color="000000" w:sz="4" w:space="0"/>
              <w:right w:val="single" w:color="000000" w:sz="4" w:space="0"/>
            </w:tcBorders>
            <w:noWrap w:val="0"/>
            <w:vAlign w:val="center"/>
          </w:tcPr>
          <w:p w14:paraId="51472A7D">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建设内容</w:t>
            </w:r>
          </w:p>
        </w:tc>
        <w:tc>
          <w:tcPr>
            <w:tcW w:w="290" w:type="pct"/>
            <w:vMerge w:val="restart"/>
            <w:tcBorders>
              <w:top w:val="single" w:color="000000" w:sz="4" w:space="0"/>
              <w:left w:val="single" w:color="000000" w:sz="4" w:space="0"/>
              <w:bottom w:val="single" w:color="000000" w:sz="4" w:space="0"/>
              <w:right w:val="single" w:color="000000" w:sz="4" w:space="0"/>
            </w:tcBorders>
            <w:noWrap w:val="0"/>
            <w:vAlign w:val="center"/>
          </w:tcPr>
          <w:p w14:paraId="7AAC7DC3">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总投资（亿元）</w:t>
            </w:r>
          </w:p>
        </w:tc>
        <w:tc>
          <w:tcPr>
            <w:tcW w:w="2257" w:type="pct"/>
            <w:gridSpan w:val="11"/>
            <w:tcBorders>
              <w:top w:val="single" w:color="000000" w:sz="4" w:space="0"/>
              <w:left w:val="single" w:color="000000" w:sz="4" w:space="0"/>
              <w:bottom w:val="single" w:color="000000" w:sz="4" w:space="0"/>
              <w:right w:val="single" w:color="000000" w:sz="4" w:space="0"/>
            </w:tcBorders>
            <w:noWrap w:val="0"/>
            <w:vAlign w:val="center"/>
          </w:tcPr>
          <w:p w14:paraId="777DEEFD">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预计投资来源（亿元）</w:t>
            </w:r>
          </w:p>
        </w:tc>
        <w:tc>
          <w:tcPr>
            <w:tcW w:w="284" w:type="pct"/>
            <w:vMerge w:val="restart"/>
            <w:tcBorders>
              <w:top w:val="single" w:color="000000" w:sz="4" w:space="0"/>
              <w:left w:val="single" w:color="000000" w:sz="4" w:space="0"/>
              <w:bottom w:val="single" w:color="000000" w:sz="4" w:space="0"/>
              <w:right w:val="single" w:color="000000" w:sz="4" w:space="0"/>
            </w:tcBorders>
            <w:noWrap w:val="0"/>
            <w:vAlign w:val="center"/>
          </w:tcPr>
          <w:p w14:paraId="24266A46">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计划开工时间</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（x年x月）</w:t>
            </w:r>
          </w:p>
        </w:tc>
        <w:tc>
          <w:tcPr>
            <w:tcW w:w="313" w:type="pct"/>
            <w:vMerge w:val="restart"/>
            <w:tcBorders>
              <w:top w:val="single" w:color="000000" w:sz="4" w:space="0"/>
              <w:left w:val="single" w:color="000000" w:sz="4" w:space="0"/>
              <w:bottom w:val="single" w:color="000000" w:sz="4" w:space="0"/>
              <w:right w:val="single" w:color="000000" w:sz="4" w:space="0"/>
            </w:tcBorders>
            <w:noWrap w:val="0"/>
            <w:vAlign w:val="center"/>
          </w:tcPr>
          <w:p w14:paraId="30D08583">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计划完工时间（x年x月）</w:t>
            </w:r>
          </w:p>
        </w:tc>
      </w:tr>
      <w:tr w14:paraId="522C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F20FC8">
            <w:pPr>
              <w:shd w:val="clear"/>
              <w:jc w:val="center"/>
              <w:rPr>
                <w:rFonts w:hint="eastAsia" w:ascii="宋体" w:hAnsi="宋体" w:eastAsia="宋体" w:cs="宋体"/>
                <w:b/>
                <w:bCs/>
                <w:i w:val="0"/>
                <w:iCs w:val="0"/>
                <w:color w:val="000000"/>
                <w:sz w:val="24"/>
                <w:szCs w:val="24"/>
                <w:u w:val="none"/>
              </w:rPr>
            </w:pPr>
          </w:p>
        </w:tc>
        <w:tc>
          <w:tcPr>
            <w:tcW w:w="11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7C7194">
            <w:pPr>
              <w:shd w:val="clear"/>
              <w:jc w:val="center"/>
              <w:rPr>
                <w:rFonts w:hint="eastAsia" w:ascii="宋体" w:hAnsi="宋体" w:eastAsia="宋体" w:cs="宋体"/>
                <w:b/>
                <w:bCs/>
                <w:i w:val="0"/>
                <w:iCs w:val="0"/>
                <w:color w:val="000000"/>
                <w:sz w:val="24"/>
                <w:szCs w:val="24"/>
                <w:u w:val="none"/>
              </w:rPr>
            </w:pPr>
          </w:p>
        </w:tc>
        <w:tc>
          <w:tcPr>
            <w:tcW w:w="1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1BA2DB">
            <w:pPr>
              <w:shd w:val="clear"/>
              <w:jc w:val="center"/>
              <w:rPr>
                <w:rFonts w:hint="eastAsia" w:ascii="宋体" w:hAnsi="宋体" w:eastAsia="宋体" w:cs="宋体"/>
                <w:b/>
                <w:bCs/>
                <w:i w:val="0"/>
                <w:iCs w:val="0"/>
                <w:color w:val="000000"/>
                <w:sz w:val="24"/>
                <w:szCs w:val="24"/>
                <w:u w:val="none"/>
              </w:rPr>
            </w:pPr>
          </w:p>
        </w:tc>
        <w:tc>
          <w:tcPr>
            <w:tcW w:w="302" w:type="pct"/>
            <w:gridSpan w:val="2"/>
            <w:vMerge w:val="continue"/>
            <w:tcBorders>
              <w:left w:val="single" w:color="000000" w:sz="4" w:space="0"/>
              <w:right w:val="single" w:color="000000" w:sz="4" w:space="0"/>
            </w:tcBorders>
            <w:noWrap w:val="0"/>
            <w:vAlign w:val="center"/>
          </w:tcPr>
          <w:p w14:paraId="6B10A83B">
            <w:pPr>
              <w:shd w:val="clear"/>
              <w:jc w:val="center"/>
              <w:rPr>
                <w:rFonts w:hint="eastAsia" w:ascii="宋体" w:hAnsi="宋体" w:eastAsia="宋体" w:cs="宋体"/>
                <w:b/>
                <w:bCs/>
                <w:i w:val="0"/>
                <w:iCs w:val="0"/>
                <w:color w:val="000000"/>
                <w:sz w:val="24"/>
                <w:szCs w:val="24"/>
                <w:u w:val="none"/>
              </w:rPr>
            </w:pPr>
          </w:p>
        </w:tc>
        <w:tc>
          <w:tcPr>
            <w:tcW w:w="4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132777">
            <w:pPr>
              <w:shd w:val="clear"/>
              <w:jc w:val="center"/>
              <w:rPr>
                <w:rFonts w:hint="eastAsia" w:ascii="宋体" w:hAnsi="宋体" w:eastAsia="宋体" w:cs="宋体"/>
                <w:b/>
                <w:bCs/>
                <w:i w:val="0"/>
                <w:iCs w:val="0"/>
                <w:color w:val="000000"/>
                <w:sz w:val="24"/>
                <w:szCs w:val="24"/>
                <w:u w:val="none"/>
              </w:rPr>
            </w:pPr>
          </w:p>
        </w:tc>
        <w:tc>
          <w:tcPr>
            <w:tcW w:w="6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944DEB">
            <w:pPr>
              <w:shd w:val="clear"/>
              <w:jc w:val="center"/>
              <w:rPr>
                <w:rFonts w:hint="eastAsia" w:ascii="宋体" w:hAnsi="宋体" w:eastAsia="宋体" w:cs="宋体"/>
                <w:b/>
                <w:bCs/>
                <w:i w:val="0"/>
                <w:iCs w:val="0"/>
                <w:color w:val="000000"/>
                <w:sz w:val="24"/>
                <w:szCs w:val="24"/>
                <w:u w:val="none"/>
              </w:rPr>
            </w:pPr>
          </w:p>
        </w:tc>
        <w:tc>
          <w:tcPr>
            <w:tcW w:w="2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6FD3F7">
            <w:pPr>
              <w:shd w:val="clear"/>
              <w:jc w:val="center"/>
              <w:rPr>
                <w:rFonts w:hint="eastAsia" w:ascii="宋体" w:hAnsi="宋体" w:eastAsia="宋体" w:cs="宋体"/>
                <w:b/>
                <w:bCs/>
                <w:i w:val="0"/>
                <w:iCs w:val="0"/>
                <w:color w:val="000000"/>
                <w:sz w:val="24"/>
                <w:szCs w:val="24"/>
                <w:u w:val="none"/>
              </w:rPr>
            </w:pPr>
          </w:p>
        </w:tc>
        <w:tc>
          <w:tcPr>
            <w:tcW w:w="383" w:type="pct"/>
            <w:gridSpan w:val="2"/>
            <w:tcBorders>
              <w:top w:val="single" w:color="000000" w:sz="4" w:space="0"/>
              <w:left w:val="single" w:color="000000" w:sz="4" w:space="0"/>
              <w:bottom w:val="single" w:color="000000" w:sz="4" w:space="0"/>
              <w:right w:val="single" w:color="000000" w:sz="4" w:space="0"/>
            </w:tcBorders>
            <w:noWrap w:val="0"/>
            <w:vAlign w:val="center"/>
          </w:tcPr>
          <w:p w14:paraId="52421728">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中央预算内</w:t>
            </w:r>
          </w:p>
        </w:tc>
        <w:tc>
          <w:tcPr>
            <w:tcW w:w="193" w:type="pct"/>
            <w:vMerge w:val="restart"/>
            <w:tcBorders>
              <w:top w:val="single" w:color="000000" w:sz="4" w:space="0"/>
              <w:left w:val="single" w:color="000000" w:sz="4" w:space="0"/>
              <w:bottom w:val="single" w:color="000000" w:sz="4" w:space="0"/>
              <w:right w:val="single" w:color="000000" w:sz="4" w:space="0"/>
            </w:tcBorders>
            <w:noWrap w:val="0"/>
            <w:vAlign w:val="center"/>
          </w:tcPr>
          <w:p w14:paraId="66C01DD0">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中央预算内资金</w:t>
            </w:r>
          </w:p>
        </w:tc>
        <w:tc>
          <w:tcPr>
            <w:tcW w:w="177" w:type="pct"/>
            <w:vMerge w:val="restart"/>
            <w:tcBorders>
              <w:top w:val="single" w:color="000000" w:sz="4" w:space="0"/>
              <w:left w:val="single" w:color="000000" w:sz="4" w:space="0"/>
              <w:bottom w:val="single" w:color="000000" w:sz="4" w:space="0"/>
              <w:right w:val="single" w:color="000000" w:sz="4" w:space="0"/>
            </w:tcBorders>
            <w:noWrap w:val="0"/>
            <w:vAlign w:val="center"/>
          </w:tcPr>
          <w:p w14:paraId="6207B718">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中央财政</w:t>
            </w:r>
          </w:p>
        </w:tc>
        <w:tc>
          <w:tcPr>
            <w:tcW w:w="225" w:type="pct"/>
            <w:vMerge w:val="restart"/>
            <w:tcBorders>
              <w:top w:val="single" w:color="000000" w:sz="4" w:space="0"/>
              <w:left w:val="single" w:color="000000" w:sz="4" w:space="0"/>
              <w:bottom w:val="single" w:color="000000" w:sz="4" w:space="0"/>
              <w:right w:val="single" w:color="000000" w:sz="4" w:space="0"/>
            </w:tcBorders>
            <w:noWrap w:val="0"/>
            <w:vAlign w:val="center"/>
          </w:tcPr>
          <w:p w14:paraId="6303F6E4">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超长期特别国债</w:t>
            </w:r>
          </w:p>
        </w:tc>
        <w:tc>
          <w:tcPr>
            <w:tcW w:w="212" w:type="pct"/>
            <w:vMerge w:val="restart"/>
            <w:tcBorders>
              <w:top w:val="single" w:color="000000" w:sz="4" w:space="0"/>
              <w:left w:val="single" w:color="000000" w:sz="4" w:space="0"/>
              <w:bottom w:val="single" w:color="000000" w:sz="4" w:space="0"/>
              <w:right w:val="single" w:color="000000" w:sz="4" w:space="0"/>
            </w:tcBorders>
            <w:noWrap w:val="0"/>
            <w:vAlign w:val="center"/>
          </w:tcPr>
          <w:p w14:paraId="3186B4D1">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银行贷款</w:t>
            </w:r>
          </w:p>
        </w:tc>
        <w:tc>
          <w:tcPr>
            <w:tcW w:w="219" w:type="pct"/>
            <w:vMerge w:val="restart"/>
            <w:tcBorders>
              <w:top w:val="single" w:color="000000" w:sz="4" w:space="0"/>
              <w:left w:val="single" w:color="000000" w:sz="4" w:space="0"/>
              <w:bottom w:val="single" w:color="000000" w:sz="4" w:space="0"/>
              <w:right w:val="single" w:color="000000" w:sz="4" w:space="0"/>
            </w:tcBorders>
            <w:noWrap w:val="0"/>
            <w:vAlign w:val="center"/>
          </w:tcPr>
          <w:p w14:paraId="42D08DCA">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地方政府专项债</w:t>
            </w:r>
          </w:p>
        </w:tc>
        <w:tc>
          <w:tcPr>
            <w:tcW w:w="216" w:type="pct"/>
            <w:vMerge w:val="restart"/>
            <w:tcBorders>
              <w:top w:val="single" w:color="000000" w:sz="4" w:space="0"/>
              <w:left w:val="single" w:color="000000" w:sz="4" w:space="0"/>
              <w:bottom w:val="single" w:color="000000" w:sz="4" w:space="0"/>
              <w:right w:val="single" w:color="000000" w:sz="4" w:space="0"/>
            </w:tcBorders>
            <w:noWrap w:val="0"/>
            <w:vAlign w:val="center"/>
          </w:tcPr>
          <w:p w14:paraId="21148102">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企业资金</w:t>
            </w:r>
          </w:p>
        </w:tc>
        <w:tc>
          <w:tcPr>
            <w:tcW w:w="193" w:type="pct"/>
            <w:vMerge w:val="restart"/>
            <w:tcBorders>
              <w:top w:val="single" w:color="000000" w:sz="4" w:space="0"/>
              <w:left w:val="single" w:color="000000" w:sz="4" w:space="0"/>
              <w:bottom w:val="single" w:color="000000" w:sz="4" w:space="0"/>
              <w:right w:val="single" w:color="000000" w:sz="4" w:space="0"/>
            </w:tcBorders>
            <w:noWrap w:val="0"/>
            <w:vAlign w:val="center"/>
          </w:tcPr>
          <w:p w14:paraId="1D1F42CF">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民间投资</w:t>
            </w:r>
          </w:p>
        </w:tc>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0193611D">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省州县配套资金</w:t>
            </w:r>
          </w:p>
        </w:tc>
        <w:tc>
          <w:tcPr>
            <w:tcW w:w="203" w:type="pct"/>
            <w:vMerge w:val="restart"/>
            <w:tcBorders>
              <w:top w:val="single" w:color="000000" w:sz="4" w:space="0"/>
              <w:left w:val="single" w:color="000000" w:sz="4" w:space="0"/>
              <w:bottom w:val="single" w:color="000000" w:sz="4" w:space="0"/>
              <w:right w:val="single" w:color="000000" w:sz="4" w:space="0"/>
            </w:tcBorders>
            <w:noWrap w:val="0"/>
            <w:vAlign w:val="center"/>
          </w:tcPr>
          <w:p w14:paraId="5563FF69">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其他资金</w:t>
            </w:r>
          </w:p>
        </w:tc>
        <w:tc>
          <w:tcPr>
            <w:tcW w:w="2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341BDE">
            <w:pPr>
              <w:shd w:val="clear"/>
              <w:jc w:val="center"/>
              <w:rPr>
                <w:rFonts w:hint="eastAsia" w:ascii="宋体" w:hAnsi="宋体" w:eastAsia="宋体" w:cs="宋体"/>
                <w:b/>
                <w:bCs/>
                <w:i w:val="0"/>
                <w:iCs w:val="0"/>
                <w:color w:val="000000"/>
                <w:sz w:val="24"/>
                <w:szCs w:val="24"/>
                <w:u w:val="none"/>
              </w:rPr>
            </w:pPr>
          </w:p>
        </w:tc>
        <w:tc>
          <w:tcPr>
            <w:tcW w:w="3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21432E">
            <w:pPr>
              <w:shd w:val="clear"/>
              <w:jc w:val="center"/>
              <w:rPr>
                <w:rFonts w:hint="eastAsia" w:ascii="宋体" w:hAnsi="宋体" w:eastAsia="宋体" w:cs="宋体"/>
                <w:b/>
                <w:bCs/>
                <w:i w:val="0"/>
                <w:iCs w:val="0"/>
                <w:color w:val="000000"/>
                <w:sz w:val="24"/>
                <w:szCs w:val="24"/>
                <w:u w:val="none"/>
              </w:rPr>
            </w:pPr>
          </w:p>
        </w:tc>
      </w:tr>
      <w:tr w14:paraId="47F15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4FDCD8">
            <w:pPr>
              <w:shd w:val="clear"/>
              <w:jc w:val="center"/>
              <w:rPr>
                <w:rFonts w:hint="eastAsia" w:ascii="宋体" w:hAnsi="宋体" w:eastAsia="宋体" w:cs="宋体"/>
                <w:b/>
                <w:bCs/>
                <w:i w:val="0"/>
                <w:iCs w:val="0"/>
                <w:color w:val="000000"/>
                <w:sz w:val="24"/>
                <w:szCs w:val="24"/>
                <w:u w:val="none"/>
              </w:rPr>
            </w:pPr>
          </w:p>
        </w:tc>
        <w:tc>
          <w:tcPr>
            <w:tcW w:w="11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9BA582">
            <w:pPr>
              <w:shd w:val="clear"/>
              <w:jc w:val="center"/>
              <w:rPr>
                <w:rFonts w:hint="eastAsia" w:ascii="宋体" w:hAnsi="宋体" w:eastAsia="宋体" w:cs="宋体"/>
                <w:b/>
                <w:bCs/>
                <w:i w:val="0"/>
                <w:iCs w:val="0"/>
                <w:color w:val="000000"/>
                <w:sz w:val="24"/>
                <w:szCs w:val="24"/>
                <w:u w:val="none"/>
              </w:rPr>
            </w:pPr>
          </w:p>
        </w:tc>
        <w:tc>
          <w:tcPr>
            <w:tcW w:w="1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36E8A2">
            <w:pPr>
              <w:shd w:val="clear"/>
              <w:jc w:val="center"/>
              <w:rPr>
                <w:rFonts w:hint="eastAsia" w:ascii="宋体" w:hAnsi="宋体" w:eastAsia="宋体" w:cs="宋体"/>
                <w:b/>
                <w:bCs/>
                <w:i w:val="0"/>
                <w:iCs w:val="0"/>
                <w:color w:val="000000"/>
                <w:sz w:val="24"/>
                <w:szCs w:val="24"/>
                <w:u w:val="none"/>
              </w:rPr>
            </w:pPr>
          </w:p>
        </w:tc>
        <w:tc>
          <w:tcPr>
            <w:tcW w:w="302" w:type="pct"/>
            <w:gridSpan w:val="2"/>
            <w:vMerge w:val="continue"/>
            <w:tcBorders>
              <w:left w:val="single" w:color="000000" w:sz="4" w:space="0"/>
              <w:bottom w:val="single" w:color="000000" w:sz="4" w:space="0"/>
              <w:right w:val="single" w:color="000000" w:sz="4" w:space="0"/>
            </w:tcBorders>
            <w:noWrap w:val="0"/>
            <w:vAlign w:val="center"/>
          </w:tcPr>
          <w:p w14:paraId="731F9A7C">
            <w:pPr>
              <w:shd w:val="clear"/>
              <w:jc w:val="center"/>
              <w:rPr>
                <w:rFonts w:hint="eastAsia" w:ascii="宋体" w:hAnsi="宋体" w:eastAsia="宋体" w:cs="宋体"/>
                <w:b/>
                <w:bCs/>
                <w:i w:val="0"/>
                <w:iCs w:val="0"/>
                <w:color w:val="000000"/>
                <w:sz w:val="24"/>
                <w:szCs w:val="24"/>
                <w:u w:val="none"/>
              </w:rPr>
            </w:pPr>
          </w:p>
        </w:tc>
        <w:tc>
          <w:tcPr>
            <w:tcW w:w="4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E5EEF5">
            <w:pPr>
              <w:shd w:val="clear"/>
              <w:jc w:val="center"/>
              <w:rPr>
                <w:rFonts w:hint="eastAsia" w:ascii="宋体" w:hAnsi="宋体" w:eastAsia="宋体" w:cs="宋体"/>
                <w:b/>
                <w:bCs/>
                <w:i w:val="0"/>
                <w:iCs w:val="0"/>
                <w:color w:val="000000"/>
                <w:sz w:val="24"/>
                <w:szCs w:val="24"/>
                <w:u w:val="none"/>
              </w:rPr>
            </w:pPr>
          </w:p>
        </w:tc>
        <w:tc>
          <w:tcPr>
            <w:tcW w:w="6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DAD03C">
            <w:pPr>
              <w:shd w:val="clear"/>
              <w:jc w:val="center"/>
              <w:rPr>
                <w:rFonts w:hint="eastAsia" w:ascii="宋体" w:hAnsi="宋体" w:eastAsia="宋体" w:cs="宋体"/>
                <w:b/>
                <w:bCs/>
                <w:i w:val="0"/>
                <w:iCs w:val="0"/>
                <w:color w:val="000000"/>
                <w:sz w:val="24"/>
                <w:szCs w:val="24"/>
                <w:u w:val="none"/>
              </w:rPr>
            </w:pPr>
          </w:p>
        </w:tc>
        <w:tc>
          <w:tcPr>
            <w:tcW w:w="2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80D85E">
            <w:pPr>
              <w:shd w:val="clear"/>
              <w:jc w:val="center"/>
              <w:rPr>
                <w:rFonts w:hint="eastAsia" w:ascii="宋体" w:hAnsi="宋体" w:eastAsia="宋体" w:cs="宋体"/>
                <w:b/>
                <w:bCs/>
                <w:i w:val="0"/>
                <w:iCs w:val="0"/>
                <w:color w:val="000000"/>
                <w:sz w:val="24"/>
                <w:szCs w:val="24"/>
                <w:u w:val="none"/>
              </w:rPr>
            </w:pP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32DF21C4">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既有渠道</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091F5CF">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SZ专项</w:t>
            </w:r>
          </w:p>
        </w:tc>
        <w:tc>
          <w:tcPr>
            <w:tcW w:w="19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9D8180">
            <w:pPr>
              <w:shd w:val="clear"/>
              <w:jc w:val="center"/>
              <w:rPr>
                <w:rFonts w:hint="eastAsia" w:ascii="宋体" w:hAnsi="宋体" w:eastAsia="宋体" w:cs="宋体"/>
                <w:b/>
                <w:bCs/>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351B8F">
            <w:pPr>
              <w:shd w:val="clear"/>
              <w:jc w:val="center"/>
              <w:rPr>
                <w:rFonts w:hint="eastAsia" w:ascii="宋体" w:hAnsi="宋体" w:eastAsia="宋体" w:cs="宋体"/>
                <w:b/>
                <w:bCs/>
                <w:i w:val="0"/>
                <w:iCs w:val="0"/>
                <w:color w:val="000000"/>
                <w:sz w:val="24"/>
                <w:szCs w:val="24"/>
                <w:u w:val="none"/>
              </w:rPr>
            </w:pPr>
          </w:p>
        </w:tc>
        <w:tc>
          <w:tcPr>
            <w:tcW w:w="2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02CC25">
            <w:pPr>
              <w:shd w:val="clear"/>
              <w:jc w:val="center"/>
              <w:rPr>
                <w:rFonts w:hint="eastAsia" w:ascii="宋体" w:hAnsi="宋体" w:eastAsia="宋体" w:cs="宋体"/>
                <w:b/>
                <w:bCs/>
                <w:i w:val="0"/>
                <w:iCs w:val="0"/>
                <w:color w:val="000000"/>
                <w:sz w:val="24"/>
                <w:szCs w:val="24"/>
                <w:u w:val="none"/>
              </w:rPr>
            </w:pPr>
          </w:p>
        </w:tc>
        <w:tc>
          <w:tcPr>
            <w:tcW w:w="2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A089AD">
            <w:pPr>
              <w:shd w:val="clear"/>
              <w:jc w:val="center"/>
              <w:rPr>
                <w:rFonts w:hint="eastAsia" w:ascii="宋体" w:hAnsi="宋体" w:eastAsia="宋体" w:cs="宋体"/>
                <w:b/>
                <w:bCs/>
                <w:i w:val="0"/>
                <w:iCs w:val="0"/>
                <w:color w:val="000000"/>
                <w:sz w:val="24"/>
                <w:szCs w:val="24"/>
                <w:u w:val="none"/>
              </w:rPr>
            </w:pPr>
          </w:p>
        </w:tc>
        <w:tc>
          <w:tcPr>
            <w:tcW w:w="2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27C671">
            <w:pPr>
              <w:shd w:val="clear"/>
              <w:jc w:val="center"/>
              <w:rPr>
                <w:rFonts w:hint="eastAsia" w:ascii="宋体" w:hAnsi="宋体" w:eastAsia="宋体" w:cs="宋体"/>
                <w:b/>
                <w:bCs/>
                <w:i w:val="0"/>
                <w:iCs w:val="0"/>
                <w:color w:val="000000"/>
                <w:sz w:val="24"/>
                <w:szCs w:val="24"/>
                <w:u w:val="none"/>
              </w:rPr>
            </w:pPr>
          </w:p>
        </w:tc>
        <w:tc>
          <w:tcPr>
            <w:tcW w:w="21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712699">
            <w:pPr>
              <w:shd w:val="clear"/>
              <w:jc w:val="center"/>
              <w:rPr>
                <w:rFonts w:hint="eastAsia" w:ascii="宋体" w:hAnsi="宋体" w:eastAsia="宋体" w:cs="宋体"/>
                <w:b/>
                <w:bCs/>
                <w:i w:val="0"/>
                <w:iCs w:val="0"/>
                <w:color w:val="000000"/>
                <w:sz w:val="24"/>
                <w:szCs w:val="24"/>
                <w:u w:val="none"/>
              </w:rPr>
            </w:pPr>
          </w:p>
        </w:tc>
        <w:tc>
          <w:tcPr>
            <w:tcW w:w="19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6003F9">
            <w:pPr>
              <w:shd w:val="clear"/>
              <w:jc w:val="center"/>
              <w:rPr>
                <w:rFonts w:hint="eastAsia" w:ascii="宋体" w:hAnsi="宋体" w:eastAsia="宋体" w:cs="宋体"/>
                <w:b/>
                <w:bCs/>
                <w:i w:val="0"/>
                <w:iCs w:val="0"/>
                <w:color w:val="000000"/>
                <w:sz w:val="24"/>
                <w:szCs w:val="24"/>
                <w:u w:val="none"/>
              </w:rPr>
            </w:pPr>
          </w:p>
        </w:tc>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6990AF">
            <w:pPr>
              <w:shd w:val="clear"/>
              <w:jc w:val="center"/>
              <w:rPr>
                <w:rFonts w:hint="eastAsia" w:ascii="宋体" w:hAnsi="宋体" w:eastAsia="宋体" w:cs="宋体"/>
                <w:b/>
                <w:bCs/>
                <w:i w:val="0"/>
                <w:iCs w:val="0"/>
                <w:color w:val="000000"/>
                <w:sz w:val="24"/>
                <w:szCs w:val="24"/>
                <w:u w:val="none"/>
              </w:rPr>
            </w:pPr>
          </w:p>
        </w:tc>
        <w:tc>
          <w:tcPr>
            <w:tcW w:w="20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1EB633">
            <w:pPr>
              <w:shd w:val="clear"/>
              <w:jc w:val="center"/>
              <w:rPr>
                <w:rFonts w:hint="eastAsia" w:ascii="宋体" w:hAnsi="宋体" w:eastAsia="宋体" w:cs="宋体"/>
                <w:b/>
                <w:bCs/>
                <w:i w:val="0"/>
                <w:iCs w:val="0"/>
                <w:color w:val="000000"/>
                <w:sz w:val="24"/>
                <w:szCs w:val="24"/>
                <w:u w:val="none"/>
              </w:rPr>
            </w:pPr>
          </w:p>
        </w:tc>
        <w:tc>
          <w:tcPr>
            <w:tcW w:w="2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28B6DD">
            <w:pPr>
              <w:shd w:val="clear"/>
              <w:jc w:val="center"/>
              <w:rPr>
                <w:rFonts w:hint="eastAsia" w:ascii="宋体" w:hAnsi="宋体" w:eastAsia="宋体" w:cs="宋体"/>
                <w:b/>
                <w:bCs/>
                <w:i w:val="0"/>
                <w:iCs w:val="0"/>
                <w:color w:val="000000"/>
                <w:sz w:val="24"/>
                <w:szCs w:val="24"/>
                <w:u w:val="none"/>
              </w:rPr>
            </w:pPr>
          </w:p>
        </w:tc>
        <w:tc>
          <w:tcPr>
            <w:tcW w:w="3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5DF828">
            <w:pPr>
              <w:shd w:val="clear"/>
              <w:jc w:val="center"/>
              <w:rPr>
                <w:rFonts w:hint="eastAsia" w:ascii="宋体" w:hAnsi="宋体" w:eastAsia="宋体" w:cs="宋体"/>
                <w:b/>
                <w:bCs/>
                <w:i w:val="0"/>
                <w:iCs w:val="0"/>
                <w:color w:val="000000"/>
                <w:sz w:val="24"/>
                <w:szCs w:val="24"/>
                <w:u w:val="none"/>
              </w:rPr>
            </w:pPr>
          </w:p>
        </w:tc>
      </w:tr>
      <w:tr w14:paraId="0F97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54" w:type="pct"/>
            <w:gridSpan w:val="7"/>
            <w:tcBorders>
              <w:top w:val="single" w:color="000000" w:sz="4" w:space="0"/>
              <w:left w:val="single" w:color="000000" w:sz="4" w:space="0"/>
              <w:bottom w:val="single" w:color="000000" w:sz="4" w:space="0"/>
              <w:right w:val="single" w:color="000000" w:sz="4" w:space="0"/>
            </w:tcBorders>
            <w:noWrap w:val="0"/>
            <w:vAlign w:val="center"/>
          </w:tcPr>
          <w:p w14:paraId="28D1198A">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521836A6">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46.34 </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302E5847">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0.00 </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B708A88">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3.37 </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D77A2EA">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8.57 </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213EDAA">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0.00 </w:t>
            </w: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23EF07D">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4.19 </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1BBA72A4">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0.00 </w:t>
            </w: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7BC6E88F">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11.17 </w:t>
            </w: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36969950">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10.22 </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363A6147">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0.00 </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29C69B1C">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8.83 </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3BBA2831">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0.00 </w:t>
            </w:r>
          </w:p>
        </w:tc>
        <w:tc>
          <w:tcPr>
            <w:tcW w:w="284" w:type="pct"/>
            <w:tcBorders>
              <w:top w:val="single" w:color="000000" w:sz="4" w:space="0"/>
              <w:left w:val="single" w:color="000000" w:sz="4" w:space="0"/>
              <w:bottom w:val="single" w:color="000000" w:sz="4" w:space="0"/>
              <w:right w:val="single" w:color="000000" w:sz="4" w:space="0"/>
            </w:tcBorders>
            <w:noWrap w:val="0"/>
            <w:vAlign w:val="center"/>
          </w:tcPr>
          <w:p w14:paraId="23B2E5B8">
            <w:pPr>
              <w:shd w:val="clear"/>
              <w:jc w:val="center"/>
              <w:rPr>
                <w:rFonts w:hint="eastAsia" w:ascii="宋体" w:hAnsi="宋体" w:eastAsia="宋体" w:cs="宋体"/>
                <w:b/>
                <w:bCs/>
                <w:i w:val="0"/>
                <w:iCs w:val="0"/>
                <w:color w:val="000000"/>
                <w:sz w:val="24"/>
                <w:szCs w:val="24"/>
                <w:u w:val="none"/>
              </w:rPr>
            </w:pPr>
          </w:p>
        </w:tc>
        <w:tc>
          <w:tcPr>
            <w:tcW w:w="313" w:type="pct"/>
            <w:tcBorders>
              <w:top w:val="single" w:color="000000" w:sz="4" w:space="0"/>
              <w:left w:val="single" w:color="000000" w:sz="4" w:space="0"/>
              <w:bottom w:val="single" w:color="000000" w:sz="4" w:space="0"/>
              <w:right w:val="single" w:color="000000" w:sz="4" w:space="0"/>
            </w:tcBorders>
            <w:noWrap w:val="0"/>
            <w:vAlign w:val="center"/>
          </w:tcPr>
          <w:p w14:paraId="4826674E">
            <w:pPr>
              <w:shd w:val="clear"/>
              <w:jc w:val="center"/>
              <w:rPr>
                <w:rFonts w:hint="eastAsia" w:ascii="宋体" w:hAnsi="宋体" w:eastAsia="宋体" w:cs="宋体"/>
                <w:b/>
                <w:bCs/>
                <w:i w:val="0"/>
                <w:iCs w:val="0"/>
                <w:color w:val="000000"/>
                <w:sz w:val="24"/>
                <w:szCs w:val="24"/>
                <w:u w:val="none"/>
              </w:rPr>
            </w:pPr>
          </w:p>
        </w:tc>
      </w:tr>
      <w:tr w14:paraId="4A87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C219A9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BDDD6F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071B55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241E3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中心镇建设</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C9362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阿坝州马尔康市沙尔宗镇市政基础设施建设项目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2E5A63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改建原有河堤挡墙927米；改建滨河步道2770米及照明设施，配套建设公共厕所等附属设施。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79ABB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0.23 </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E072EE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C92557D">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EA59C2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0.18 </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CC8AD18">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83C689">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07B24F">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999ADFC">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B71F1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1901607">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096E5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0.05 </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CBB904">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4A9A6A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2026.6</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EC4435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2027.6</w:t>
            </w:r>
          </w:p>
        </w:tc>
      </w:tr>
      <w:tr w14:paraId="1D18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72E7D0F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5294029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036784C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restart"/>
            <w:tcBorders>
              <w:top w:val="single" w:color="000000" w:sz="4" w:space="0"/>
              <w:left w:val="single" w:color="000000" w:sz="4" w:space="0"/>
              <w:bottom w:val="single" w:color="000000" w:sz="4" w:space="0"/>
              <w:right w:val="single" w:color="000000" w:sz="4" w:space="0"/>
            </w:tcBorders>
            <w:noWrap w:val="0"/>
            <w:vAlign w:val="center"/>
          </w:tcPr>
          <w:p w14:paraId="400D790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城市更新</w:t>
            </w:r>
          </w:p>
        </w:tc>
        <w:tc>
          <w:tcPr>
            <w:tcW w:w="184" w:type="pct"/>
            <w:vMerge w:val="restart"/>
            <w:tcBorders>
              <w:top w:val="single" w:color="000000" w:sz="4" w:space="0"/>
              <w:left w:val="single" w:color="000000" w:sz="4" w:space="0"/>
              <w:bottom w:val="nil"/>
              <w:right w:val="single" w:color="000000" w:sz="4" w:space="0"/>
            </w:tcBorders>
            <w:noWrap w:val="0"/>
            <w:vAlign w:val="center"/>
          </w:tcPr>
          <w:p w14:paraId="54F0AA7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老旧小区改造</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137970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阿坝州马尔康市城镇老旧小区配套基础设施改造项目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22DF64D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内容包括小区内改造排水管网11.6千米，道路3.43万平方米，小区内通信线路整治4.5千米，停车场2.63万平方米，配套照明路灯、成品垃圾箱、监控系统、机动车充电桩等基础设施设备；与小区相关的城镇基础设施建设内容包括通信线路整治5.5千米等配套基础设施</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0BDB237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0.765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27A69DC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6467590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3BF803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0.612</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928B1DD">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770E8F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5FFF35DF">
            <w:pPr>
              <w:shd w:val="clear"/>
              <w:jc w:val="center"/>
              <w:rPr>
                <w:rFonts w:hint="eastAsia" w:ascii="宋体" w:hAnsi="宋体" w:eastAsia="宋体" w:cs="宋体"/>
                <w:i w:val="0"/>
                <w:iCs w:val="0"/>
                <w:color w:val="000000"/>
                <w:sz w:val="24"/>
                <w:szCs w:val="24"/>
                <w:u w:val="none"/>
              </w:rPr>
            </w:pPr>
          </w:p>
        </w:tc>
        <w:tc>
          <w:tcPr>
            <w:tcW w:w="219" w:type="pct"/>
            <w:tcBorders>
              <w:top w:val="nil"/>
              <w:left w:val="nil"/>
              <w:bottom w:val="nil"/>
              <w:right w:val="nil"/>
            </w:tcBorders>
            <w:noWrap/>
            <w:vAlign w:val="center"/>
          </w:tcPr>
          <w:p w14:paraId="4E24854C">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51FDE97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3088829B">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2BD108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0.153</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1832908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1D73815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2026.6</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66DBCFD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2027.6</w:t>
            </w:r>
          </w:p>
        </w:tc>
      </w:tr>
      <w:tr w14:paraId="7AABD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62BF5E1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70E9A72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0B0C073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426D2E">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nil"/>
              <w:right w:val="single" w:color="000000" w:sz="4" w:space="0"/>
            </w:tcBorders>
            <w:noWrap w:val="0"/>
            <w:vAlign w:val="center"/>
          </w:tcPr>
          <w:p w14:paraId="38495F98">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F9FC90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阿坝州马尔康市廉租房老旧小区配套基础设施改造项目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7155178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对大郎足沟6栋廉租房进行适老化提升改造</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23C4D4D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06" w:type="pct"/>
            <w:tcBorders>
              <w:top w:val="single" w:color="000000" w:sz="4" w:space="0"/>
              <w:left w:val="single" w:color="000000" w:sz="4" w:space="0"/>
              <w:bottom w:val="single" w:color="000000" w:sz="4" w:space="0"/>
              <w:right w:val="single" w:color="000000" w:sz="4" w:space="0"/>
            </w:tcBorders>
            <w:noWrap/>
            <w:vAlign w:val="center"/>
          </w:tcPr>
          <w:p w14:paraId="0A766092">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6E75EEE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375DFE2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3393148">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54EC3AE">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5A16C640">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24976D89">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56A3174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11681AF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365DFE4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1AEE85BE">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5C4425F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2026.7</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5F88585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r>
      <w:tr w14:paraId="0F724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66C4FAF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81E89B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096FC64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企业自投</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4E024B">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nil"/>
              <w:right w:val="single" w:color="000000" w:sz="4" w:space="0"/>
            </w:tcBorders>
            <w:noWrap w:val="0"/>
            <w:vAlign w:val="center"/>
          </w:tcPr>
          <w:p w14:paraId="1C62CC7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20CA493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马尔康市团结街老旧小区综合整治项目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62BB221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对团结街老县委地块（人大政协综合楼、老县委办公区、部分住宿楼、原地震局等后山建筑）进行拆除；新建55000平方米建筑综合体，包含居民安置还建12000平方米、会议中心、商务、人防避灾等</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4F884FE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B0A3A9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428AE53">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62DC5C2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1222645">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310F4E5">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12EA2027">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73DA0A52">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1546679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2841CAD">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667116B9">
            <w:pPr>
              <w:shd w:val="clear"/>
              <w:jc w:val="center"/>
              <w:rPr>
                <w:rFonts w:hint="eastAsia" w:ascii="宋体" w:hAnsi="宋体" w:eastAsia="宋体" w:cs="宋体"/>
                <w:i w:val="0"/>
                <w:iCs w:val="0"/>
                <w:color w:val="000000"/>
                <w:sz w:val="24"/>
                <w:szCs w:val="24"/>
                <w:u w:val="none"/>
              </w:rPr>
            </w:pP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30315549">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6002731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123C55C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2032.3</w:t>
            </w:r>
          </w:p>
        </w:tc>
      </w:tr>
      <w:tr w14:paraId="273E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534045F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47784D9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C076EA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F7382A">
            <w:pPr>
              <w:shd w:val="clear"/>
              <w:jc w:val="center"/>
              <w:rPr>
                <w:rFonts w:hint="eastAsia" w:ascii="宋体" w:hAnsi="宋体" w:eastAsia="宋体" w:cs="宋体"/>
                <w:i w:val="0"/>
                <w:iCs w:val="0"/>
                <w:color w:val="000000"/>
                <w:sz w:val="24"/>
                <w:szCs w:val="24"/>
                <w:u w:val="none"/>
              </w:rPr>
            </w:pPr>
          </w:p>
        </w:tc>
        <w:tc>
          <w:tcPr>
            <w:tcW w:w="184" w:type="pct"/>
            <w:tcBorders>
              <w:top w:val="single" w:color="000000" w:sz="4" w:space="0"/>
              <w:left w:val="single" w:color="000000" w:sz="4" w:space="0"/>
              <w:bottom w:val="single" w:color="000000" w:sz="4" w:space="0"/>
              <w:right w:val="single" w:color="000000" w:sz="4" w:space="0"/>
            </w:tcBorders>
            <w:noWrap w:val="0"/>
            <w:vAlign w:val="center"/>
          </w:tcPr>
          <w:p w14:paraId="6CAA0AD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既有建筑改造</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4E2993A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阿坝州马尔康市既有高层民用建筑外墙外保温层更新项目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1D298F8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对城区既有高层民用建筑外墙外保温层进行加固修缮</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75BEABB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295A73A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A10EDF9">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0BA0B6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0.192</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20B2D51C">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8EBD893">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6EC5D722">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02B680EB">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678DC77E">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DD432F4">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39E16F7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0.048</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7B8FB0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D5ED92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6CEB3AA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6CBC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2F04A69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6A10907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26235A9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企业自投</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2BA1D7">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noWrap w:val="0"/>
            <w:vAlign w:val="center"/>
          </w:tcPr>
          <w:p w14:paraId="0D4E8A9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老旧街区更新</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FBF058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阿坝州马尔康市马江街片区城市危旧房改造项目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2EB3B00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新建商业综合体（克莎秘境商业综合体）及配套基础设施、绿道、应急避难广场、停车场等</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460D0AF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6" w:type="pct"/>
            <w:tcBorders>
              <w:top w:val="single" w:color="000000" w:sz="4" w:space="0"/>
              <w:left w:val="single" w:color="000000" w:sz="4" w:space="0"/>
              <w:bottom w:val="single" w:color="000000" w:sz="4" w:space="0"/>
              <w:right w:val="single" w:color="000000" w:sz="4" w:space="0"/>
            </w:tcBorders>
            <w:noWrap/>
            <w:vAlign w:val="center"/>
          </w:tcPr>
          <w:p w14:paraId="6F7C044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03F503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BE409C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1F61AC39">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861536A">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5B819105">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28A9516B">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1DDD41D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98CE69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06321EA3">
            <w:pPr>
              <w:shd w:val="clear"/>
              <w:jc w:val="center"/>
              <w:rPr>
                <w:rFonts w:hint="eastAsia" w:ascii="宋体" w:hAnsi="宋体" w:eastAsia="宋体" w:cs="宋体"/>
                <w:i w:val="0"/>
                <w:iCs w:val="0"/>
                <w:color w:val="000000"/>
                <w:sz w:val="24"/>
                <w:szCs w:val="24"/>
                <w:u w:val="none"/>
              </w:rPr>
            </w:pP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AD79220">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34B1BE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2077E53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460B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75F430D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32323B3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33FF74D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BF2590">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3D8C74">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08BAD1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阿坝州马尔康市城市背街小巷更新改造提升整治</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55EC247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主城区背街小巷建筑保温层改造，绿化、照明、供电、消防、停车棚等基础设施及公共服务设施建设</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2F3D731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0.23</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3D7E9FC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2EF968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186EF28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0.184</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97B1831">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8FF722C">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7D26BDA4">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555A1CBE">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4725543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4C543C6">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7C8EFC1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0.046</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4C02CFD">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3E47A0D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6988244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2889D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7598BCC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54FABE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5D7934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384F4F">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noWrap w:val="0"/>
            <w:vAlign w:val="center"/>
          </w:tcPr>
          <w:p w14:paraId="435EA17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城中村改造</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14ED776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阿坝州马尔康市阿底片区城中村改造提升项目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266C017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对阿底片区105户城中村房屋进行提升改造，配套管网、道路、公厕等基础设施</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6F3BF1E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0.385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0EC7570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E6D402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53D3FFA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514796B">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B180754">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01C5B6CA">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7B34B3F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0.308</w:t>
            </w: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654760AA">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C18483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F2C80F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0.077</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DF476B5">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1161A13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01AA7A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2F8A3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4D2485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0D9F890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C56D29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331169">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F04926">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4FDE1DA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阿坝州马尔康市大郎足沟片区城中村改造项目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1874D88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危旧房屋拆迁还建，实施供排水改造，雨污分流等地下管网，恢复市政道路等市政基础设施、生态修复、沿街建筑立面节能改造等。</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294BFFC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E47CCA9">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070F22EA">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1E596C75">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6332D0BB">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8BA8D6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78280288">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50AA270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053CE7A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C97105B">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657B497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AC1A8AD">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556B0AF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5539C16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6D0D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84B354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68210D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6E2BC66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0B9AD1">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A957BB">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2A79C3B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马尔康市日瓦坝新区城中村改造项目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1BB6DE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本项目拟对日瓦坝新区内的城中村区域进行更新改造提升，拆除并新建63户城中村房屋，配套给排水、强弱电等基础设施。</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5B44258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0.723</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625D81A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DAC861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0B16D82">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38BA874">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4CE17741">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628EE088">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0163854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0.5784</w:t>
            </w: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219AC061">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16EEE3EB">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1EE124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0.1446</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AB1F933">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64C42F3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2026.9</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0B709DC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2027.9</w:t>
            </w:r>
          </w:p>
        </w:tc>
      </w:tr>
      <w:tr w14:paraId="18AE8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07A1C7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6301435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73D81ED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249170">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52AA6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0102BD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阿坝州马尔康市三家寨后山城中村改造项目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23E6E90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对片区内130户（公墓沟至憩宫）城中村老旧房屋进行综合整治，并完善配套基础设施建设</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023FE3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0.375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08C20AB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1EE943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FC8DD4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0C9C450F">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52E09A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296A2825">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40DB643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4B7634B1">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7ED0DC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2D8C565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0.075</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7A095FC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3DE6411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7563099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5A73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76DAC67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697D91D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775FCBE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企业自投</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95DA31">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351585">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753B1C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阿坝州马尔康市俄尔雅农贸市场及配套设施建设项目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99FDE6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新建农贸商业综合体2栋，建筑面积15000平方米（包含地下停车场）</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7F6A27E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0.715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68A527E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23BF939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A63197C">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60F08C7">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418A4DE">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138B5B69">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023732D2">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1B343BE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0.715</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C5EA64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5C7534B1">
            <w:pPr>
              <w:shd w:val="clear"/>
              <w:jc w:val="center"/>
              <w:rPr>
                <w:rFonts w:hint="eastAsia" w:ascii="宋体" w:hAnsi="宋体" w:eastAsia="宋体" w:cs="宋体"/>
                <w:i w:val="0"/>
                <w:iCs w:val="0"/>
                <w:color w:val="000000"/>
                <w:sz w:val="24"/>
                <w:szCs w:val="24"/>
                <w:u w:val="none"/>
              </w:rPr>
            </w:pP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0E54022">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5D3BCC7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2027.6</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73A0C72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2029.6</w:t>
            </w:r>
          </w:p>
        </w:tc>
      </w:tr>
      <w:tr w14:paraId="37DBF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D3C6E6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3BCD184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2E74F1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958689">
            <w:pPr>
              <w:shd w:val="clear"/>
              <w:jc w:val="center"/>
              <w:rPr>
                <w:rFonts w:hint="eastAsia" w:ascii="宋体" w:hAnsi="宋体" w:eastAsia="宋体" w:cs="宋体"/>
                <w:i w:val="0"/>
                <w:iCs w:val="0"/>
                <w:color w:val="000000"/>
                <w:sz w:val="24"/>
                <w:szCs w:val="24"/>
                <w:u w:val="none"/>
              </w:rPr>
            </w:pPr>
          </w:p>
        </w:tc>
        <w:tc>
          <w:tcPr>
            <w:tcW w:w="184" w:type="pct"/>
            <w:vMerge w:val="restart"/>
            <w:tcBorders>
              <w:top w:val="nil"/>
              <w:left w:val="single" w:color="000000" w:sz="4" w:space="0"/>
              <w:bottom w:val="single" w:color="000000" w:sz="4" w:space="0"/>
              <w:right w:val="single" w:color="000000" w:sz="4" w:space="0"/>
            </w:tcBorders>
            <w:noWrap w:val="0"/>
            <w:vAlign w:val="center"/>
          </w:tcPr>
          <w:p w14:paraId="3D7766F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公共空间优化升级</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2B3EBBB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阿坝州马尔康市县建片区公共空间改造利用项目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4DDF163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对县建片区至天怡宾馆段公共区域改造2000㎡及配套设施建设</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420F762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032888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6075BFC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623BC31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0.48</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026A72F">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76FC8D4">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7BC77ADA">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45694E8E">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23BFD19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5F55FE0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A24FEC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8BC4FB5">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033D9B5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46AE3F3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7EC95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39EED4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73330B3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3C44C43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22FCF2">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0C05A96E">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2C83D91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阿坝州马尔康市嶂恰岭公园栈道建设项目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88D6A3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沿途休息亭子3个，椅子5个；西边从烈士陵园、达萨街277号到公园健身平台总长度1383米，沿途亭子三个，椅子7个，嶂恰公园东西环绕窄道新建共合计长，2122.6米。</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6A690C9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38C02DDC">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21181B4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D7E552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2D2ECE3E">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01CEBEFA">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04EC5D66">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0A780781">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428CE64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31539D06">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B8F1C7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3199CA2B">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5467C4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19AC11C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36C9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1BEE19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6B41709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2257A90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2AF6F4">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5F00713F">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67F8343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阿坝州马尔康市滨河健身步道改造提升项目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71FDFF4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日瓦坝长征学校至俄尔雅长征干部学校滨河健身步道及户外运动公共服务设施提升改造</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6843030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0.19</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B32E785">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4A9B9BB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38463F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0.152</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CB69D7D">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F2AF1DB">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3A093FC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53B459E5">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56CEF44E">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F5966CF">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4DE2D48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0.038</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480524F7">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2A29950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57BF217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38C6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3914839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7A2A02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22FD838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757455">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1423AFC9">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3B718E8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阿坝州马尔康市马尔康镇日瓦坝至俄尔雅步道环线建设项目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48FF392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新建马尔康镇日瓦坝至俄尔雅步道环线建设项目</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2355108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5B62A99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CC8502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0.68</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1138E6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86C93AC">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B91A6DC">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5510F99F">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14EBC1C4">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45C6480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A566A57">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282C7F0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0.17</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CB14337">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6BED498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2DF07F0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70916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C06DF5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ECC543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000C6F9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一般债券资金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F22F75">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0471DBCA">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2E3505C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阿坝州马尔康市梭磨河下游段环境综合治理项目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0DBECDF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G248沿线英波格-松岗段（英波格-松岗段）建筑立面整治、门前屋后环境提升、沿路老旧围墙整治提升</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562861C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0.13</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57E45C7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69EDA3C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5305655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0.104</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BD6668E">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003206F">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21A49585">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150B9C5A">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25759F6A">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3A5A981">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4091D8C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0.026</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2B7A43D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774E86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72A7550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58CEF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5606375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F98E9D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A8D397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51C8F5">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4A621963">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D815D5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阿坝州马尔康市街心花园大桥至城关中桥公共空间改造利用项目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097D691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对街心花园大桥至城关中桥公共区域改造约20000㎡及配套设施建设</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57826C6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34C17E7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D9485E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681CC98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0.28</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D51FC6D">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7EA36B7F">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4E67B6FF">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24767C1C">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4BB345B3">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18D65708">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580B3D8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w:t>
            </w:r>
          </w:p>
        </w:tc>
        <w:tc>
          <w:tcPr>
            <w:tcW w:w="203" w:type="pct"/>
            <w:tcBorders>
              <w:top w:val="single" w:color="000000" w:sz="4" w:space="0"/>
              <w:left w:val="single" w:color="000000" w:sz="4" w:space="0"/>
              <w:bottom w:val="single" w:color="000000" w:sz="4" w:space="0"/>
              <w:right w:val="single" w:color="000000" w:sz="4" w:space="0"/>
            </w:tcBorders>
            <w:noWrap/>
            <w:vAlign w:val="center"/>
          </w:tcPr>
          <w:p w14:paraId="0438B41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37C53C6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6A6A152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2031.3</w:t>
            </w:r>
          </w:p>
        </w:tc>
      </w:tr>
      <w:tr w14:paraId="6C27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7BA78EF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3E472AF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8E0D60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84C798">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6E3A7BFB">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434FB34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阿坝州马尔康市达萨街城市生态修复项目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617B21A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在达萨街实施约6400平方米生态修复。</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1E72E04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0DFA0B4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144A3BF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546E637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0.08</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3F5C3CAA">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0004495">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71E3E9AC">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053690E4">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7599E51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53EE761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6A8C558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E7563A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2C83547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14B740A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2031.3</w:t>
            </w:r>
          </w:p>
        </w:tc>
      </w:tr>
      <w:tr w14:paraId="73908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089DC79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4681D76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7C273E5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9E7AAA">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5D140B7E">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7CF66A2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马尔康市嘉缘广场配套便民服务用房项目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2051327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嘉缘广场景观配套用房176平方米</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60C5ECC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0.0098</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2931C2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ign w:val="center"/>
          </w:tcPr>
          <w:p w14:paraId="0391DF0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6B57E2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428684FC">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CBD0CAE">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673845C6">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65C01074">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4C25535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30E8916">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6AF79E4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0.0098</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4698769">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5B5678B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2026.5</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7777F17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2026.12</w:t>
            </w:r>
          </w:p>
        </w:tc>
      </w:tr>
      <w:tr w14:paraId="71148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50BEF65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602279B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40A9376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9E5496">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273C0D02">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71E0142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马尔康日瓦坝大桥两岸整治项目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BF523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日瓦坝大桥两岸堡坎空间梳理、微景观打造、夜间亮化等</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1789432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0.027</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09D01313">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ign w:val="center"/>
          </w:tcPr>
          <w:p w14:paraId="101D7F5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B91633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48B97C63">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F21BFF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07EC63F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6307D88F">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705EB08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D3F026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4E4A136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0.027</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3B4B4EB3">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AEDBF5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2026.5</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177A7A5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2026.12</w:t>
            </w:r>
          </w:p>
        </w:tc>
      </w:tr>
      <w:tr w14:paraId="5347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1005AEC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645F329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1EE546C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533DA1">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37DC34AE">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9A5256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马尔康市阿底村高速路口挡墙整治项目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740193C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对阿底村高速路口对面挡墙进行提升整治</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44BE6CF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0.009</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99B9CE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450629A1">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5A8FFD2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990E720">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9AFC22F">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5AD55143">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6F2BA381">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0BD04D0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D83B64E">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4077370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0.009</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DF40222">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51A249C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2026.5</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73C8EB6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2026.12</w:t>
            </w:r>
          </w:p>
        </w:tc>
      </w:tr>
      <w:tr w14:paraId="1127C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6654B30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50D02AB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1B196D2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F1F835">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0E81400A">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A6DE3F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马尔康市城市品质提升-双拥广场生态修复项目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DCC44A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双拥广场场地平整及绿化种植,</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142F411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0.0095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2D6BF0D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1292B7F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60818183">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59037F1">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6A1D0679">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7881FC0F">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03AA40C9">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5E8DB71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F55D3C5">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43EF296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0.0095</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6E565C73">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32FFB12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2026.5</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3AF76F4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2026.12</w:t>
            </w:r>
          </w:p>
        </w:tc>
      </w:tr>
      <w:tr w14:paraId="461EF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4BC9293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2FC71A7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6A1B9AA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97FF82">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31E85BE6">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4060BBB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马尔康市城区河道护栏及GRC治理项目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718B714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主城区护栏、栏杆修复治理3公里；GRC板提升改造7公里</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31B0F8D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3DAEC49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9F85AD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35998E0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F9CBFB7">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57012517">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03FA62D6">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4DBE1C22">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17D49E4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43869BE8">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4D3FC7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26D6A459">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2F5BD32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2027.5</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45715AD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2027.12</w:t>
            </w:r>
          </w:p>
        </w:tc>
      </w:tr>
      <w:tr w14:paraId="0019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5" w:hRule="atLeast"/>
        </w:trPr>
        <w:tc>
          <w:tcPr>
            <w:tcW w:w="1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270F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F868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5629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AF4EFB">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shd w:val="clear" w:color="auto" w:fill="auto"/>
            <w:noWrap w:val="0"/>
            <w:vAlign w:val="center"/>
          </w:tcPr>
          <w:p w14:paraId="05A1270B">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600B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阿坝州马尔康市俄尔雅滨水文化长廊改造提升项目</w:t>
            </w:r>
          </w:p>
        </w:tc>
        <w:tc>
          <w:tcPr>
            <w:tcW w:w="6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BF2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小水沟片区俄尔雅路一段（农科所西侧-俄尔雅老桥）长约650m，面积约8000㎡，人行道品质提升、滨水空间景观提升、街道设施增补提升、 新增驿站、公厕等；以及俄尔雅老桥提升改造，长约55m，面积约300㎡桥梁整体改 造，包括桥头空间梳理、桥梁加固、交通标识、路灯、夜景照明、栏杆维护翻新等</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118BB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0.058</w:t>
            </w:r>
          </w:p>
        </w:tc>
        <w:tc>
          <w:tcPr>
            <w:tcW w:w="20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190E5">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379B0E">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71A34">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3F199">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D7BB9">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5487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3FE9C">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C41C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8F6C1">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7C68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0.058</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2229FD14">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3B6201A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30D3056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2800B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6CAB9CF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5223E1F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F7AE68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企业自投</w:t>
            </w:r>
          </w:p>
        </w:tc>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4D672F">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single" w:color="000000" w:sz="4" w:space="0"/>
              <w:right w:val="single" w:color="000000" w:sz="4" w:space="0"/>
            </w:tcBorders>
            <w:noWrap w:val="0"/>
            <w:vAlign w:val="center"/>
          </w:tcPr>
          <w:p w14:paraId="412004B2">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3BB5B39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马尔康市小水沟片区城市公共空间整治与便民服务设施建设项目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D31ACF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小水沟片区，俄尔雅大桥对面拆迁治乱，打造小型商业综合体</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15CBECB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9A2329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1514AF8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7E1F386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2C257B05">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3FA0D183">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440ABD11">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6E7CF1D4">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69889EE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522625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428BD09">
            <w:pPr>
              <w:shd w:val="clear"/>
              <w:jc w:val="center"/>
              <w:rPr>
                <w:rFonts w:hint="eastAsia" w:ascii="宋体" w:hAnsi="宋体" w:eastAsia="宋体" w:cs="宋体"/>
                <w:i w:val="0"/>
                <w:iCs w:val="0"/>
                <w:color w:val="000000"/>
                <w:sz w:val="24"/>
                <w:szCs w:val="24"/>
                <w:u w:val="none"/>
              </w:rPr>
            </w:pP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3FEF3C2D">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EAED99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6D8E04A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2031.3</w:t>
            </w:r>
          </w:p>
        </w:tc>
      </w:tr>
      <w:tr w14:paraId="49F0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786EBE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7B0B09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C91E3E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9BC6B5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韧性城市</w:t>
            </w: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58FA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城市道路设施建设</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68DE3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阿坝州马尔康市马尔康镇本真片区军民连心桥建设项目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CF3C15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新建桥梁1座，长110米、宽15米，右岸桥头设引道27米，宽15米以及电力通讯、照明等基础设施建设</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617D8D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A58719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79B4A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E08D4C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FA9B972">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817E0D">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4C5DD1">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E1FBC2A">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424093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9D9DA71">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779C4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847C74">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23CFDF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2026.4</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88CE46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2027.4</w:t>
            </w:r>
          </w:p>
        </w:tc>
      </w:tr>
      <w:tr w14:paraId="15929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322946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E71D40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906A9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A8EF63">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942518C">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BCA30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阿坝州马尔康市达萨街大水沟段市政基础设施建设项目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40C0C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人行道长3.580千米、宽2-3米，改建人行道长1.228千米、宽2-3米；新建桥梁2座，其中人行桥梁1座，长28.8米、宽2.6米；中桥1座，长26米、宽11.9米；路基防护约8579.6方，道路配套堡坎约9589平方米，及配套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2835D1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0.58</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B37FDEC">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FA00F7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81D9A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0.464</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E97190">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744AEAF">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B1AAD2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6ACD279">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55FA4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6049E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03A49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0.116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34CBE58">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7D0CA6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2026.6</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0ADFE1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2027.6</w:t>
            </w:r>
          </w:p>
        </w:tc>
      </w:tr>
      <w:tr w14:paraId="6800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CFDE6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56A6B1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59EAB4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0D4E2F">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F2C974">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F980F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阿坝州马尔康市现有市政桥梁更新改造项目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25243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对15座桥梁主体结构护栏伸缩缝等内容进行提升改造</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869AC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CF3CD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A2CA00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F06777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20052F5">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E087B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10A13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6FD3CD">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84C167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748443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F33AD9">
            <w:pPr>
              <w:shd w:val="clear"/>
              <w:jc w:val="center"/>
              <w:rPr>
                <w:rFonts w:hint="eastAsia" w:ascii="宋体" w:hAnsi="宋体" w:eastAsia="宋体" w:cs="宋体"/>
                <w:i w:val="0"/>
                <w:iCs w:val="0"/>
                <w:color w:val="000000"/>
                <w:sz w:val="24"/>
                <w:szCs w:val="24"/>
                <w:u w:val="none"/>
              </w:rPr>
            </w:pP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15A3391">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3AA3D8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598CB8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4290C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5F717D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B4FAC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878C7F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超长期国债（两薪）</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FA1948D">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77D8C6">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BE311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阿坝州马尔康市主城路灯照明线路提升改造项目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68ECA9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对马尔康市城区31千米路灯线路及路灯控制器进行提升改造</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977EF4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0.20 </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80FB85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A97926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8CFDF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CA5844F">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B91A9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2512A9">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35ED697">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80BD5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49746E8">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CF3CA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F39094E">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A3825E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57CA81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60EB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E9E16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CE91A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C120BA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超长期国债（两新）</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570E291">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B62C67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545FA8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阿坝州马尔康市达萨街至团结街智慧综合杆改造示范项目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46D276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约1200m街道智慧综合杆、综合箱柜系统改造，以交叉口为主要改造点，14个交叉口， 每个交叉口按4个综合杆考虑</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D55868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B0ACB8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56C8B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6E803F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684BD5">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071BEC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0.024</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504E2D5">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1A236D2">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0CE289">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5C9F75A">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1DD860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0.096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BACA8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934ABD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90E873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24E6A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CD570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3A0F66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F381E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927EBF">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DFD6B09">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E00768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阿坝州马尔康市市政道路提升改造项目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22ADAD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对主城区市政道路坑洼、塌陷、积水点等不平整地段进行提升改造，对市政道路标线进行全覆盖维护。</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C0AFF0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453929">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1D8019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9D7385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3994C6E">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84D2CA">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2C2F518">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5C64C6">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71DD26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E8A23E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80CDF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7841835">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B479C6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CA2B62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688C9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91C8E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B390C5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DF24E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ECE048">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D6D4AC">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6D32D8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马尔康市红心桥市政道路提升项目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2E166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桥头交通组织梳理提升、微景观打造</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D5A81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0.007</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F8F78F5">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4B5394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84338E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91A839">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43F8D3C">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C7EECC">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DBD2BC0">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74F11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BB6CB2D">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9FC25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0.007</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20DF03A">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BA73B7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2026.5</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796099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2026.12</w:t>
            </w:r>
          </w:p>
        </w:tc>
      </w:tr>
      <w:tr w14:paraId="161D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741BD1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D7AB8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A451E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CFDC52">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3ABD7CF">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A8DF17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马尔康市双拥桥市政基础设施建设项目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99CB3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新建一座人行桥梁，长度92米，宽度2-4米。</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521F55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0.0741</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F320D1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19A749">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40CBF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965AB30">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E803DF4">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BA2C20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B97120B">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E9C7D99">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55F176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AF8BE6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0.0741</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4C0A21">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17BF58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6D48A9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2027.2</w:t>
            </w:r>
          </w:p>
        </w:tc>
      </w:tr>
      <w:tr w14:paraId="4212C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E740CC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ED0457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22AC72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88A35A">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9DDCE9">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5546AF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马尔康市无障碍设施提升项目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2F1FC1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传感器15条街道，道路全长22.238km，现有人行道长度合计28.921km，应进行提升改造的检查井井盖侵占盲道共498处；路灯、监控设施侵占盲道共计176处；公交站牌、垃圾桶等设施侵占盲道范围共计78处；缘石坡道设置不规范或缺失，共计620道；轮椅坡道缺失23道；过街语音提示器缺失69套。</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983D43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0.08</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8AE9E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95E60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380B9D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A71B562">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3D82BD9">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1363CC">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72A9D9">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293F71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AC9EE25">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B99516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0.08</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B5C621">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442CCA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2026.7</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25339A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r>
      <w:tr w14:paraId="4C5A0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C830B1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7DEB43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1518D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9AEE197">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F280F47">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0449C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马尔康市客运中心交叉口人行天桥建设项目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7AF51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卡辉大桥、美谷街、南木达街交叉口面积约6000㎡，包括交通组织优化、交叉口改造、交安设施、标识系统等</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307EE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7204AD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733173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784954">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7DBDC31">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CB3A49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719353">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FEBA94">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8C2863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CB232CD">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A990B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1133BDF">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CB4544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2027.4</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5D7B26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2028.4</w:t>
            </w:r>
          </w:p>
        </w:tc>
      </w:tr>
      <w:tr w14:paraId="4200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54145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2B2848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377230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8D8AA0">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13FDF82">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6A6FD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阿坝州马尔康市红心桥建设项目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D67461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新建桥梁全长50米，宽30米；配套建设照明、交安、管线改迁、河堤建设等附属工程</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C85A8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73D21C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91D6D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D0C14D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D79DE0">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257468">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065E9A">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F3E111E">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AB9DA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76CCAEC">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91E8F4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20C6504">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88CCD5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13CA26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73D0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DDD1DC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236C13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0D2A39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超长期国债（两重）</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40DFC3">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CED07E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污水处理提质增效</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FE12C2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阿坝州马尔康市马林局片区至达萨街污水管网改造项目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415C62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对马尔康市马尔康镇主城区内武警医院至马林局对面污水管网及达萨街污水管网进行改造。改建DN800污水管网，配套建设检查井等附属设施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BD7724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0.425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AA3861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781C1D1">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C8E31C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7E3494">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3E31D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0.34</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42B287">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5ABC7DA">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2990E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4D2288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352D14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0.085</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73C02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05DCE5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E97C9D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1987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3BED28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1A4C89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977E52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94064B">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CF6B39B">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7F3D8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阿坝州马尔康市马江街嘉绒里段排水改造项目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AC89B1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实施嘉绒里雨污分流、供排水等基础设施改造</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D0C21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0.296</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8C12A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AE1342D">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BCC6A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5789BFE">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94BBEFE">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9FF4D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CA3015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0.236</w:t>
            </w: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E7BF33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824CBB">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A2F0BE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9550D9F">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CCAB8E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B88E16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75A6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529A9B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CE7D1D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4B691A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908D3B">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FA3B9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FC89F4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阿坝州马尔康市达萨街至大水沟污水管网改造项目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291F0E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改建DN800污水管网9.6公里，配套建设检查井等附属设施；改建DN600污水管网4.9公里，配套建设检查井、等物联网感知系统配等附属设施。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251467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0.268</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FDE20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3EE1AF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0.2144</w:t>
            </w:r>
          </w:p>
        </w:tc>
        <w:tc>
          <w:tcPr>
            <w:tcW w:w="193" w:type="pct"/>
            <w:tcBorders>
              <w:top w:val="nil"/>
              <w:left w:val="nil"/>
              <w:bottom w:val="nil"/>
              <w:right w:val="nil"/>
            </w:tcBorders>
            <w:shd w:val="clear" w:color="auto" w:fill="E7E6E6"/>
            <w:noWrap/>
            <w:vAlign w:val="center"/>
          </w:tcPr>
          <w:p w14:paraId="414549B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8B45A01">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7C216C">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466978">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F51A74A">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C37DE2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71127DF">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86B86C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0.0536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18F830">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9AFF2F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FC3BED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06821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5A2694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BBC4DB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865E57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超长期国债（两重）</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EECAC2D">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8287E51">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BD457A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阿坝州马尔康市移民大桥至松岗镇片区污水收集管网建设项目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5ADBB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对马尔康市移民大桥至松岗镇片区内污水管网进行新建。1、新建DN800污水管网10.5公里；2、新建配套污水收集管网5.58公里，配套建设检查井等附属设施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1E416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0.36</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5A63D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1C174D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FF1898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0B240C4">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18E9A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0.288</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2CABD2">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4063166">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371BA35">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51BD7D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9F9E74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0.072</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73FC7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0581DD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2E74D1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191EB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2EC2C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6B1BC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41B8B0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A450DF3">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88E8C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保障城市供水能力</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EAC068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阿坝州马尔康市城镇供水设施建设项目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450F0C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改建供水主管网21.57公里（管径DN100-200），支管网12.2公里（管径DN50-100）；改建6个加压泵房；以及相关计量设施设备等配套相关附属设施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0A2DE4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FD1F5E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52481B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0.68</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B6466DD">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3A2163">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176458">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80FAF1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33D8D75">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16DEB5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B30ADC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9E049F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0.17</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2C7019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549636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F8E3CD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54E4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D08F2E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B1E662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9E1BC6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65A84CE">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3F0B0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75141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阿坝州马尔康市俄尔雅片区供水管道更新改造项目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EA3985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对俄尔雅片区内供水管网进行改造。改造DN300无缝钢管高压供水管道3公里，铺设DN100支管网10公里及等物联网感知系统配套设施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C8E613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C261D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2A5DF3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0.192</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D1FA7B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E74A58D">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51DD8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719B727">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6D42EF0">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E25659D">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61E29F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B39979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0.048</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FCED0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36F731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5FC6C0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70D0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5CCBD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60EA6C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BC27D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488F8A">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7F0614">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DA57CC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阿坝州马尔康市城区至邓家村供水管道新建项目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A38EC5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对城区至邓家村片区内供水管网新建DN300无缝钢管高压供水管道15.8公里，DN200PE管中压供水管道5.5公里，等物联网感知系统配套设施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9DA158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E1C11C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5350D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0.28</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8AEE72">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C30705F">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878921">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0E0E365">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142360">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311780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13D55DA">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F02967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E2A504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EE94D9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4B9CE3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7BC2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49A93F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8AFDF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DCAEA7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84416E">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D054BBA">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9CF97C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阿坝州马尔康市松岗镇供水及配套设施建设项目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7875E3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新建水厂一座及取水口，水厂设计规模为2000m³/d及相关配套设施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9DF03F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FB051C">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45BF05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4EE0FC2">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3AB5BA3">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228DA4C">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5E421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84911C7">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800CE3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0C4A8E">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A3C1FF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C45ECB0">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FEC4F3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146C7F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0A2A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93253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87292B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D6AAD1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983F39C">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1F5885A">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1827E0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阿坝州马尔康市松岗镇供水管网及配套设施建设项目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43A660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新建取水口，DN100-DN200供水管网23.32Km及相关配套设施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C36F1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3FDDB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853C2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0.48</w:t>
            </w: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AACF95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B543536">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A7F211">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C8BA92">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69C34E8">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985943">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F27989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667BF2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C2D0572">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2E1F12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BD9398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4F17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3C0DE4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A6B8C0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906533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9F64A6">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17A001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83B66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阿坝州马尔康市卓克基片区供水管道更新改造项目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123ED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对卓克基片区内供水管网进行改造。改造DN300无缝钢管高压供水管道15.5公里。</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1158F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5709C0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926E3E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81CC1E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414BD3">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E62E58">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9CD5DB9">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3BA70DD">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F2B8A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835D35">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ADD026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E0C748E">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9A5D15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D89069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53CD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15FF7E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6FBC15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39DD3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超长期国债（两重）</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AB1459">
            <w:pPr>
              <w:shd w:val="clear"/>
              <w:jc w:val="center"/>
              <w:rPr>
                <w:rFonts w:hint="eastAsia" w:ascii="宋体" w:hAnsi="宋体" w:eastAsia="宋体" w:cs="宋体"/>
                <w:i w:val="0"/>
                <w:iCs w:val="0"/>
                <w:color w:val="000000"/>
                <w:sz w:val="24"/>
                <w:szCs w:val="24"/>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7E073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加强排水防涝能力</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BD197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阿坝州马尔康市主城区排水防涝地下管网改造项目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6D8C7B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改造马尔康市主城区排水防涝设施。1、改造DN300钢筋混凝土雨水管道11.8公里、 DN400钢筋混凝土雨水管道5.58公里、DN500钢筋混凝土雨水管道2.75公里、DN600 钢筋混凝土雨水管道5.9公里、DN800钢筋混凝土雨水管道11.58公里、DN1000钢筋混 凝土雨水管道10.15公里、DN1200钢筋混凝土雨水管道3.5公里；2、增设雨水检查井 1248座；3、增设易涝积水区域立箅式雨水口2496处，等物联网感知系统配套设备。</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17C50D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353BE9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7D7A44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60CDAE5">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93F788B">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6AF830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3B5DDC">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21945B3">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E0B780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DA599E4">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3A79F8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0.305</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B3A2262">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CF0A15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679D4D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5E4C5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585F16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457C20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EFD9D4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5B0492">
            <w:pPr>
              <w:shd w:val="clear"/>
              <w:jc w:val="center"/>
              <w:rPr>
                <w:rFonts w:hint="eastAsia" w:ascii="宋体" w:hAnsi="宋体" w:eastAsia="宋体" w:cs="宋体"/>
                <w:i w:val="0"/>
                <w:iCs w:val="0"/>
                <w:color w:val="000000"/>
                <w:sz w:val="24"/>
                <w:szCs w:val="24"/>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A5ABFA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燃气安全整治</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6EB13D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阿坝州马尔康市主城区燃气管网建设项目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D41580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新建约20公里燃气支管网建设及配套设施建设</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EBA254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EC9BA4C">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4FCBED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D910C6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DD8C7D">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92FC185">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BBFBE7">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59F5B5">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01F40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801F9F">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EE92C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DDDCAE4">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060401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012D8B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1968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83320E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C66B95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38EF2D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中央sz资金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BD2271">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358829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供氧供暖</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F2EBD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阿坝州马尔康市城区集中供氧试点建设项目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E170B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新建城区公办学校、医院、养老机构等集中供氧设施。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EADFE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517759">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CEACB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w:t>
            </w:r>
          </w:p>
        </w:tc>
        <w:tc>
          <w:tcPr>
            <w:tcW w:w="193" w:type="pct"/>
            <w:tcBorders>
              <w:top w:val="nil"/>
              <w:left w:val="nil"/>
              <w:bottom w:val="nil"/>
              <w:right w:val="nil"/>
            </w:tcBorders>
            <w:shd w:val="clear" w:color="auto" w:fill="E7E6E6"/>
            <w:noWrap/>
            <w:vAlign w:val="center"/>
          </w:tcPr>
          <w:p w14:paraId="2170227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7679A1">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58F560D">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1CE3174">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7C71261">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2BADE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81D38D">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D93D4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D3B448">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ACC83E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81411F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24C95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F748A5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7A310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FDCA9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企业自投</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2093378">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9858F79">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9B18C1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阿坝州马尔康市城市供暖工程（三期）</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430CB6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马尔康城区供暖面积88.55万平方米</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B94CB1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2A86F2">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017802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32BCF8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7D267AA">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63E8B5A">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68136F8">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E98ADA">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7F7FD1">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4A53D13">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00224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C6EBD1">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4DE862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2027.6</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44F092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2030.6</w:t>
            </w:r>
          </w:p>
        </w:tc>
      </w:tr>
      <w:tr w14:paraId="26F9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87598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D9AC02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D3830D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一般债券资金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7EDDCCD">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71EE0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“无废城市”建设</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C935DC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马尔康市垃圾填埋场地下水污染修复与管控项目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E6F0B1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约2万平方米，待存量垃圾转运完成后，对填埋场地下水、土壤及河道进行生态化修复处理</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4AC61C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9FE88AA">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FFF728A">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86475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28A65D8">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DC0C1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09C159F">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2B0CF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w:t>
            </w: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1FFAA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2C1E0A3">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745883">
            <w:pPr>
              <w:shd w:val="clear"/>
              <w:jc w:val="center"/>
              <w:rPr>
                <w:rFonts w:hint="eastAsia" w:ascii="宋体" w:hAnsi="宋体" w:eastAsia="宋体" w:cs="宋体"/>
                <w:i w:val="0"/>
                <w:iCs w:val="0"/>
                <w:color w:val="000000"/>
                <w:sz w:val="24"/>
                <w:szCs w:val="24"/>
                <w:u w:val="none"/>
              </w:rPr>
            </w:pP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0DEEBB">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384F2F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2026.9</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14C0BBB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2028.9</w:t>
            </w:r>
          </w:p>
        </w:tc>
      </w:tr>
      <w:tr w14:paraId="2661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BF6AC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AA4D6D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7BFAD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E76EFF">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22BFAE">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BDE4F2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阿坝州马尔康市建筑垃圾收转及无害化资源利用项目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D8449C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在《马尔康市垃圾填埋场地下水和土壤修复治理项目》完成后，在该场地新建建筑垃圾收转及无害化资源利用厂，用于处理建筑垃圾并实现资源的循环利用</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6859E6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18AAE1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8446B7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7F76AA8">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D7200A8">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1BC163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0.48</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F68B17">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62933B">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DF5304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B55BBD9">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2854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0.12</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AA70B92">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0ECB10F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A9EDDC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453D8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9811AB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4532E2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3F1C41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超长期国债（两新）</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5106AD">
            <w:pPr>
              <w:shd w:val="clear"/>
              <w:jc w:val="center"/>
              <w:rPr>
                <w:rFonts w:hint="eastAsia" w:ascii="宋体" w:hAnsi="宋体" w:eastAsia="宋体" w:cs="宋体"/>
                <w:i w:val="0"/>
                <w:iCs w:val="0"/>
                <w:color w:val="000000"/>
                <w:sz w:val="24"/>
                <w:szCs w:val="24"/>
                <w:u w:val="none"/>
              </w:rPr>
            </w:pP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665150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城市垃圾治理</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FD71F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阿坝州马尔康市生活垃圾分类收集项目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B5D8A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对主城区生活垃圾进行分类收集、分类运输等内容</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AD9E1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0.32</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8A357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A2D07B6">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57B521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1250A7">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BC182E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0.064</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A6996D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606C4E9">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4876C2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0A5F8B7">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1457E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0.256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551CCA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C00A8A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0FC5BA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58B3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3005A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394BC4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154B0B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超长期国债（两新）</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EF578BE">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7D5BD4">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67C606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阿坝州马尔康市生活垃圾危废处置车间及分筛系统建设项目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4D7C9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建设生活垃圾无害化处理厂规范危废存储车间，生活垃圾前端分选车间及设备建设等配套设施。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CBED4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E17582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9AD125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DC09B77">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B79AC67">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B3233E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E20656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CE0DB2">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C9F36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132E92">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B022B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25C00C8">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F5048A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4A16D5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4A26A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15497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A268E9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CABAA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超长期国债（两重）</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9E03406">
            <w:pPr>
              <w:shd w:val="clear"/>
              <w:jc w:val="center"/>
              <w:rPr>
                <w:rFonts w:hint="eastAsia" w:ascii="宋体" w:hAnsi="宋体" w:eastAsia="宋体" w:cs="宋体"/>
                <w:i w:val="0"/>
                <w:iCs w:val="0"/>
                <w:color w:val="000000"/>
                <w:sz w:val="24"/>
                <w:szCs w:val="24"/>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5D783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地下管网和管廊建设</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4B5EE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阿坝州马尔康市主城区微管廊建设项目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AE7428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在城区道路延线构建小型化预制弱动力管道，并配套智能化、智能监控、通风、照明、检修口、物联网感知系统等辅助设施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3E0892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5CE6A24">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03AEE5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6B4F9CD">
            <w:pPr>
              <w:shd w:val="clear"/>
              <w:jc w:val="center"/>
              <w:rPr>
                <w:rFonts w:hint="eastAsia" w:ascii="宋体" w:hAnsi="宋体" w:eastAsia="宋体" w:cs="宋体"/>
                <w:b/>
                <w:bCs/>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2E524FB">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AF19E5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5CF252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A2C89F">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34A39A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3D4D21">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308B88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777AA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FF2D95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3C094D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r>
      <w:tr w14:paraId="4E65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04A6243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18DF22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54D921C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专项债券资金</w:t>
            </w:r>
          </w:p>
        </w:tc>
        <w:tc>
          <w:tcPr>
            <w:tcW w:w="302"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720957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住房保障</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1992F8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马尔康市保障性租赁住房及配套设施建设项目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28ABD9F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项目占地面积28000平方米，总建筑面积70000.00m，其中:住房建筑面积约53600m，配套便民服务用房建筑面积约6000.00㎡，体育运动场所建筑面积约1500.00㎡，地下室建筑面积约8900.00m。规划纳入2025年建设保障性租赁住房计</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705B828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13C6A49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07C7CF4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1F30C4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04E99DB3">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29931125">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259D5A88">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163F576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5675F7B9">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5390D9E">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2E0EA7C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051C45F1">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537D8EC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2026.9</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5118C9B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2028.9</w:t>
            </w:r>
          </w:p>
        </w:tc>
      </w:tr>
      <w:tr w14:paraId="72A70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3F94940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5F85C40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60BEE9F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302"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47BB91">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1FD4EA1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马尔康市危旧房改造安置住房基础设施配套建设项目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3F82569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新建120套危旧房改造安置住房涉及的配套设施。</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5769DB6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4AB64F1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542DB9C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2B8B97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6F00E821">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1E322276">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215D2E9F">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45DF7CB3">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3981A068">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6002EE7E">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72F030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0.06</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D1457B7">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717D311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2028年4月</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554BD24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2029年12月</w:t>
            </w:r>
          </w:p>
        </w:tc>
      </w:tr>
      <w:tr w14:paraId="7819D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7D84EA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C727A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469B3D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restar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6BE0182">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城乡环境</w:t>
            </w:r>
          </w:p>
        </w:tc>
        <w:tc>
          <w:tcPr>
            <w:tcW w:w="184" w:type="pct"/>
            <w:vMerge w:val="restart"/>
            <w:tcBorders>
              <w:top w:val="single" w:color="000000" w:sz="4" w:space="0"/>
              <w:left w:val="single" w:color="000000" w:sz="4" w:space="0"/>
              <w:bottom w:val="nil"/>
              <w:right w:val="single" w:color="000000" w:sz="4" w:space="0"/>
            </w:tcBorders>
            <w:shd w:val="clear" w:color="auto" w:fill="E7E6E6"/>
            <w:noWrap w:val="0"/>
            <w:vAlign w:val="center"/>
          </w:tcPr>
          <w:p w14:paraId="6EF5AAE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风貌管控</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01221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马尔康市城市雕塑、壁画系统修复工程</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52D842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中心城区范围内规范统一全市雕塑、精神堡垒、壁画、大型标识标语的设计风格和设置要求，与 城市风貌协调统一。</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D89CE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CD415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A876CA">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980A5A0">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07665C">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0CA00C">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CE63EA3">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D0292D8">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B0A2DF0">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1B748E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59FF45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0.045</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DAFC591">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385BDC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E89DE4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0C882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4B7B43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E27D54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C4CC3D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506C4C">
            <w:pPr>
              <w:shd w:val="clear"/>
              <w:jc w:val="center"/>
              <w:rPr>
                <w:rFonts w:hint="eastAsia" w:ascii="宋体" w:hAnsi="宋体" w:eastAsia="宋体" w:cs="宋体"/>
                <w:i w:val="0"/>
                <w:iCs w:val="0"/>
                <w:color w:val="000000"/>
                <w:sz w:val="24"/>
                <w:szCs w:val="24"/>
                <w:u w:val="none"/>
              </w:rPr>
            </w:pPr>
          </w:p>
        </w:tc>
        <w:tc>
          <w:tcPr>
            <w:tcW w:w="184" w:type="pct"/>
            <w:vMerge w:val="continue"/>
            <w:tcBorders>
              <w:top w:val="single" w:color="000000" w:sz="4" w:space="0"/>
              <w:left w:val="single" w:color="000000" w:sz="4" w:space="0"/>
              <w:bottom w:val="nil"/>
              <w:right w:val="single" w:color="000000" w:sz="4" w:space="0"/>
            </w:tcBorders>
            <w:shd w:val="clear" w:color="auto" w:fill="E7E6E6"/>
            <w:noWrap w:val="0"/>
            <w:vAlign w:val="center"/>
          </w:tcPr>
          <w:p w14:paraId="3543633A">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4C5DC5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马尔康市全市隔离桩/墩品质提升</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F7B3E4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规范统一全市城市道路人行道隔离桩/墩设计样式和设置标准，展示马尔康人文特 色，改善通行条件，提升服务品质</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B1CBF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0.036</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57703A9">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5B0AD8A">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0C759E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1F14ECC">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169D7BB">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F6C9F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19616F0">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D96199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194B68">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2D8CD3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B0FB825">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F15B59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2027.5</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EBE727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2027.12</w:t>
            </w:r>
          </w:p>
        </w:tc>
      </w:tr>
      <w:tr w14:paraId="7F3FF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7BB44E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823FBF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07A6D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超长期国债（两新）</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28BC378">
            <w:pPr>
              <w:shd w:val="clear"/>
              <w:jc w:val="center"/>
              <w:rPr>
                <w:rFonts w:hint="eastAsia" w:ascii="宋体" w:hAnsi="宋体" w:eastAsia="宋体" w:cs="宋体"/>
                <w:i w:val="0"/>
                <w:iCs w:val="0"/>
                <w:color w:val="000000"/>
                <w:sz w:val="24"/>
                <w:szCs w:val="24"/>
                <w:u w:val="none"/>
              </w:rPr>
            </w:pPr>
          </w:p>
        </w:tc>
        <w:tc>
          <w:tcPr>
            <w:tcW w:w="184" w:type="pct"/>
            <w:vMerge w:val="restart"/>
            <w:tcBorders>
              <w:top w:val="nil"/>
              <w:left w:val="single" w:color="000000" w:sz="4" w:space="0"/>
              <w:bottom w:val="nil"/>
              <w:right w:val="single" w:color="000000" w:sz="4" w:space="0"/>
            </w:tcBorders>
            <w:shd w:val="clear" w:color="auto" w:fill="E7E6E6"/>
            <w:noWrap w:val="0"/>
            <w:vAlign w:val="center"/>
          </w:tcPr>
          <w:p w14:paraId="064ADBC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镇村设施</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3EB25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阿坝州马尔康市城乡环境综合提升项目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E561B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全市各乡镇垃圾收集点规范化提升改造，采购船型垃圾箱体120个，压缩垃圾车4台，大件垃圾转运车辆2辆，农村生活垃圾巡查车1辆；垃圾桶600L*1000个，360L垃圾桶1400个等垃圾处理设施设备。</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8E9A0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3E600A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7F07941">
            <w:pPr>
              <w:shd w:val="clear"/>
              <w:jc w:val="center"/>
              <w:rPr>
                <w:rFonts w:hint="eastAsia" w:ascii="宋体" w:hAnsi="宋体" w:eastAsia="宋体" w:cs="宋体"/>
                <w:i w:val="0"/>
                <w:iCs w:val="0"/>
                <w:color w:val="000000"/>
                <w:sz w:val="24"/>
                <w:szCs w:val="24"/>
                <w:u w:val="none"/>
              </w:rPr>
            </w:pPr>
          </w:p>
        </w:tc>
        <w:tc>
          <w:tcPr>
            <w:tcW w:w="193" w:type="pct"/>
            <w:tcBorders>
              <w:top w:val="nil"/>
              <w:left w:val="nil"/>
              <w:bottom w:val="nil"/>
              <w:right w:val="nil"/>
            </w:tcBorders>
            <w:shd w:val="clear" w:color="auto" w:fill="E7E6E6"/>
            <w:noWrap/>
            <w:vAlign w:val="center"/>
          </w:tcPr>
          <w:p w14:paraId="3F9ADF59">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ACFA6E4">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048E31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0.048</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0D819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870BE9">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D18658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14B8636">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30C2B5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0.192</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F456E58">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2F52B8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2CCB86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2031.3</w:t>
            </w:r>
          </w:p>
        </w:tc>
      </w:tr>
      <w:tr w14:paraId="66E0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E1C75B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6868B4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4BC5B1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78DBB2D">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nil"/>
              <w:right w:val="single" w:color="000000" w:sz="4" w:space="0"/>
            </w:tcBorders>
            <w:shd w:val="clear" w:color="auto" w:fill="E7E6E6"/>
            <w:noWrap w:val="0"/>
            <w:vAlign w:val="center"/>
          </w:tcPr>
          <w:p w14:paraId="67839081">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15186BC">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阿坝州马尔康市松岗镇基础设施提升建设项目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373622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对集镇进行污水管网补短、雨污分流后恢复河堤挡墙、市政道路及生态修复，配套建设照明、公共厕所等附属设施。</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D50543B">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0.45</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83F619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506B06E">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360989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0.36</w:t>
            </w: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68841F2">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200DA7E">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F762096">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1BE8B46">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417E82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F2583DF">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BA8BF8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0.09</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E5BA517">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5B330D0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25EFF6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4FBA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08CF29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6EFAD3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C9F954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超长期国债（两重）</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3E0ADD">
            <w:pPr>
              <w:shd w:val="clear"/>
              <w:jc w:val="center"/>
              <w:rPr>
                <w:rFonts w:hint="eastAsia" w:ascii="宋体" w:hAnsi="宋体" w:eastAsia="宋体" w:cs="宋体"/>
                <w:i w:val="0"/>
                <w:iCs w:val="0"/>
                <w:color w:val="000000"/>
                <w:sz w:val="24"/>
                <w:szCs w:val="24"/>
                <w:u w:val="none"/>
              </w:rPr>
            </w:pPr>
          </w:p>
        </w:tc>
        <w:tc>
          <w:tcPr>
            <w:tcW w:w="184" w:type="pct"/>
            <w:vMerge w:val="continue"/>
            <w:tcBorders>
              <w:top w:val="nil"/>
              <w:left w:val="single" w:color="000000" w:sz="4" w:space="0"/>
              <w:bottom w:val="nil"/>
              <w:right w:val="single" w:color="000000" w:sz="4" w:space="0"/>
            </w:tcBorders>
            <w:shd w:val="clear" w:color="auto" w:fill="E7E6E6"/>
            <w:noWrap w:val="0"/>
            <w:vAlign w:val="center"/>
          </w:tcPr>
          <w:p w14:paraId="7E48911C">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C24988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阿坝州马尔康市村镇燃气建设项目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28D90A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在松岗镇、沙尔宗镇新建燃气设施及管网</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BF7A27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7BFBEAB">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9883527">
            <w:pPr>
              <w:shd w:val="clear"/>
              <w:jc w:val="center"/>
              <w:rPr>
                <w:rFonts w:hint="eastAsia" w:ascii="宋体" w:hAnsi="宋体" w:eastAsia="宋体" w:cs="宋体"/>
                <w:i w:val="0"/>
                <w:iCs w:val="0"/>
                <w:color w:val="000000"/>
                <w:sz w:val="24"/>
                <w:szCs w:val="24"/>
                <w:u w:val="none"/>
              </w:rPr>
            </w:pPr>
          </w:p>
        </w:tc>
        <w:tc>
          <w:tcPr>
            <w:tcW w:w="193" w:type="pct"/>
            <w:tcBorders>
              <w:top w:val="nil"/>
              <w:left w:val="nil"/>
              <w:bottom w:val="nil"/>
              <w:right w:val="nil"/>
            </w:tcBorders>
            <w:shd w:val="clear" w:color="auto" w:fill="E7E6E6"/>
            <w:noWrap/>
            <w:vAlign w:val="center"/>
          </w:tcPr>
          <w:p w14:paraId="731BBC61">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E7DD80">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7DA40B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0.64</w:t>
            </w: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870D77">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7B6172C">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3E14017">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58CAD50">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EC2E24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078BBE0">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854284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35BC0D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66B68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E44502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1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51034A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2E0D9DD">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本级财政资金</w:t>
            </w:r>
          </w:p>
        </w:tc>
        <w:tc>
          <w:tcPr>
            <w:tcW w:w="118" w:type="pct"/>
            <w:vMerge w:val="continue"/>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D356E46">
            <w:pPr>
              <w:shd w:val="clear"/>
              <w:jc w:val="center"/>
              <w:rPr>
                <w:rFonts w:hint="eastAsia" w:ascii="宋体" w:hAnsi="宋体" w:eastAsia="宋体" w:cs="宋体"/>
                <w:i w:val="0"/>
                <w:iCs w:val="0"/>
                <w:color w:val="000000"/>
                <w:sz w:val="24"/>
                <w:szCs w:val="24"/>
                <w:u w:val="none"/>
              </w:rPr>
            </w:pPr>
          </w:p>
        </w:tc>
        <w:tc>
          <w:tcPr>
            <w:tcW w:w="184" w:type="pct"/>
            <w:tcBorders>
              <w:top w:val="nil"/>
              <w:left w:val="single" w:color="000000" w:sz="4" w:space="0"/>
              <w:bottom w:val="single" w:color="000000" w:sz="4" w:space="0"/>
              <w:right w:val="single" w:color="000000" w:sz="4" w:space="0"/>
            </w:tcBorders>
            <w:shd w:val="clear" w:color="auto" w:fill="E7E6E6"/>
            <w:noWrap w:val="0"/>
            <w:vAlign w:val="center"/>
          </w:tcPr>
          <w:p w14:paraId="39C5F458">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公共厕所建设</w:t>
            </w:r>
          </w:p>
        </w:tc>
        <w:tc>
          <w:tcPr>
            <w:tcW w:w="43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2A440D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马尔康市环卫设施增补提升项目</w:t>
            </w:r>
          </w:p>
        </w:tc>
        <w:tc>
          <w:tcPr>
            <w:tcW w:w="69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55811C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阿底大桥环卫公厕、卡辉大桥河东智慧环卫公厕、嘉绒耍街公交车站环卫公厕、美谷大桥环卫公厕新建环卫公厕4座、垃圾房4座；对现有15座市政公厕进行提升改造</w:t>
            </w:r>
          </w:p>
        </w:tc>
        <w:tc>
          <w:tcPr>
            <w:tcW w:w="290"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01CD7E80">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0.028</w:t>
            </w:r>
          </w:p>
        </w:tc>
        <w:tc>
          <w:tcPr>
            <w:tcW w:w="20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FF0F4B6">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48CCF392">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75D628C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68D72F12">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0A15D22">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1BC0A6B">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228CE75D">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98CF1E">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3054503B">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59749EA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0.028</w:t>
            </w:r>
          </w:p>
        </w:tc>
        <w:tc>
          <w:tcPr>
            <w:tcW w:w="203" w:type="pct"/>
            <w:tcBorders>
              <w:top w:val="single" w:color="000000" w:sz="4" w:space="0"/>
              <w:left w:val="single" w:color="000000" w:sz="4" w:space="0"/>
              <w:bottom w:val="single" w:color="000000" w:sz="4" w:space="0"/>
              <w:right w:val="single" w:color="000000" w:sz="4" w:space="0"/>
            </w:tcBorders>
            <w:shd w:val="clear" w:color="auto" w:fill="E7E6E6"/>
            <w:noWrap w:val="0"/>
            <w:vAlign w:val="center"/>
          </w:tcPr>
          <w:p w14:paraId="18CA925C">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3FF97EA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c>
          <w:tcPr>
            <w:tcW w:w="313"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2E1B3B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2029.3</w:t>
            </w:r>
          </w:p>
        </w:tc>
      </w:tr>
      <w:tr w14:paraId="07E0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17" w:type="pct"/>
            <w:tcBorders>
              <w:top w:val="single" w:color="000000" w:sz="4" w:space="0"/>
              <w:left w:val="single" w:color="000000" w:sz="4" w:space="0"/>
              <w:bottom w:val="single" w:color="000000" w:sz="4" w:space="0"/>
              <w:right w:val="single" w:color="000000" w:sz="4" w:space="0"/>
            </w:tcBorders>
            <w:noWrap w:val="0"/>
            <w:vAlign w:val="center"/>
          </w:tcPr>
          <w:p w14:paraId="0C74FC8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14:paraId="16006BD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noWrap w:val="0"/>
            <w:vAlign w:val="center"/>
          </w:tcPr>
          <w:p w14:paraId="3100827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302"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AD78BA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历史文化</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64A78D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马尔康市传统村落活化利用示范项目</w:t>
            </w:r>
          </w:p>
        </w:tc>
        <w:tc>
          <w:tcPr>
            <w:tcW w:w="697" w:type="pct"/>
            <w:tcBorders>
              <w:top w:val="single" w:color="000000" w:sz="4" w:space="0"/>
              <w:left w:val="single" w:color="000000" w:sz="4" w:space="0"/>
              <w:bottom w:val="single" w:color="000000" w:sz="4" w:space="0"/>
              <w:right w:val="single" w:color="000000" w:sz="4" w:space="0"/>
            </w:tcBorders>
            <w:noWrap w:val="0"/>
            <w:vAlign w:val="center"/>
          </w:tcPr>
          <w:p w14:paraId="6E1B19D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对10个传统村落内传统民居进行保护修缮，完善基础设施，促进文旅融合发展</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178D5CB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p>
        </w:tc>
        <w:tc>
          <w:tcPr>
            <w:tcW w:w="206" w:type="pct"/>
            <w:tcBorders>
              <w:top w:val="single" w:color="000000" w:sz="4" w:space="0"/>
              <w:left w:val="single" w:color="000000" w:sz="4" w:space="0"/>
              <w:bottom w:val="single" w:color="000000" w:sz="4" w:space="0"/>
              <w:right w:val="single" w:color="000000" w:sz="4" w:space="0"/>
            </w:tcBorders>
            <w:noWrap w:val="0"/>
            <w:vAlign w:val="center"/>
          </w:tcPr>
          <w:p w14:paraId="466DD7AF">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4D442DCF">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1ACCB22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w:t>
            </w:r>
          </w:p>
        </w:tc>
        <w:tc>
          <w:tcPr>
            <w:tcW w:w="177" w:type="pct"/>
            <w:tcBorders>
              <w:top w:val="single" w:color="000000" w:sz="4" w:space="0"/>
              <w:left w:val="single" w:color="000000" w:sz="4" w:space="0"/>
              <w:bottom w:val="single" w:color="000000" w:sz="4" w:space="0"/>
              <w:right w:val="single" w:color="000000" w:sz="4" w:space="0"/>
            </w:tcBorders>
            <w:noWrap w:val="0"/>
            <w:vAlign w:val="center"/>
          </w:tcPr>
          <w:p w14:paraId="7E6DAEAF">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noWrap w:val="0"/>
            <w:vAlign w:val="center"/>
          </w:tcPr>
          <w:p w14:paraId="47C99F94">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noWrap w:val="0"/>
            <w:vAlign w:val="center"/>
          </w:tcPr>
          <w:p w14:paraId="356590BE">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14:paraId="3C200C17">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noWrap w:val="0"/>
            <w:vAlign w:val="center"/>
          </w:tcPr>
          <w:p w14:paraId="03D495CC">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noWrap w:val="0"/>
            <w:vAlign w:val="center"/>
          </w:tcPr>
          <w:p w14:paraId="01F8C7AC">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14:paraId="1B80ADB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0.06</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44D13467">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4FCBAADE">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0EA4C056">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2028.3</w:t>
            </w:r>
          </w:p>
        </w:tc>
      </w:tr>
      <w:tr w14:paraId="16227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142E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D09B05">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w:t>
            </w:r>
          </w:p>
        </w:tc>
        <w:tc>
          <w:tcPr>
            <w:tcW w:w="18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AF5C1">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中央预算内资金</w:t>
            </w:r>
          </w:p>
        </w:tc>
        <w:tc>
          <w:tcPr>
            <w:tcW w:w="3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441E0">
            <w:pPr>
              <w:shd w:val="clear"/>
              <w:jc w:val="center"/>
              <w:rPr>
                <w:rFonts w:hint="eastAsia" w:ascii="宋体" w:hAnsi="宋体" w:eastAsia="宋体" w:cs="宋体"/>
                <w:i w:val="0"/>
                <w:iCs w:val="0"/>
                <w:color w:val="000000"/>
                <w:sz w:val="24"/>
                <w:szCs w:val="24"/>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ADF97">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马尔康市历史建筑保护修缮与公共文化功能提升项目</w:t>
            </w:r>
          </w:p>
        </w:tc>
        <w:tc>
          <w:tcPr>
            <w:tcW w:w="69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5D580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对全市范围内历史建筑进行保护修缮，并对其功能进行提升；对提升后有条件的历史建筑改造为文化展厅、小型博物馆等公共文化空间</w:t>
            </w:r>
          </w:p>
        </w:tc>
        <w:tc>
          <w:tcPr>
            <w:tcW w:w="29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EE8AA">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0.25</w:t>
            </w:r>
          </w:p>
        </w:tc>
        <w:tc>
          <w:tcPr>
            <w:tcW w:w="20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72A1CE">
            <w:pPr>
              <w:shd w:val="clear"/>
              <w:jc w:val="center"/>
              <w:rPr>
                <w:rFonts w:hint="eastAsia" w:ascii="宋体" w:hAnsi="宋体" w:eastAsia="宋体" w:cs="宋体"/>
                <w:i w:val="0"/>
                <w:iCs w:val="0"/>
                <w:color w:val="000000"/>
                <w:sz w:val="24"/>
                <w:szCs w:val="24"/>
                <w:u w:val="none"/>
              </w:rPr>
            </w:pPr>
          </w:p>
        </w:tc>
        <w:tc>
          <w:tcPr>
            <w:tcW w:w="1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FDE04">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DD3EBF">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17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E7A8A">
            <w:pPr>
              <w:shd w:val="clear"/>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BBED7F">
            <w:pPr>
              <w:shd w:val="clear"/>
              <w:jc w:val="center"/>
              <w:rPr>
                <w:rFonts w:hint="eastAsia" w:ascii="宋体" w:hAnsi="宋体" w:eastAsia="宋体" w:cs="宋体"/>
                <w:i w:val="0"/>
                <w:iCs w:val="0"/>
                <w:color w:val="000000"/>
                <w:sz w:val="24"/>
                <w:szCs w:val="24"/>
                <w:u w:val="none"/>
              </w:rPr>
            </w:pPr>
          </w:p>
        </w:tc>
        <w:tc>
          <w:tcPr>
            <w:tcW w:w="2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388C0">
            <w:pPr>
              <w:shd w:val="clear"/>
              <w:jc w:val="center"/>
              <w:rPr>
                <w:rFonts w:hint="eastAsia" w:ascii="宋体" w:hAnsi="宋体" w:eastAsia="宋体" w:cs="宋体"/>
                <w:i w:val="0"/>
                <w:iCs w:val="0"/>
                <w:color w:val="000000"/>
                <w:sz w:val="24"/>
                <w:szCs w:val="24"/>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6F05D">
            <w:pPr>
              <w:shd w:val="clear"/>
              <w:jc w:val="center"/>
              <w:rPr>
                <w:rFonts w:hint="eastAsia" w:ascii="宋体" w:hAnsi="宋体" w:eastAsia="宋体" w:cs="宋体"/>
                <w:i w:val="0"/>
                <w:iCs w:val="0"/>
                <w:color w:val="000000"/>
                <w:sz w:val="24"/>
                <w:szCs w:val="24"/>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23A0CB">
            <w:pPr>
              <w:shd w:val="clear"/>
              <w:jc w:val="center"/>
              <w:rPr>
                <w:rFonts w:hint="eastAsia" w:ascii="宋体" w:hAnsi="宋体" w:eastAsia="宋体" w:cs="宋体"/>
                <w:i w:val="0"/>
                <w:iCs w:val="0"/>
                <w:color w:val="000000"/>
                <w:sz w:val="24"/>
                <w:szCs w:val="24"/>
                <w:u w:val="none"/>
              </w:rPr>
            </w:pPr>
          </w:p>
        </w:tc>
        <w:tc>
          <w:tcPr>
            <w:tcW w:w="19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5928C">
            <w:pPr>
              <w:shd w:val="clea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7E039">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w:t>
            </w:r>
          </w:p>
        </w:tc>
        <w:tc>
          <w:tcPr>
            <w:tcW w:w="203" w:type="pct"/>
            <w:tcBorders>
              <w:top w:val="single" w:color="000000" w:sz="4" w:space="0"/>
              <w:left w:val="single" w:color="000000" w:sz="4" w:space="0"/>
              <w:bottom w:val="single" w:color="000000" w:sz="4" w:space="0"/>
              <w:right w:val="single" w:color="000000" w:sz="4" w:space="0"/>
            </w:tcBorders>
            <w:noWrap w:val="0"/>
            <w:vAlign w:val="center"/>
          </w:tcPr>
          <w:p w14:paraId="56106386">
            <w:pPr>
              <w:shd w:val="clear"/>
              <w:jc w:val="center"/>
              <w:rPr>
                <w:rFonts w:hint="eastAsia" w:ascii="宋体" w:hAnsi="宋体" w:eastAsia="宋体" w:cs="宋体"/>
                <w:i w:val="0"/>
                <w:iCs w:val="0"/>
                <w:color w:val="000000"/>
                <w:sz w:val="24"/>
                <w:szCs w:val="24"/>
                <w:u w:val="none"/>
              </w:rPr>
            </w:pPr>
          </w:p>
        </w:tc>
        <w:tc>
          <w:tcPr>
            <w:tcW w:w="284" w:type="pct"/>
            <w:tcBorders>
              <w:top w:val="single" w:color="000000" w:sz="4" w:space="0"/>
              <w:left w:val="single" w:color="000000" w:sz="4" w:space="0"/>
              <w:bottom w:val="single" w:color="000000" w:sz="4" w:space="0"/>
              <w:right w:val="single" w:color="000000" w:sz="4" w:space="0"/>
            </w:tcBorders>
            <w:noWrap/>
            <w:vAlign w:val="center"/>
          </w:tcPr>
          <w:p w14:paraId="6410E504">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2030.3</w:t>
            </w:r>
          </w:p>
        </w:tc>
        <w:tc>
          <w:tcPr>
            <w:tcW w:w="313" w:type="pct"/>
            <w:tcBorders>
              <w:top w:val="single" w:color="000000" w:sz="4" w:space="0"/>
              <w:left w:val="single" w:color="000000" w:sz="4" w:space="0"/>
              <w:bottom w:val="single" w:color="000000" w:sz="4" w:space="0"/>
              <w:right w:val="single" w:color="000000" w:sz="4" w:space="0"/>
            </w:tcBorders>
            <w:noWrap/>
            <w:vAlign w:val="center"/>
          </w:tcPr>
          <w:p w14:paraId="1BF815F3">
            <w:pPr>
              <w:keepNext w:val="0"/>
              <w:keepLines w:val="0"/>
              <w:widowControl/>
              <w:suppressLineNumbers w:val="0"/>
              <w:shd w:val="clear"/>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2031.3</w:t>
            </w:r>
          </w:p>
        </w:tc>
      </w:tr>
    </w:tbl>
    <w:p w14:paraId="3A2EBDDF">
      <w:pPr>
        <w:pStyle w:val="7"/>
        <w:shd w:val="clear"/>
        <w:spacing w:after="0" w:line="240" w:lineRule="auto"/>
        <w:ind w:left="0" w:leftChars="0" w:firstLine="0" w:firstLineChars="0"/>
        <w:rPr>
          <w:rFonts w:hint="eastAsia" w:ascii="仿宋_GB2312" w:hAnsi="宋体" w:eastAsia="仿宋_GB2312" w:cs="仿宋_GB2312"/>
          <w:color w:val="auto"/>
          <w:sz w:val="32"/>
          <w:szCs w:val="32"/>
        </w:rPr>
      </w:pPr>
    </w:p>
    <w:p w14:paraId="289E211A">
      <w:pPr>
        <w:shd w:val="clear"/>
      </w:pPr>
    </w:p>
    <w:sectPr>
      <w:pgSz w:w="23811" w:h="16838" w:orient="landscape"/>
      <w:pgMar w:top="1803" w:right="1440" w:bottom="1803" w:left="1440"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E6D1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974A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549154">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D549154">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86C840"/>
    <w:multiLevelType w:val="singleLevel"/>
    <w:tmpl w:val="3586C84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147AD"/>
    <w:rsid w:val="11E147AD"/>
    <w:rsid w:val="3D700F19"/>
    <w:rsid w:val="60D80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1"/>
    <w:pPr>
      <w:spacing w:after="120"/>
    </w:pPr>
    <w:rPr>
      <w:rFonts w:ascii="Calibri" w:hAnsi="Calibri" w:eastAsia="宋体" w:cs="Times New Roman"/>
      <w:kern w:val="0"/>
      <w:szCs w:val="32"/>
    </w:rPr>
  </w:style>
  <w:style w:type="paragraph" w:styleId="3">
    <w:name w:val="Body Text Indent"/>
    <w:basedOn w:val="1"/>
    <w:qFormat/>
    <w:uiPriority w:val="99"/>
    <w:pPr>
      <w:spacing w:after="120" w:afterLines="0"/>
      <w:ind w:left="420" w:leftChars="200"/>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paragraph" w:styleId="7">
    <w:name w:val="Body Text First Indent 2"/>
    <w:basedOn w:val="3"/>
    <w:qFormat/>
    <w:uiPriority w:val="99"/>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9256</Words>
  <Characters>9456</Characters>
  <Lines>0</Lines>
  <Paragraphs>0</Paragraphs>
  <TotalTime>0</TotalTime>
  <ScaleCrop>false</ScaleCrop>
  <LinksUpToDate>false</LinksUpToDate>
  <CharactersWithSpaces>9543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2026-07-07T03:49:00Z</dcterms:created>
  <dc:creator>白长山</dc:creator>
  <cp:lastModifiedBy>白长山</cp:lastModifiedBy>
  <dcterms:modified xsi:type="dcterms:W3CDTF">2026-07-08T01:20:37Z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535471656437457FBE86FBDD2AEDB8F4_11</vt:lpwstr>
  </property>
  <property fmtid="{D5CDD505-2E9C-101B-9397-08002B2CF9AE}" pid="4" name="KSOTemplateDocerSaveRecord">
    <vt:lpwstr>eyJoZGlkIjoiNTk0ODMzMzE5ZjFhNjQzY2Q3ZGEzYjkyNmI3ODUzYjAiLCJ1c2VySWQiOiI2NDMwOTE5MDkifQ==</vt:lpwstr>
  </property>
</Properties>
</file>