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0C137">
      <w:pPr>
        <w:spacing w:line="560" w:lineRule="exact"/>
        <w:ind w:firstLine="640" w:firstLineChars="200"/>
        <w:jc w:val="center"/>
        <w:rPr>
          <w:rFonts w:ascii="仿宋" w:hAnsi="仿宋" w:eastAsia="仿宋"/>
          <w:sz w:val="32"/>
          <w:szCs w:val="32"/>
        </w:rPr>
      </w:pPr>
    </w:p>
    <w:p w14:paraId="0DC76DBF">
      <w:pPr>
        <w:spacing w:line="560" w:lineRule="exact"/>
        <w:jc w:val="center"/>
        <w:rPr>
          <w:rFonts w:hint="eastAsia" w:ascii="黑体" w:hAnsi="黑体" w:eastAsia="仿宋"/>
          <w:b/>
          <w:sz w:val="56"/>
          <w:szCs w:val="32"/>
        </w:rPr>
      </w:pPr>
      <w:r>
        <w:rPr>
          <w:rFonts w:ascii="黑体" w:hAnsi="黑体" w:eastAsia="仿宋"/>
          <w:b/>
          <w:sz w:val="56"/>
          <w:szCs w:val="32"/>
        </w:rPr>
        <w:t>2020年</w:t>
      </w:r>
      <w:r>
        <w:rPr>
          <w:rFonts w:hint="eastAsia" w:ascii="黑体" w:hAnsi="黑体" w:eastAsia="仿宋"/>
          <w:b/>
          <w:sz w:val="56"/>
          <w:szCs w:val="32"/>
        </w:rPr>
        <w:t>马尔康市</w:t>
      </w:r>
      <w:r>
        <w:rPr>
          <w:rFonts w:ascii="黑体" w:hAnsi="黑体" w:eastAsia="仿宋"/>
          <w:b/>
          <w:sz w:val="56"/>
          <w:szCs w:val="32"/>
        </w:rPr>
        <w:t>财政预算绩效工作</w:t>
      </w:r>
    </w:p>
    <w:p w14:paraId="16971E1B">
      <w:pPr>
        <w:spacing w:line="560" w:lineRule="exact"/>
        <w:jc w:val="center"/>
        <w:rPr>
          <w:rFonts w:ascii="黑体" w:hAnsi="黑体" w:eastAsia="仿宋"/>
          <w:b/>
          <w:sz w:val="56"/>
          <w:szCs w:val="32"/>
        </w:rPr>
      </w:pPr>
      <w:r>
        <w:rPr>
          <w:rFonts w:ascii="黑体" w:hAnsi="黑体" w:eastAsia="仿宋"/>
          <w:b/>
          <w:sz w:val="56"/>
          <w:szCs w:val="32"/>
        </w:rPr>
        <w:t>开</w:t>
      </w:r>
      <w:r>
        <w:rPr>
          <w:rFonts w:hint="eastAsia" w:ascii="黑体" w:hAnsi="黑体" w:eastAsia="仿宋"/>
          <w:b/>
          <w:sz w:val="56"/>
          <w:szCs w:val="32"/>
        </w:rPr>
        <w:t xml:space="preserve"> </w:t>
      </w:r>
      <w:r>
        <w:rPr>
          <w:rFonts w:ascii="黑体" w:hAnsi="黑体" w:eastAsia="仿宋"/>
          <w:b/>
          <w:sz w:val="56"/>
          <w:szCs w:val="32"/>
        </w:rPr>
        <w:t>展</w:t>
      </w:r>
      <w:r>
        <w:rPr>
          <w:rFonts w:hint="eastAsia" w:ascii="黑体" w:hAnsi="黑体" w:eastAsia="仿宋"/>
          <w:b/>
          <w:sz w:val="56"/>
          <w:szCs w:val="32"/>
        </w:rPr>
        <w:t xml:space="preserve"> </w:t>
      </w:r>
      <w:r>
        <w:rPr>
          <w:rFonts w:ascii="黑体" w:hAnsi="黑体" w:eastAsia="仿宋"/>
          <w:b/>
          <w:sz w:val="56"/>
          <w:szCs w:val="32"/>
        </w:rPr>
        <w:t>情</w:t>
      </w:r>
      <w:r>
        <w:rPr>
          <w:rFonts w:hint="eastAsia" w:ascii="黑体" w:hAnsi="黑体" w:eastAsia="仿宋"/>
          <w:b/>
          <w:sz w:val="56"/>
          <w:szCs w:val="32"/>
        </w:rPr>
        <w:t xml:space="preserve"> </w:t>
      </w:r>
      <w:r>
        <w:rPr>
          <w:rFonts w:ascii="黑体" w:hAnsi="黑体" w:eastAsia="仿宋"/>
          <w:b/>
          <w:sz w:val="56"/>
          <w:szCs w:val="32"/>
        </w:rPr>
        <w:t>况</w:t>
      </w:r>
    </w:p>
    <w:p w14:paraId="5B1594A8">
      <w:pPr>
        <w:spacing w:line="560" w:lineRule="exact"/>
        <w:ind w:firstLine="1124" w:firstLineChars="200"/>
        <w:rPr>
          <w:rFonts w:ascii="仿宋" w:hAnsi="仿宋" w:eastAsia="仿宋"/>
          <w:b/>
          <w:sz w:val="56"/>
          <w:szCs w:val="32"/>
        </w:rPr>
      </w:pPr>
    </w:p>
    <w:p w14:paraId="33D3184A">
      <w:pPr>
        <w:spacing w:line="560" w:lineRule="exact"/>
        <w:ind w:firstLine="643" w:firstLineChars="200"/>
        <w:rPr>
          <w:rFonts w:ascii="仿宋" w:hAnsi="仿宋" w:eastAsia="仿宋"/>
          <w:b/>
          <w:sz w:val="32"/>
          <w:szCs w:val="32"/>
        </w:rPr>
      </w:pPr>
      <w:r>
        <w:rPr>
          <w:rFonts w:ascii="仿宋" w:hAnsi="仿宋" w:eastAsia="仿宋"/>
          <w:b/>
          <w:sz w:val="32"/>
          <w:szCs w:val="32"/>
        </w:rPr>
        <w:t>一、工作总体情况</w:t>
      </w:r>
    </w:p>
    <w:p w14:paraId="348D6C05">
      <w:pPr>
        <w:spacing w:line="560" w:lineRule="exact"/>
        <w:ind w:firstLine="640" w:firstLineChars="200"/>
        <w:rPr>
          <w:rFonts w:ascii="仿宋" w:hAnsi="仿宋" w:eastAsia="仿宋"/>
          <w:sz w:val="32"/>
          <w:szCs w:val="32"/>
        </w:rPr>
      </w:pPr>
      <w:r>
        <w:rPr>
          <w:rFonts w:ascii="仿宋" w:hAnsi="仿宋" w:eastAsia="仿宋"/>
          <w:sz w:val="32"/>
          <w:szCs w:val="32"/>
        </w:rPr>
        <w:t>近年来，</w:t>
      </w:r>
      <w:r>
        <w:rPr>
          <w:rFonts w:hint="eastAsia" w:ascii="仿宋" w:hAnsi="仿宋" w:eastAsia="仿宋"/>
          <w:sz w:val="32"/>
          <w:szCs w:val="32"/>
        </w:rPr>
        <w:t>市财政</w:t>
      </w:r>
      <w:r>
        <w:rPr>
          <w:rFonts w:ascii="仿宋" w:hAnsi="仿宋" w:eastAsia="仿宋"/>
          <w:sz w:val="32"/>
          <w:szCs w:val="32"/>
        </w:rPr>
        <w:t>通过建体系、强培训、严责任等措施全面推进财政资金绩效评价工作有序开展，逐步形成了制度健全、覆盖广泛、评价专业、注重实效的绩效评价工作机制。2020年，按照“优先选择贯彻落实党中央、国务院重大方针 政策和决策部署的项目，覆盖面广、影响力大、社会关注度高、项目实施期长”的要求，重点选择脱贫攻坚、政府投资 引导基金、新冠肺炎防疫资金等</w:t>
      </w:r>
    </w:p>
    <w:p w14:paraId="7BF24526">
      <w:pPr>
        <w:spacing w:line="560" w:lineRule="exact"/>
        <w:ind w:firstLine="640" w:firstLineChars="200"/>
        <w:rPr>
          <w:rFonts w:ascii="仿宋" w:hAnsi="仿宋" w:eastAsia="仿宋"/>
          <w:sz w:val="32"/>
          <w:szCs w:val="32"/>
        </w:rPr>
      </w:pPr>
      <w:r>
        <w:rPr>
          <w:rFonts w:ascii="仿宋" w:hAnsi="仿宋" w:eastAsia="仿宋"/>
          <w:sz w:val="32"/>
          <w:szCs w:val="32"/>
        </w:rPr>
        <w:t>2020年，</w:t>
      </w:r>
      <w:r>
        <w:rPr>
          <w:rFonts w:hint="eastAsia" w:ascii="仿宋" w:hAnsi="仿宋" w:eastAsia="仿宋"/>
          <w:sz w:val="32"/>
          <w:szCs w:val="32"/>
        </w:rPr>
        <w:t>市</w:t>
      </w:r>
      <w:r>
        <w:rPr>
          <w:rFonts w:ascii="仿宋" w:hAnsi="仿宋" w:eastAsia="仿宋"/>
          <w:sz w:val="32"/>
          <w:szCs w:val="32"/>
        </w:rPr>
        <w:t>级财政绩效评价广度和深度不断延伸，机制不断完善，建立了涵盖项目支出、部门整体支出、财政政策等多层次的绩效评价体系，探索开展预算绩效事前评估。</w:t>
      </w:r>
    </w:p>
    <w:p w14:paraId="049BBCFB">
      <w:pPr>
        <w:spacing w:line="560" w:lineRule="exact"/>
        <w:ind w:firstLine="643" w:firstLineChars="200"/>
        <w:rPr>
          <w:rFonts w:ascii="仿宋" w:hAnsi="仿宋" w:eastAsia="仿宋"/>
          <w:b/>
          <w:sz w:val="32"/>
          <w:szCs w:val="32"/>
        </w:rPr>
      </w:pPr>
      <w:r>
        <w:rPr>
          <w:rFonts w:ascii="仿宋" w:hAnsi="仿宋" w:eastAsia="仿宋"/>
          <w:b/>
          <w:sz w:val="32"/>
          <w:szCs w:val="32"/>
        </w:rPr>
        <w:t>二、预算绩效管理工作情况</w:t>
      </w:r>
    </w:p>
    <w:p w14:paraId="7CF0A4D4">
      <w:pPr>
        <w:spacing w:line="560" w:lineRule="exact"/>
        <w:ind w:firstLine="640" w:firstLineChars="200"/>
        <w:rPr>
          <w:rFonts w:ascii="仿宋" w:hAnsi="仿宋" w:eastAsia="仿宋"/>
          <w:sz w:val="32"/>
          <w:szCs w:val="32"/>
        </w:rPr>
      </w:pPr>
      <w:r>
        <w:rPr>
          <w:rFonts w:hint="eastAsia" w:ascii="仿宋" w:hAnsi="仿宋" w:eastAsia="仿宋"/>
          <w:sz w:val="32"/>
          <w:szCs w:val="32"/>
        </w:rPr>
        <w:t>为贯彻落实党的十九届四中全会、省、市经济工作会议，以及省委十一届六次全会精神，根据《中共四川省委四川省人民政府关于全面实施预算绩效管理的实施意见》总体要求和《全省预算绩效管理工作推进方案》《阿坝州财政局预算绩效管理工作实施方案》布置安排，围绕提质增效目标，大力推进预算绩效管理做深做细做实，推动预算管理改革取得新的突破，为财政高质量发展奠定坚实基础，现制定2020年市财政局财政预算绩效管理重点工作如下。</w:t>
      </w:r>
    </w:p>
    <w:p w14:paraId="7D10236A">
      <w:pPr>
        <w:spacing w:line="560" w:lineRule="exact"/>
        <w:ind w:firstLine="643" w:firstLineChars="200"/>
        <w:jc w:val="both"/>
        <w:rPr>
          <w:rFonts w:ascii="仿宋" w:hAnsi="仿宋" w:eastAsia="仿宋"/>
          <w:b/>
          <w:sz w:val="32"/>
          <w:szCs w:val="32"/>
        </w:rPr>
      </w:pPr>
      <w:r>
        <w:rPr>
          <w:rFonts w:hint="eastAsia" w:ascii="仿宋" w:hAnsi="仿宋" w:eastAsia="仿宋"/>
          <w:b/>
          <w:sz w:val="32"/>
          <w:szCs w:val="32"/>
        </w:rPr>
        <w:t>（一）持续强化绩效管理理念，促进财政管理提质增效</w:t>
      </w:r>
    </w:p>
    <w:p w14:paraId="50B4BB9A">
      <w:pPr>
        <w:spacing w:line="560" w:lineRule="exact"/>
        <w:ind w:firstLine="640" w:firstLineChars="200"/>
        <w:rPr>
          <w:rFonts w:ascii="仿宋" w:hAnsi="仿宋" w:eastAsia="仿宋"/>
          <w:sz w:val="32"/>
          <w:szCs w:val="32"/>
        </w:rPr>
      </w:pPr>
      <w:r>
        <w:rPr>
          <w:rFonts w:hint="eastAsia" w:ascii="仿宋" w:hAnsi="仿宋" w:eastAsia="仿宋"/>
          <w:sz w:val="32"/>
          <w:szCs w:val="32"/>
        </w:rPr>
        <w:t>全面实施预算绩效管理是实施积极财政政策的重要内涵，是落实政府过紧日子、应对财政收支矛盾、优化资源配置、提高资金效益的重要抓手，压实主管部门和资金使用单位的绩效主体责任，不断强化“花钱必问效、无效必问责”的绩效理念。推动建立健全多方参与、运转顺畅、协调高效的绩效管理工作机制， 加快建立全方位、全过程、全覆盖的预算绩效管理体系，将绩效管理向所有财政资金覆盖，延伸到基层单位和资金使用终端。优化全过程业务管控体系，将绩效管理深度嵌入预算管理之中，推进预算和绩效管理一体化，大力削减低效无效财政支出，推动财政管理提质增效。</w:t>
      </w:r>
    </w:p>
    <w:p w14:paraId="605FDDAB">
      <w:pPr>
        <w:spacing w:line="560" w:lineRule="exact"/>
        <w:ind w:firstLine="643" w:firstLineChars="200"/>
        <w:rPr>
          <w:rFonts w:ascii="仿宋" w:hAnsi="仿宋" w:eastAsia="仿宋"/>
          <w:b/>
          <w:sz w:val="32"/>
          <w:szCs w:val="32"/>
        </w:rPr>
      </w:pPr>
      <w:r>
        <w:rPr>
          <w:rFonts w:hint="eastAsia" w:ascii="仿宋" w:hAnsi="仿宋" w:eastAsia="仿宋"/>
          <w:b/>
          <w:sz w:val="32"/>
          <w:szCs w:val="32"/>
        </w:rPr>
        <w:t>（二）持续深化过程管控体系，推动预算改革取得突破</w:t>
      </w:r>
    </w:p>
    <w:p w14:paraId="7D72B3BC">
      <w:pPr>
        <w:spacing w:line="560" w:lineRule="exact"/>
        <w:ind w:firstLine="640" w:firstLineChars="200"/>
        <w:rPr>
          <w:rFonts w:ascii="仿宋" w:hAnsi="仿宋" w:eastAsia="仿宋"/>
          <w:sz w:val="32"/>
          <w:szCs w:val="32"/>
        </w:rPr>
      </w:pPr>
      <w:r>
        <w:rPr>
          <w:rFonts w:hint="eastAsia" w:ascii="仿宋" w:hAnsi="仿宋" w:eastAsia="仿宋"/>
          <w:sz w:val="32"/>
          <w:szCs w:val="32"/>
        </w:rPr>
        <w:t>以“全方位、全过程、全覆盖”为目标，按照“</w:t>
      </w:r>
      <w:r>
        <w:rPr>
          <w:rFonts w:ascii="仿宋" w:hAnsi="仿宋" w:eastAsia="仿宋"/>
          <w:sz w:val="32"/>
          <w:szCs w:val="32"/>
        </w:rPr>
        <w:t>3+2</w:t>
      </w:r>
      <w:r>
        <w:rPr>
          <w:rFonts w:hint="eastAsia" w:ascii="仿宋" w:hAnsi="仿宋" w:eastAsia="仿宋"/>
          <w:sz w:val="32"/>
          <w:szCs w:val="32"/>
        </w:rPr>
        <w:t>”过程管控体系，牢牢把握事前评估、事中监控、事后评价三个关键节点，推动绩效与预算管理深度融合。</w:t>
      </w:r>
    </w:p>
    <w:p w14:paraId="6B73AA92">
      <w:pPr>
        <w:spacing w:line="560" w:lineRule="exact"/>
        <w:ind w:firstLine="643" w:firstLineChars="200"/>
        <w:rPr>
          <w:rFonts w:hint="eastAsia" w:ascii="仿宋" w:hAnsi="仿宋" w:eastAsia="仿宋"/>
          <w:b/>
          <w:sz w:val="32"/>
          <w:szCs w:val="32"/>
        </w:rPr>
      </w:pPr>
      <w:r>
        <w:rPr>
          <w:rFonts w:hint="eastAsia" w:ascii="仿宋" w:hAnsi="仿宋" w:eastAsia="仿宋"/>
          <w:b/>
          <w:sz w:val="32"/>
          <w:szCs w:val="32"/>
        </w:rPr>
        <w:t>1、大力推进绩效评估，提高科学决策水平</w:t>
      </w:r>
    </w:p>
    <w:p w14:paraId="73DC7CC1">
      <w:pPr>
        <w:spacing w:line="560" w:lineRule="exact"/>
        <w:ind w:firstLine="640" w:firstLineChars="200"/>
        <w:rPr>
          <w:rFonts w:ascii="仿宋" w:hAnsi="仿宋" w:eastAsia="仿宋"/>
          <w:sz w:val="32"/>
          <w:szCs w:val="32"/>
        </w:rPr>
      </w:pPr>
      <w:r>
        <w:rPr>
          <w:rFonts w:hint="eastAsia" w:ascii="仿宋" w:hAnsi="仿宋" w:eastAsia="仿宋"/>
          <w:sz w:val="32"/>
          <w:szCs w:val="32"/>
        </w:rPr>
        <w:t>在</w:t>
      </w:r>
      <w:r>
        <w:rPr>
          <w:rFonts w:ascii="仿宋" w:hAnsi="仿宋" w:eastAsia="仿宋"/>
          <w:sz w:val="32"/>
          <w:szCs w:val="32"/>
        </w:rPr>
        <w:t>2020</w:t>
      </w:r>
      <w:r>
        <w:rPr>
          <w:rFonts w:hint="eastAsia" w:ascii="仿宋" w:hAnsi="仿宋" w:eastAsia="仿宋"/>
          <w:sz w:val="32"/>
          <w:szCs w:val="32"/>
        </w:rPr>
        <w:t>年预算编制环节，全面推进重点政策、项目事前绩效评估，结合预算评审、项目审批等，对新增专项预算项目和新增20万元以上的部门预算项目开展事前评估，评估结果作为项目设立、延续和预算调整安排的重要依据，从源头上防止财政资金使用的低效、无效，推动理性决策，着力在预算决策环节解决好“钱该不该花”的问题。</w:t>
      </w:r>
    </w:p>
    <w:p w14:paraId="65CA676E">
      <w:pPr>
        <w:spacing w:line="560" w:lineRule="exact"/>
        <w:ind w:firstLine="643" w:firstLineChars="200"/>
        <w:rPr>
          <w:rFonts w:hint="eastAsia" w:ascii="仿宋" w:hAnsi="仿宋" w:eastAsia="仿宋"/>
          <w:b/>
          <w:sz w:val="32"/>
          <w:szCs w:val="32"/>
        </w:rPr>
      </w:pPr>
      <w:r>
        <w:rPr>
          <w:rFonts w:hint="eastAsia" w:ascii="仿宋" w:hAnsi="仿宋" w:eastAsia="仿宋"/>
          <w:b/>
          <w:sz w:val="32"/>
          <w:szCs w:val="32"/>
        </w:rPr>
        <w:t>2、全面加强绩效监控，改进预算执行管理</w:t>
      </w:r>
    </w:p>
    <w:p w14:paraId="710B7397">
      <w:pPr>
        <w:spacing w:line="560" w:lineRule="exact"/>
        <w:ind w:firstLine="640" w:firstLineChars="200"/>
        <w:rPr>
          <w:rFonts w:ascii="仿宋" w:hAnsi="仿宋" w:eastAsia="仿宋"/>
          <w:sz w:val="32"/>
          <w:szCs w:val="32"/>
        </w:rPr>
      </w:pPr>
      <w:r>
        <w:rPr>
          <w:rFonts w:hint="eastAsia" w:ascii="仿宋" w:hAnsi="仿宋" w:eastAsia="仿宋"/>
          <w:sz w:val="32"/>
          <w:szCs w:val="32"/>
        </w:rPr>
        <w:t>市级所有预算部门（涉密单位除外）对编制有绩效目标的部门预算项目和专项预算项目全面开展绩效监控，并依托预算绩效管理信息系统实施重点监控。</w:t>
      </w:r>
    </w:p>
    <w:p w14:paraId="5CE713AF">
      <w:pPr>
        <w:spacing w:line="560" w:lineRule="exact"/>
        <w:ind w:firstLine="640" w:firstLineChars="200"/>
        <w:rPr>
          <w:rFonts w:ascii="仿宋" w:hAnsi="仿宋" w:eastAsia="仿宋"/>
          <w:sz w:val="32"/>
          <w:szCs w:val="32"/>
        </w:rPr>
      </w:pPr>
      <w:r>
        <w:rPr>
          <w:rFonts w:hint="eastAsia" w:ascii="仿宋" w:hAnsi="仿宋" w:eastAsia="仿宋"/>
          <w:sz w:val="32"/>
          <w:szCs w:val="32"/>
        </w:rPr>
        <w:t>（1）7月初，组织市级部门对2</w:t>
      </w:r>
      <w:r>
        <w:rPr>
          <w:rFonts w:ascii="仿宋" w:hAnsi="仿宋" w:eastAsia="仿宋"/>
          <w:sz w:val="32"/>
          <w:szCs w:val="32"/>
        </w:rPr>
        <w:t>020</w:t>
      </w:r>
      <w:r>
        <w:rPr>
          <w:rFonts w:hint="eastAsia" w:ascii="仿宋" w:hAnsi="仿宋" w:eastAsia="仿宋"/>
          <w:sz w:val="32"/>
          <w:szCs w:val="32"/>
        </w:rPr>
        <w:t>年上半年预算执行进度和部门预算项目绩效目标实现程度实行监控，对预算执行进度缓慢和绩效目标执行偏差的部门，以提示警示为主予以告知。</w:t>
      </w:r>
    </w:p>
    <w:p w14:paraId="034D98EC">
      <w:pPr>
        <w:spacing w:line="560" w:lineRule="exact"/>
        <w:ind w:firstLine="640" w:firstLineChars="200"/>
        <w:rPr>
          <w:rFonts w:ascii="仿宋" w:hAnsi="仿宋" w:eastAsia="仿宋"/>
          <w:sz w:val="32"/>
          <w:szCs w:val="32"/>
        </w:rPr>
      </w:pPr>
      <w:r>
        <w:rPr>
          <w:rFonts w:hint="eastAsia" w:ascii="仿宋" w:hAnsi="仿宋" w:eastAsia="仿宋"/>
          <w:sz w:val="32"/>
          <w:szCs w:val="32"/>
        </w:rPr>
        <w:t>（2）8</w:t>
      </w:r>
      <w:r>
        <w:rPr>
          <w:rFonts w:ascii="仿宋" w:hAnsi="仿宋" w:eastAsia="仿宋"/>
          <w:sz w:val="32"/>
          <w:szCs w:val="32"/>
        </w:rPr>
        <w:t>月</w:t>
      </w:r>
      <w:r>
        <w:rPr>
          <w:rFonts w:hint="eastAsia" w:ascii="仿宋" w:hAnsi="仿宋" w:eastAsia="仿宋"/>
          <w:sz w:val="32"/>
          <w:szCs w:val="32"/>
        </w:rPr>
        <w:t>底前，组织市级部门对</w:t>
      </w:r>
      <w:r>
        <w:rPr>
          <w:rFonts w:ascii="仿宋" w:hAnsi="仿宋" w:eastAsia="仿宋"/>
          <w:sz w:val="32"/>
          <w:szCs w:val="32"/>
        </w:rPr>
        <w:t>l至8</w:t>
      </w:r>
      <w:r>
        <w:rPr>
          <w:rFonts w:hint="eastAsia" w:ascii="仿宋" w:hAnsi="仿宋" w:eastAsia="仿宋"/>
          <w:sz w:val="32"/>
          <w:szCs w:val="32"/>
        </w:rPr>
        <w:t>月预算执行进度、部门预算项目和专项预算项目绩效目标实现程度、预算调整情况进行监控；同时，财政局组织对</w:t>
      </w:r>
      <w:r>
        <w:rPr>
          <w:rFonts w:ascii="仿宋" w:hAnsi="仿宋" w:eastAsia="仿宋"/>
          <w:sz w:val="32"/>
          <w:szCs w:val="32"/>
        </w:rPr>
        <w:t>10</w:t>
      </w:r>
      <w:r>
        <w:rPr>
          <w:rFonts w:hint="eastAsia" w:ascii="仿宋" w:hAnsi="仿宋" w:eastAsia="仿宋"/>
          <w:sz w:val="32"/>
          <w:szCs w:val="32"/>
        </w:rPr>
        <w:t>个以上市级部门进行重点绩效监控，主要对预算执行进度、项目产出绩效指标（数量、质量、时效、成本）以及预算调整情况进行监控核实。</w:t>
      </w:r>
    </w:p>
    <w:p w14:paraId="4AE94B64">
      <w:pPr>
        <w:spacing w:line="560" w:lineRule="exact"/>
        <w:ind w:firstLine="643" w:firstLineChars="200"/>
        <w:rPr>
          <w:rFonts w:hint="eastAsia" w:ascii="仿宋" w:hAnsi="仿宋" w:eastAsia="仿宋"/>
          <w:b/>
          <w:sz w:val="32"/>
          <w:szCs w:val="32"/>
        </w:rPr>
      </w:pPr>
      <w:r>
        <w:rPr>
          <w:rFonts w:hint="eastAsia" w:ascii="仿宋" w:hAnsi="仿宋" w:eastAsia="仿宋"/>
          <w:b/>
          <w:sz w:val="32"/>
          <w:szCs w:val="32"/>
        </w:rPr>
        <w:t>3、做深做实绩效评价，推动资金整合协调</w:t>
      </w:r>
    </w:p>
    <w:p w14:paraId="45BD6D02">
      <w:pPr>
        <w:spacing w:line="560" w:lineRule="exact"/>
        <w:ind w:firstLine="640" w:firstLineChars="200"/>
        <w:rPr>
          <w:rFonts w:ascii="仿宋" w:hAnsi="仿宋" w:eastAsia="仿宋"/>
          <w:sz w:val="32"/>
          <w:szCs w:val="32"/>
        </w:rPr>
      </w:pPr>
      <w:r>
        <w:rPr>
          <w:rFonts w:hint="eastAsia" w:ascii="仿宋" w:hAnsi="仿宋" w:eastAsia="仿宋"/>
          <w:sz w:val="32"/>
          <w:szCs w:val="32"/>
        </w:rPr>
        <w:t>（1）不断推进部门绩效自评。在进一步完善市级部门整体支出绩效目标基础上，继续全面开展部门整体支出绩效自评，提高部门绩效评价质量和时效。</w:t>
      </w:r>
    </w:p>
    <w:p w14:paraId="125CBB88">
      <w:pPr>
        <w:spacing w:line="560" w:lineRule="exact"/>
        <w:ind w:firstLine="640" w:firstLineChars="200"/>
        <w:rPr>
          <w:rFonts w:ascii="仿宋" w:hAnsi="仿宋" w:eastAsia="仿宋"/>
          <w:sz w:val="32"/>
          <w:szCs w:val="32"/>
        </w:rPr>
      </w:pPr>
      <w:r>
        <w:rPr>
          <w:rFonts w:hint="eastAsia" w:ascii="仿宋" w:hAnsi="仿宋" w:eastAsia="仿宋"/>
          <w:sz w:val="32"/>
          <w:szCs w:val="32"/>
        </w:rPr>
        <w:t>（2）不断强化财政重点评价。一是加强重点部门支出绩效评价。结合近年部门整体支出绩效管理工作实际，持续优化部门整体支出绩效指标体系，从部门预算、专项预算、绩效结果应用等方面对部门整体效益进行深入评价。财政局根据部门自评情况，选取部分部门开展重点评价，并试点选取部分二级预算单位延伸开展整体绩效评价，评价内容着重围绕部门预算管理、专项预算管理、绩效结果应用等方面进行。二是加强重点政策支出绩效评价。开展财政专项扶贫、基层组织活动和公共服务运行等财政支持政策重点绩效评价，重点从政策设计（目标科学、项目协同、对象全面、标准合理）、政策执行（对象精准、调整及时、机制同向）、政策效果（产业发展、民生保障、基础设施）进行评价。三是加强重点项目支出绩效评价。对脱贫攻坚、“三保“支出（民生类）、新冠肺炎防疫资金等项目重点评价。产业发展项目绩效重点从符合性、引导性进行评价，民生保障项目重点从区域均衡性、对象公平性、社会满意度方面评价，基础设施（设备购置）项目重点从稀缺性、配套性方面评价。重点绩效评价报告提交局党组会。切实提高评价报告质量，强化评价报告的权威性和约束力，确保评价报告有用可用。</w:t>
      </w:r>
    </w:p>
    <w:p w14:paraId="27FAFB95">
      <w:pPr>
        <w:spacing w:line="560" w:lineRule="exact"/>
        <w:ind w:firstLine="643" w:firstLineChars="200"/>
        <w:rPr>
          <w:rFonts w:hint="eastAsia" w:ascii="仿宋" w:hAnsi="仿宋" w:eastAsia="仿宋"/>
          <w:b/>
          <w:sz w:val="32"/>
          <w:szCs w:val="32"/>
        </w:rPr>
      </w:pPr>
      <w:r>
        <w:rPr>
          <w:rFonts w:hint="eastAsia" w:ascii="仿宋" w:hAnsi="仿宋" w:eastAsia="仿宋"/>
          <w:b/>
          <w:sz w:val="32"/>
          <w:szCs w:val="32"/>
        </w:rPr>
        <w:t>4、加强绩效目标管理，提高预算编制水平</w:t>
      </w:r>
    </w:p>
    <w:p w14:paraId="734BC2B3">
      <w:pPr>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1</w:t>
      </w:r>
      <w:r>
        <w:rPr>
          <w:rFonts w:hint="eastAsia" w:ascii="仿宋" w:hAnsi="仿宋" w:eastAsia="仿宋"/>
          <w:sz w:val="32"/>
          <w:szCs w:val="32"/>
        </w:rPr>
        <w:t>）提高绩效目标的精准度。简化绩效指标分类，聚焦重点指标，提高预算单位绩效指标设置精准度，提高绩效目标细化量化程度，充分发挥绩效目标在后续绩效监控、绩效评价等环节的约束力。</w:t>
      </w:r>
    </w:p>
    <w:p w14:paraId="1BB5F214">
      <w:pPr>
        <w:spacing w:line="560" w:lineRule="exact"/>
        <w:ind w:firstLine="640" w:firstLineChars="200"/>
        <w:rPr>
          <w:rFonts w:ascii="仿宋" w:hAnsi="仿宋" w:eastAsia="仿宋"/>
          <w:sz w:val="32"/>
          <w:szCs w:val="32"/>
        </w:rPr>
      </w:pPr>
      <w:r>
        <w:rPr>
          <w:rFonts w:hint="eastAsia" w:ascii="仿宋" w:hAnsi="仿宋" w:eastAsia="仿宋"/>
          <w:sz w:val="32"/>
          <w:szCs w:val="32"/>
        </w:rPr>
        <w:t>（2）提高绩效目标的关联性。切实发挥绩效目标作为绩效评价重要依据的作用，在绩效评价特性指标设置时，要体现项目绩效目标的关键指标。同时，在绩效目标编制时，要充分参考项目以住年度绩效评价指标和结果。</w:t>
      </w:r>
    </w:p>
    <w:p w14:paraId="3FA680F8">
      <w:pPr>
        <w:spacing w:line="560" w:lineRule="exact"/>
        <w:ind w:firstLine="640" w:firstLineChars="200"/>
        <w:rPr>
          <w:rFonts w:ascii="仿宋" w:hAnsi="仿宋" w:eastAsia="仿宋"/>
          <w:sz w:val="32"/>
          <w:szCs w:val="32"/>
        </w:rPr>
      </w:pPr>
      <w:r>
        <w:rPr>
          <w:rFonts w:hint="eastAsia" w:ascii="仿宋" w:hAnsi="仿宋" w:eastAsia="仿宋"/>
          <w:sz w:val="32"/>
          <w:szCs w:val="32"/>
        </w:rPr>
        <w:t>（3）提高绩效目标的引领性。将绩效目标审核结果与预算安排挂钩，绩效目标偏离市委、市人民政府发展战略和年度重点任务的，以及重要性和紧迫性不强、实施条件不充分的，不予安排预算。推动项目库改革，预算管理关口前移，切实将绩效目标审核作为项目库入库前置条件，入库项目实行动态管理。</w:t>
      </w:r>
    </w:p>
    <w:p w14:paraId="4A40E9D7">
      <w:pPr>
        <w:spacing w:line="560" w:lineRule="exact"/>
        <w:ind w:firstLine="643" w:firstLineChars="200"/>
        <w:rPr>
          <w:rFonts w:hint="eastAsia" w:ascii="仿宋" w:hAnsi="仿宋" w:eastAsia="仿宋"/>
          <w:b/>
          <w:sz w:val="32"/>
          <w:szCs w:val="32"/>
        </w:rPr>
      </w:pPr>
      <w:r>
        <w:rPr>
          <w:rFonts w:hint="eastAsia" w:ascii="仿宋" w:hAnsi="仿宋" w:eastAsia="仿宋"/>
          <w:b/>
          <w:sz w:val="32"/>
          <w:szCs w:val="32"/>
        </w:rPr>
        <w:t>5、强化绩效结果应用，改变分配固化格局</w:t>
      </w:r>
    </w:p>
    <w:p w14:paraId="01533D0D">
      <w:pPr>
        <w:spacing w:line="560" w:lineRule="exact"/>
        <w:ind w:firstLine="640" w:firstLineChars="200"/>
        <w:rPr>
          <w:rFonts w:ascii="仿宋" w:hAnsi="仿宋" w:eastAsia="仿宋"/>
          <w:sz w:val="32"/>
          <w:szCs w:val="32"/>
        </w:rPr>
      </w:pPr>
      <w:r>
        <w:rPr>
          <w:rFonts w:hint="eastAsia" w:ascii="仿宋" w:hAnsi="仿宋" w:eastAsia="仿宋"/>
          <w:sz w:val="32"/>
          <w:szCs w:val="32"/>
        </w:rPr>
        <w:t>实施覆盖预算管理全过程的结果应用机制，加强绩效与预算管理事前、事中、事后全过程衔接，促进预算分配更加科学合理。</w:t>
      </w:r>
    </w:p>
    <w:p w14:paraId="01427637">
      <w:pPr>
        <w:spacing w:line="560" w:lineRule="exact"/>
        <w:ind w:firstLine="640" w:firstLineChars="200"/>
        <w:rPr>
          <w:rFonts w:ascii="仿宋" w:hAnsi="仿宋" w:eastAsia="仿宋"/>
          <w:sz w:val="32"/>
          <w:szCs w:val="32"/>
        </w:rPr>
      </w:pPr>
      <w:r>
        <w:rPr>
          <w:rFonts w:hint="eastAsia" w:ascii="仿宋" w:hAnsi="仿宋" w:eastAsia="仿宋"/>
          <w:sz w:val="32"/>
          <w:szCs w:val="32"/>
        </w:rPr>
        <w:t>（1）加强事前绩效管理结果应用。事前评估结果作为项目延续和新增预算安排的必备依据。绩效目标与项目设立、项目预算安排等相结合，探索实施绩效目标重点审核结果“分档分级预算挂钩机制”：将审核结果划分为优、良、中、差四档，原则上，对审核等级为优的予以支持；对审核等级为良的予以支持并进一步完善绩效目标；对审核等级为中的按不低于10%比例扣减预算；对审核等级为差的不予安排预算。扣减或取消安排的预算资金由相关业务科室统筹用于同类领域预算支出。</w:t>
      </w:r>
    </w:p>
    <w:p w14:paraId="3F81B2BB">
      <w:pPr>
        <w:spacing w:line="560" w:lineRule="exact"/>
        <w:ind w:firstLine="640" w:firstLineChars="200"/>
        <w:rPr>
          <w:rFonts w:ascii="仿宋" w:hAnsi="仿宋" w:eastAsia="仿宋"/>
          <w:sz w:val="32"/>
          <w:szCs w:val="32"/>
        </w:rPr>
      </w:pPr>
      <w:r>
        <w:rPr>
          <w:rFonts w:hint="eastAsia" w:ascii="仿宋" w:hAnsi="仿宋" w:eastAsia="仿宋"/>
          <w:sz w:val="32"/>
          <w:szCs w:val="32"/>
        </w:rPr>
        <w:t>（2）加强事中绩效管理结果应用。开展绩效监控后相应进行警示纠偏、督促进度、预算调剂，并与结余处置、年终结余处理、下年预算安排挂钩；对部门预计当年项目支出无法执行、绩效目标无法实现的资金，该年度进行预算调剂或下一年度同类支出原则上不再安排。</w:t>
      </w:r>
    </w:p>
    <w:p w14:paraId="0C9D0328">
      <w:pPr>
        <w:spacing w:line="560" w:lineRule="exact"/>
        <w:ind w:firstLine="640" w:firstLineChars="200"/>
        <w:rPr>
          <w:rFonts w:ascii="仿宋" w:hAnsi="仿宋" w:eastAsia="仿宋"/>
          <w:sz w:val="32"/>
          <w:szCs w:val="32"/>
        </w:rPr>
      </w:pPr>
      <w:r>
        <w:rPr>
          <w:rFonts w:hint="eastAsia" w:ascii="仿宋" w:hAnsi="仿宋" w:eastAsia="仿宋"/>
          <w:sz w:val="32"/>
          <w:szCs w:val="32"/>
        </w:rPr>
        <w:t>（3）加强事后绩效管理结果应用。绩效评价结果运用到次年政策优化、管理完善、预算安排、问题整改等方面。探索实施绩效评价结果“分档分级预算挂钩机制”，将评价结果划分为优、良、中、差四档，原则上，对评价等级为优、良的根据情况予以支持；对评价等级为中的按不低于10%比例扣减预算， 扣减预算资金由财政统筹用于同类领域预算支出；对评价等级为差的取消项目预算安排，取消项目资金收回总预算。对于评价样本资金结余率大于</w:t>
      </w:r>
      <w:r>
        <w:rPr>
          <w:rFonts w:ascii="仿宋" w:hAnsi="仿宋" w:eastAsia="仿宋"/>
          <w:sz w:val="32"/>
          <w:szCs w:val="32"/>
        </w:rPr>
        <w:t>15%</w:t>
      </w:r>
      <w:r>
        <w:rPr>
          <w:rFonts w:hint="eastAsia" w:ascii="仿宋" w:hAnsi="仿宋" w:eastAsia="仿宋"/>
          <w:sz w:val="32"/>
          <w:szCs w:val="32"/>
        </w:rPr>
        <w:t>的项目，其预算安排由相关业务科室按照实际情况予以扣减，扣减预算资金统筹用于同类领域预算支出。研究制定部门整体支出绩效评价的激励约束机制，将评价结果同部门预算绩效管理工作考评结合，应用于下一年度部门预算安排中。</w:t>
      </w:r>
    </w:p>
    <w:p w14:paraId="2307ECA9">
      <w:pPr>
        <w:spacing w:line="560" w:lineRule="exact"/>
        <w:ind w:firstLine="643" w:firstLineChars="200"/>
        <w:rPr>
          <w:rFonts w:hint="eastAsia" w:ascii="仿宋" w:hAnsi="仿宋" w:eastAsia="仿宋"/>
          <w:b/>
          <w:sz w:val="32"/>
          <w:szCs w:val="32"/>
        </w:rPr>
      </w:pPr>
      <w:r>
        <w:rPr>
          <w:rFonts w:hint="eastAsia" w:ascii="仿宋" w:hAnsi="仿宋" w:eastAsia="仿宋"/>
          <w:b/>
          <w:sz w:val="32"/>
          <w:szCs w:val="32"/>
        </w:rPr>
        <w:t>6、夯实专业管理工作，开展重点课题研究</w:t>
      </w:r>
    </w:p>
    <w:p w14:paraId="73E917E0">
      <w:pPr>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有力推进扶贫资金绩效管理</w:t>
      </w:r>
      <w:r>
        <w:rPr>
          <w:rFonts w:hint="eastAsia" w:ascii="仿宋" w:hAnsi="仿宋" w:eastAsia="仿宋"/>
          <w:sz w:val="32"/>
          <w:szCs w:val="32"/>
        </w:rPr>
        <w:t>。</w:t>
      </w:r>
      <w:r>
        <w:rPr>
          <w:rFonts w:ascii="仿宋" w:hAnsi="仿宋" w:eastAsia="仿宋"/>
          <w:sz w:val="32"/>
          <w:szCs w:val="32"/>
        </w:rPr>
        <w:t>按照财政</w:t>
      </w:r>
      <w:r>
        <w:rPr>
          <w:rFonts w:hint="eastAsia" w:ascii="仿宋" w:hAnsi="仿宋" w:eastAsia="仿宋"/>
          <w:sz w:val="32"/>
          <w:szCs w:val="32"/>
        </w:rPr>
        <w:t>厅</w:t>
      </w:r>
      <w:r>
        <w:rPr>
          <w:rFonts w:ascii="仿宋" w:hAnsi="仿宋" w:eastAsia="仿宋"/>
          <w:sz w:val="32"/>
          <w:szCs w:val="32"/>
        </w:rPr>
        <w:t>关于扶贫资金绩效管理的安排部署</w:t>
      </w:r>
      <w:r>
        <w:rPr>
          <w:rFonts w:hint="eastAsia" w:ascii="仿宋" w:hAnsi="仿宋" w:eastAsia="仿宋"/>
          <w:sz w:val="32"/>
          <w:szCs w:val="32"/>
        </w:rPr>
        <w:t>，</w:t>
      </w:r>
      <w:r>
        <w:rPr>
          <w:rFonts w:ascii="仿宋" w:hAnsi="仿宋" w:eastAsia="仿宋"/>
          <w:sz w:val="32"/>
          <w:szCs w:val="32"/>
        </w:rPr>
        <w:t>牵头组织好全</w:t>
      </w:r>
      <w:r>
        <w:rPr>
          <w:rFonts w:hint="eastAsia" w:ascii="仿宋" w:hAnsi="仿宋" w:eastAsia="仿宋"/>
          <w:sz w:val="32"/>
          <w:szCs w:val="32"/>
        </w:rPr>
        <w:t>市</w:t>
      </w:r>
      <w:r>
        <w:rPr>
          <w:rFonts w:ascii="仿宋" w:hAnsi="仿宋" w:eastAsia="仿宋"/>
          <w:sz w:val="32"/>
          <w:szCs w:val="32"/>
        </w:rPr>
        <w:t>扶贫资金绩效管理的安排</w:t>
      </w:r>
      <w:r>
        <w:rPr>
          <w:rFonts w:hint="eastAsia" w:ascii="仿宋" w:hAnsi="仿宋" w:eastAsia="仿宋"/>
          <w:sz w:val="32"/>
          <w:szCs w:val="32"/>
        </w:rPr>
        <w:t>工作，</w:t>
      </w:r>
      <w:r>
        <w:rPr>
          <w:rFonts w:ascii="仿宋" w:hAnsi="仿宋" w:eastAsia="仿宋"/>
          <w:sz w:val="32"/>
          <w:szCs w:val="32"/>
        </w:rPr>
        <w:t>加强扶贫</w:t>
      </w:r>
      <w:r>
        <w:rPr>
          <w:rFonts w:hint="eastAsia" w:ascii="仿宋" w:hAnsi="仿宋" w:eastAsia="仿宋"/>
          <w:sz w:val="32"/>
          <w:szCs w:val="32"/>
        </w:rPr>
        <w:t>资金动态监控平台的协调、应用和培训，督导全市各相关部门按照《四川省扶贫项目资金绩效管理实施细则》做好扶贫资金全过程绩效管理工作，加强扶贫资金绩效管理工作考核。</w:t>
      </w:r>
    </w:p>
    <w:p w14:paraId="3115F879">
      <w:pPr>
        <w:spacing w:line="560" w:lineRule="exact"/>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开展项目支出成本效益法研究</w:t>
      </w:r>
      <w:r>
        <w:rPr>
          <w:rFonts w:hint="eastAsia" w:ascii="仿宋" w:hAnsi="仿宋" w:eastAsia="仿宋"/>
          <w:sz w:val="32"/>
          <w:szCs w:val="32"/>
        </w:rPr>
        <w:t>。</w:t>
      </w:r>
      <w:r>
        <w:rPr>
          <w:rFonts w:ascii="仿宋" w:hAnsi="仿宋" w:eastAsia="仿宋"/>
          <w:sz w:val="32"/>
          <w:szCs w:val="32"/>
        </w:rPr>
        <w:t>选择部分项目支出开展成本效益分析法</w:t>
      </w:r>
      <w:r>
        <w:rPr>
          <w:rFonts w:hint="eastAsia" w:ascii="仿宋" w:hAnsi="仿宋" w:eastAsia="仿宋"/>
          <w:sz w:val="32"/>
          <w:szCs w:val="32"/>
        </w:rPr>
        <w:t>（投入产出绩效）课题研究，探索总结更多有效的绩效管理方式方法，为提高预算绩效管理水平提供支撑。</w:t>
      </w:r>
    </w:p>
    <w:p w14:paraId="2D71F9C2">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积极推动和试点专项项目自评</w:t>
      </w:r>
      <w:r>
        <w:rPr>
          <w:rFonts w:hint="eastAsia" w:ascii="仿宋" w:hAnsi="仿宋" w:eastAsia="仿宋"/>
          <w:sz w:val="32"/>
          <w:szCs w:val="32"/>
        </w:rPr>
        <w:t>。</w:t>
      </w:r>
      <w:r>
        <w:rPr>
          <w:rFonts w:ascii="仿宋" w:hAnsi="仿宋" w:eastAsia="仿宋"/>
          <w:sz w:val="32"/>
          <w:szCs w:val="32"/>
        </w:rPr>
        <w:t>鼓励</w:t>
      </w:r>
      <w:r>
        <w:rPr>
          <w:rFonts w:hint="eastAsia" w:ascii="仿宋" w:hAnsi="仿宋" w:eastAsia="仿宋"/>
          <w:sz w:val="32"/>
          <w:szCs w:val="32"/>
        </w:rPr>
        <w:t>市</w:t>
      </w:r>
      <w:r>
        <w:rPr>
          <w:rFonts w:ascii="仿宋" w:hAnsi="仿宋" w:eastAsia="仿宋"/>
          <w:sz w:val="32"/>
          <w:szCs w:val="32"/>
        </w:rPr>
        <w:t>级部门围绕</w:t>
      </w:r>
      <w:r>
        <w:rPr>
          <w:rFonts w:hint="eastAsia" w:ascii="仿宋" w:hAnsi="仿宋" w:eastAsia="仿宋"/>
          <w:sz w:val="32"/>
          <w:szCs w:val="32"/>
        </w:rPr>
        <w:t>市</w:t>
      </w:r>
      <w:r>
        <w:rPr>
          <w:rFonts w:ascii="仿宋" w:hAnsi="仿宋" w:eastAsia="仿宋"/>
          <w:sz w:val="32"/>
          <w:szCs w:val="32"/>
        </w:rPr>
        <w:t>委</w:t>
      </w:r>
      <w:r>
        <w:rPr>
          <w:rFonts w:hint="eastAsia" w:ascii="仿宋" w:hAnsi="仿宋" w:eastAsia="仿宋"/>
          <w:sz w:val="32"/>
          <w:szCs w:val="32"/>
        </w:rPr>
        <w:t>、市</w:t>
      </w:r>
      <w:r>
        <w:rPr>
          <w:rFonts w:ascii="仿宋" w:hAnsi="仿宋" w:eastAsia="仿宋"/>
          <w:sz w:val="32"/>
          <w:szCs w:val="32"/>
        </w:rPr>
        <w:t>人民政府年度重大部署和本部门重点工作任务</w:t>
      </w:r>
      <w:r>
        <w:rPr>
          <w:rFonts w:hint="eastAsia" w:ascii="仿宋" w:hAnsi="仿宋" w:eastAsia="仿宋"/>
          <w:sz w:val="32"/>
          <w:szCs w:val="32"/>
        </w:rPr>
        <w:t>，</w:t>
      </w:r>
      <w:r>
        <w:rPr>
          <w:rFonts w:ascii="仿宋" w:hAnsi="仿宋" w:eastAsia="仿宋"/>
          <w:sz w:val="32"/>
          <w:szCs w:val="32"/>
        </w:rPr>
        <w:t>对管理的部门预算项目和专项预算项目开展绩效自评</w:t>
      </w:r>
      <w:r>
        <w:rPr>
          <w:rFonts w:hint="eastAsia" w:ascii="仿宋" w:hAnsi="仿宋" w:eastAsia="仿宋"/>
          <w:sz w:val="32"/>
          <w:szCs w:val="32"/>
        </w:rPr>
        <w:t>，</w:t>
      </w:r>
      <w:r>
        <w:rPr>
          <w:rFonts w:ascii="仿宋" w:hAnsi="仿宋" w:eastAsia="仿宋"/>
          <w:sz w:val="32"/>
          <w:szCs w:val="32"/>
        </w:rPr>
        <w:t>财政局加强该项工作的指导和调研</w:t>
      </w:r>
      <w:r>
        <w:rPr>
          <w:rFonts w:hint="eastAsia" w:ascii="仿宋" w:hAnsi="仿宋" w:eastAsia="仿宋"/>
          <w:sz w:val="32"/>
          <w:szCs w:val="32"/>
        </w:rPr>
        <w:t>。</w:t>
      </w:r>
    </w:p>
    <w:p w14:paraId="3C7E1FEF">
      <w:pPr>
        <w:spacing w:line="560" w:lineRule="exact"/>
        <w:ind w:firstLine="643" w:firstLineChars="200"/>
        <w:rPr>
          <w:rFonts w:ascii="仿宋" w:hAnsi="仿宋" w:eastAsia="仿宋"/>
          <w:b/>
          <w:sz w:val="32"/>
          <w:szCs w:val="32"/>
        </w:rPr>
      </w:pPr>
      <w:r>
        <w:rPr>
          <w:rFonts w:hint="eastAsia" w:ascii="仿宋" w:hAnsi="仿宋" w:eastAsia="仿宋"/>
          <w:b/>
          <w:sz w:val="32"/>
          <w:szCs w:val="32"/>
        </w:rPr>
        <w:t>（三）持续夯实基础支撑体系，推动绩效管理规范实施</w:t>
      </w:r>
    </w:p>
    <w:p w14:paraId="376E0026">
      <w:pPr>
        <w:spacing w:line="560" w:lineRule="exact"/>
        <w:ind w:firstLine="643" w:firstLineChars="200"/>
        <w:rPr>
          <w:rFonts w:ascii="仿宋" w:hAnsi="仿宋" w:eastAsia="仿宋"/>
          <w:b/>
          <w:sz w:val="32"/>
          <w:szCs w:val="32"/>
        </w:rPr>
      </w:pPr>
      <w:r>
        <w:rPr>
          <w:rFonts w:hint="eastAsia" w:ascii="仿宋" w:hAnsi="仿宋" w:eastAsia="仿宋"/>
          <w:b/>
          <w:sz w:val="32"/>
          <w:szCs w:val="32"/>
        </w:rPr>
        <w:t>1、健全绩效管理制度，“1+N”制度体系基本建成</w:t>
      </w:r>
    </w:p>
    <w:p w14:paraId="4EEC9CBE">
      <w:pPr>
        <w:spacing w:line="560" w:lineRule="exact"/>
        <w:ind w:firstLine="640" w:firstLineChars="200"/>
        <w:rPr>
          <w:rFonts w:ascii="仿宋" w:hAnsi="仿宋" w:eastAsia="仿宋"/>
          <w:sz w:val="32"/>
          <w:szCs w:val="32"/>
        </w:rPr>
      </w:pPr>
      <w:r>
        <w:rPr>
          <w:rFonts w:hint="eastAsia" w:ascii="仿宋" w:hAnsi="仿宋" w:eastAsia="仿宋"/>
          <w:sz w:val="32"/>
          <w:szCs w:val="32"/>
        </w:rPr>
        <w:t>参照</w:t>
      </w:r>
      <w:r>
        <w:rPr>
          <w:rFonts w:ascii="仿宋" w:hAnsi="仿宋" w:eastAsia="仿宋"/>
          <w:sz w:val="32"/>
          <w:szCs w:val="32"/>
        </w:rPr>
        <w:t>省财政厅制定的</w:t>
      </w:r>
      <w:r>
        <w:rPr>
          <w:rFonts w:hint="eastAsia" w:ascii="仿宋" w:hAnsi="仿宋" w:eastAsia="仿宋"/>
          <w:sz w:val="32"/>
          <w:szCs w:val="32"/>
        </w:rPr>
        <w:t>《四川省省级部门支出绩效管理办法》《四川省省级政策支出绩效管理办法》《四川省预算绩效指标体系建设管理办法》等制度办法，</w:t>
      </w:r>
      <w:r>
        <w:rPr>
          <w:rFonts w:ascii="仿宋" w:hAnsi="仿宋" w:eastAsia="仿宋"/>
          <w:sz w:val="32"/>
          <w:szCs w:val="32"/>
        </w:rPr>
        <w:t>制定完善我</w:t>
      </w:r>
      <w:r>
        <w:rPr>
          <w:rFonts w:hint="eastAsia" w:ascii="仿宋" w:hAnsi="仿宋" w:eastAsia="仿宋"/>
          <w:sz w:val="32"/>
          <w:szCs w:val="32"/>
        </w:rPr>
        <w:t>市</w:t>
      </w:r>
      <w:r>
        <w:rPr>
          <w:rFonts w:ascii="仿宋" w:hAnsi="仿宋" w:eastAsia="仿宋"/>
          <w:sz w:val="32"/>
          <w:szCs w:val="32"/>
        </w:rPr>
        <w:t>绩效管理相关管理办法</w:t>
      </w:r>
      <w:r>
        <w:rPr>
          <w:rFonts w:hint="eastAsia" w:ascii="仿宋" w:hAnsi="仿宋" w:eastAsia="仿宋"/>
          <w:sz w:val="32"/>
          <w:szCs w:val="32"/>
        </w:rPr>
        <w:t>，“</w:t>
      </w:r>
      <w:r>
        <w:rPr>
          <w:rFonts w:ascii="仿宋" w:hAnsi="仿宋" w:eastAsia="仿宋"/>
          <w:sz w:val="32"/>
          <w:szCs w:val="32"/>
        </w:rPr>
        <w:t>1+N</w:t>
      </w:r>
      <w:r>
        <w:rPr>
          <w:rFonts w:hint="eastAsia" w:ascii="仿宋" w:hAnsi="仿宋" w:eastAsia="仿宋"/>
          <w:sz w:val="32"/>
          <w:szCs w:val="32"/>
        </w:rPr>
        <w:t>”预算绩效管理制度体系基本建成。结合财政厅拟出台的转移支付绩效管理指导意见，出台本市转移支付绩效管理的指导意见，明确转移支付资金全过程预算绩效管理工作规范，推动绩效问责和信息公开。</w:t>
      </w:r>
    </w:p>
    <w:p w14:paraId="54F2676F">
      <w:pPr>
        <w:spacing w:line="560" w:lineRule="exact"/>
        <w:ind w:firstLine="643" w:firstLineChars="200"/>
        <w:rPr>
          <w:rFonts w:ascii="仿宋" w:hAnsi="仿宋" w:eastAsia="仿宋"/>
          <w:b/>
          <w:sz w:val="32"/>
          <w:szCs w:val="32"/>
        </w:rPr>
      </w:pPr>
      <w:r>
        <w:rPr>
          <w:rFonts w:hint="eastAsia" w:ascii="仿宋" w:hAnsi="仿宋" w:eastAsia="仿宋"/>
          <w:b/>
          <w:sz w:val="32"/>
          <w:szCs w:val="32"/>
        </w:rPr>
        <w:t>2、丰富行业个性指标，绩效指标体系不断完善</w:t>
      </w:r>
    </w:p>
    <w:p w14:paraId="0421DF33">
      <w:pPr>
        <w:spacing w:line="560" w:lineRule="exact"/>
        <w:ind w:firstLine="640" w:firstLineChars="200"/>
        <w:rPr>
          <w:rFonts w:ascii="仿宋" w:hAnsi="仿宋" w:eastAsia="仿宋"/>
          <w:sz w:val="32"/>
          <w:szCs w:val="32"/>
        </w:rPr>
      </w:pPr>
      <w:r>
        <w:rPr>
          <w:rFonts w:hint="eastAsia" w:ascii="仿宋" w:hAnsi="仿宋" w:eastAsia="仿宋"/>
          <w:sz w:val="32"/>
          <w:szCs w:val="32"/>
        </w:rPr>
        <w:t>以政策和项目支出绩效评价实践为支撑，不断完善共性绩效指标体系，选取农业、教育科技、交通、医疗卫生等行业开展绩效个性指标建设试点，协调组织相关行业主管部门科学设置分类指标，细化绩效指标评分标准及参考标准值。探索制定二级预算单位整休支出绩效评价的共性指标体系框架。加快实现绩效指标和标准体系科学合理、细化量化、可比可测、动态调整、共建共享，初步形成具有阿坝特色的绩效指标库。</w:t>
      </w:r>
    </w:p>
    <w:p w14:paraId="718CE0B6">
      <w:pPr>
        <w:spacing w:line="560" w:lineRule="exact"/>
        <w:ind w:firstLine="643" w:firstLineChars="200"/>
        <w:rPr>
          <w:rFonts w:ascii="仿宋" w:hAnsi="仿宋" w:eastAsia="仿宋"/>
          <w:b/>
          <w:sz w:val="32"/>
          <w:szCs w:val="32"/>
        </w:rPr>
      </w:pPr>
      <w:r>
        <w:rPr>
          <w:rFonts w:hint="eastAsia" w:ascii="仿宋" w:hAnsi="仿宋" w:eastAsia="仿宋"/>
          <w:b/>
          <w:sz w:val="32"/>
          <w:szCs w:val="32"/>
        </w:rPr>
        <w:t>3、持续加强培训交流，提升绩效管理氛围</w:t>
      </w:r>
    </w:p>
    <w:p w14:paraId="61B0F846">
      <w:pPr>
        <w:spacing w:line="560" w:lineRule="exact"/>
        <w:ind w:firstLine="640" w:firstLineChars="200"/>
        <w:rPr>
          <w:rFonts w:ascii="仿宋" w:hAnsi="仿宋" w:eastAsia="仿宋"/>
          <w:sz w:val="32"/>
          <w:szCs w:val="32"/>
        </w:rPr>
      </w:pPr>
      <w:r>
        <w:rPr>
          <w:rFonts w:hint="eastAsia" w:ascii="仿宋" w:hAnsi="仿宋" w:eastAsia="仿宋"/>
          <w:sz w:val="32"/>
          <w:szCs w:val="32"/>
        </w:rPr>
        <w:t>（1）加强绩效管理培训。着重对预算绩效管理领导层开展绩效管理培训，举办“相关部门分管局领导和工作人员培训班”。针对工作推进中的热点难点问题，适时组织召开座谈会、研讨会、交流会。</w:t>
      </w:r>
    </w:p>
    <w:p w14:paraId="570C1C1B">
      <w:pPr>
        <w:spacing w:line="560" w:lineRule="exact"/>
        <w:ind w:firstLine="640" w:firstLineChars="200"/>
        <w:rPr>
          <w:rFonts w:ascii="仿宋" w:hAnsi="仿宋" w:eastAsia="仿宋"/>
          <w:sz w:val="32"/>
          <w:szCs w:val="32"/>
        </w:rPr>
      </w:pPr>
      <w:r>
        <w:rPr>
          <w:rFonts w:hint="eastAsia" w:ascii="仿宋" w:hAnsi="仿宋" w:eastAsia="仿宋"/>
          <w:sz w:val="32"/>
          <w:szCs w:val="32"/>
        </w:rPr>
        <w:t>（2）多渠道广泛开展宣传活动。充分利用广播电视、报纸杂志、新媒体、实地调研等多种渠道，广泛宣传预算绩效管理重大决策部署，不断增强社会各界绩效理念，营造更加浓厚的“树绩效、讲绩效、用绩效”的氛围。</w:t>
      </w:r>
    </w:p>
    <w:p w14:paraId="4818C9F8">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有针对性地开展调研。结合本</w:t>
      </w:r>
      <w:r>
        <w:rPr>
          <w:rFonts w:hint="eastAsia" w:ascii="仿宋" w:hAnsi="仿宋" w:eastAsia="仿宋"/>
          <w:sz w:val="32"/>
          <w:szCs w:val="32"/>
        </w:rPr>
        <w:t>市</w:t>
      </w:r>
      <w:r>
        <w:rPr>
          <w:rFonts w:ascii="仿宋" w:hAnsi="仿宋" w:eastAsia="仿宋"/>
          <w:sz w:val="32"/>
          <w:szCs w:val="32"/>
        </w:rPr>
        <w:t>预算绩效管理推进中的难点、重点、亮点，以“绩效与预算一体化”为主要内容，适时对</w:t>
      </w:r>
      <w:r>
        <w:rPr>
          <w:rFonts w:hint="eastAsia" w:ascii="仿宋" w:hAnsi="仿宋" w:eastAsia="仿宋"/>
          <w:sz w:val="32"/>
          <w:szCs w:val="32"/>
        </w:rPr>
        <w:t>市</w:t>
      </w:r>
      <w:r>
        <w:rPr>
          <w:rFonts w:ascii="仿宋" w:hAnsi="仿宋" w:eastAsia="仿宋"/>
          <w:sz w:val="32"/>
          <w:szCs w:val="32"/>
        </w:rPr>
        <w:t>级部门开展绩效专题调研，查找短板、汲取经验、研究举措。</w:t>
      </w:r>
    </w:p>
    <w:p w14:paraId="10F8C4BF">
      <w:pPr>
        <w:spacing w:line="560" w:lineRule="exact"/>
        <w:ind w:firstLine="643" w:firstLineChars="200"/>
        <w:rPr>
          <w:rFonts w:hint="eastAsia" w:ascii="仿宋" w:hAnsi="仿宋" w:eastAsia="仿宋"/>
          <w:b/>
          <w:sz w:val="32"/>
          <w:szCs w:val="32"/>
        </w:rPr>
      </w:pPr>
      <w:r>
        <w:rPr>
          <w:rFonts w:hint="eastAsia" w:ascii="仿宋" w:hAnsi="仿宋" w:eastAsia="仿宋"/>
          <w:b/>
          <w:sz w:val="32"/>
          <w:szCs w:val="32"/>
        </w:rPr>
        <w:t>4、初步运行信息平台，提高绩效管理效率</w:t>
      </w:r>
    </w:p>
    <w:p w14:paraId="3A11BF82">
      <w:pPr>
        <w:spacing w:line="560" w:lineRule="exact"/>
        <w:ind w:firstLine="640" w:firstLineChars="200"/>
        <w:rPr>
          <w:rFonts w:ascii="仿宋" w:hAnsi="仿宋" w:eastAsia="仿宋"/>
          <w:sz w:val="32"/>
          <w:szCs w:val="32"/>
        </w:rPr>
      </w:pPr>
      <w:r>
        <w:rPr>
          <w:rFonts w:hint="eastAsia" w:ascii="仿宋" w:hAnsi="仿宋" w:eastAsia="仿宋"/>
          <w:sz w:val="32"/>
          <w:szCs w:val="32"/>
        </w:rPr>
        <w:t>市</w:t>
      </w:r>
      <w:r>
        <w:rPr>
          <w:rFonts w:ascii="仿宋" w:hAnsi="仿宋" w:eastAsia="仿宋"/>
          <w:sz w:val="32"/>
          <w:szCs w:val="32"/>
        </w:rPr>
        <w:t>级“预算绩效管理信息系统”按照大集中模式建成并正式投入运行，全过程预算绩效管理融入平台运行中，实现“系统为主、手工为辅＂的目标，提高预算绩效管理工作效率。同时</w:t>
      </w:r>
      <w:r>
        <w:rPr>
          <w:rFonts w:hint="eastAsia" w:ascii="仿宋" w:hAnsi="仿宋" w:eastAsia="仿宋"/>
          <w:sz w:val="32"/>
          <w:szCs w:val="32"/>
        </w:rPr>
        <w:t>，</w:t>
      </w:r>
      <w:r>
        <w:rPr>
          <w:rFonts w:ascii="仿宋" w:hAnsi="仿宋" w:eastAsia="仿宋"/>
          <w:sz w:val="32"/>
          <w:szCs w:val="32"/>
        </w:rPr>
        <w:t>推动市</w:t>
      </w:r>
      <w:r>
        <w:rPr>
          <w:rFonts w:hint="eastAsia" w:ascii="仿宋" w:hAnsi="仿宋" w:eastAsia="仿宋"/>
          <w:sz w:val="32"/>
          <w:szCs w:val="32"/>
        </w:rPr>
        <w:t>本</w:t>
      </w:r>
      <w:r>
        <w:rPr>
          <w:rFonts w:ascii="仿宋" w:hAnsi="仿宋" w:eastAsia="仿宋"/>
          <w:sz w:val="32"/>
          <w:szCs w:val="32"/>
        </w:rPr>
        <w:t>级加快推进预算绩效管理信息化工作，为预算绩效管理提供支撑平台。</w:t>
      </w:r>
    </w:p>
    <w:p w14:paraId="18342575">
      <w:pPr>
        <w:spacing w:line="560" w:lineRule="exact"/>
        <w:ind w:firstLine="643" w:firstLineChars="200"/>
        <w:rPr>
          <w:rFonts w:ascii="仿宋" w:hAnsi="仿宋" w:eastAsia="仿宋"/>
          <w:b/>
          <w:sz w:val="32"/>
          <w:szCs w:val="32"/>
        </w:rPr>
      </w:pPr>
      <w:r>
        <w:rPr>
          <w:rFonts w:hint="eastAsia" w:ascii="仿宋" w:hAnsi="仿宋" w:eastAsia="仿宋"/>
          <w:b/>
          <w:sz w:val="32"/>
          <w:szCs w:val="32"/>
        </w:rPr>
        <w:t>（四）持续狠抓考核监督体系，推动绩效管理落地落实</w:t>
      </w:r>
    </w:p>
    <w:p w14:paraId="1D773382">
      <w:pPr>
        <w:spacing w:line="560" w:lineRule="exact"/>
        <w:ind w:firstLine="643" w:firstLineChars="200"/>
        <w:rPr>
          <w:rFonts w:ascii="仿宋" w:hAnsi="仿宋" w:eastAsia="仿宋"/>
          <w:b/>
          <w:sz w:val="32"/>
          <w:szCs w:val="32"/>
        </w:rPr>
      </w:pPr>
      <w:r>
        <w:rPr>
          <w:rFonts w:hint="eastAsia" w:ascii="仿宋" w:hAnsi="仿宋" w:eastAsia="仿宋"/>
          <w:b/>
          <w:sz w:val="32"/>
          <w:szCs w:val="32"/>
        </w:rPr>
        <w:t>1、严格执行考核机制</w:t>
      </w:r>
    </w:p>
    <w:p w14:paraId="46DE4AB6">
      <w:pPr>
        <w:spacing w:line="560" w:lineRule="exact"/>
        <w:ind w:firstLine="640" w:firstLineChars="200"/>
        <w:rPr>
          <w:rFonts w:ascii="仿宋" w:hAnsi="仿宋" w:eastAsia="仿宋"/>
          <w:sz w:val="32"/>
          <w:szCs w:val="32"/>
        </w:rPr>
      </w:pPr>
      <w:r>
        <w:rPr>
          <w:rFonts w:ascii="仿宋" w:hAnsi="仿宋" w:eastAsia="仿宋"/>
          <w:sz w:val="32"/>
          <w:szCs w:val="32"/>
        </w:rPr>
        <w:t>一是严格执行将预算绩效管理纳入</w:t>
      </w:r>
      <w:r>
        <w:rPr>
          <w:rFonts w:hint="eastAsia" w:ascii="仿宋" w:hAnsi="仿宋" w:eastAsia="仿宋"/>
          <w:sz w:val="32"/>
          <w:szCs w:val="32"/>
        </w:rPr>
        <w:t>局</w:t>
      </w:r>
      <w:r>
        <w:rPr>
          <w:rFonts w:ascii="仿宋" w:hAnsi="仿宋" w:eastAsia="仿宋"/>
          <w:sz w:val="32"/>
          <w:szCs w:val="32"/>
        </w:rPr>
        <w:t>内相关</w:t>
      </w:r>
      <w:r>
        <w:rPr>
          <w:rFonts w:hint="eastAsia" w:ascii="仿宋" w:hAnsi="仿宋" w:eastAsia="仿宋"/>
          <w:sz w:val="32"/>
          <w:szCs w:val="32"/>
        </w:rPr>
        <w:t>股</w:t>
      </w:r>
      <w:r>
        <w:rPr>
          <w:rFonts w:ascii="仿宋" w:hAnsi="仿宋" w:eastAsia="仿宋"/>
          <w:sz w:val="32"/>
          <w:szCs w:val="32"/>
        </w:rPr>
        <w:t>室年度目标考核工作。二是优化绩效管理考核指标和内容，从重</w:t>
      </w:r>
      <w:r>
        <w:rPr>
          <w:rFonts w:hint="eastAsia" w:ascii="仿宋" w:hAnsi="仿宋" w:eastAsia="仿宋"/>
          <w:sz w:val="32"/>
          <w:szCs w:val="32"/>
        </w:rPr>
        <w:t>“</w:t>
      </w:r>
      <w:r>
        <w:rPr>
          <w:rFonts w:ascii="仿宋" w:hAnsi="仿宋" w:eastAsia="仿宋"/>
          <w:sz w:val="32"/>
          <w:szCs w:val="32"/>
        </w:rPr>
        <w:t>量</w:t>
      </w:r>
      <w:r>
        <w:rPr>
          <w:rFonts w:hint="eastAsia" w:ascii="仿宋" w:hAnsi="仿宋" w:eastAsia="仿宋"/>
          <w:sz w:val="32"/>
          <w:szCs w:val="32"/>
        </w:rPr>
        <w:t>”</w:t>
      </w:r>
      <w:r>
        <w:rPr>
          <w:rFonts w:ascii="仿宋" w:hAnsi="仿宋" w:eastAsia="仿宋"/>
          <w:sz w:val="32"/>
          <w:szCs w:val="32"/>
        </w:rPr>
        <w:t>向“质”转变，凸出绩效工作实效性和导向性。对</w:t>
      </w:r>
      <w:r>
        <w:rPr>
          <w:rFonts w:hint="eastAsia" w:ascii="仿宋" w:hAnsi="仿宋" w:eastAsia="仿宋"/>
          <w:sz w:val="32"/>
          <w:szCs w:val="32"/>
        </w:rPr>
        <w:t>市级</w:t>
      </w:r>
      <w:r>
        <w:rPr>
          <w:rFonts w:ascii="仿宋" w:hAnsi="仿宋" w:eastAsia="仿宋"/>
          <w:sz w:val="32"/>
          <w:szCs w:val="32"/>
        </w:rPr>
        <w:t>部门预算绩效管理及工作考核情况公开通报，考核结果提交</w:t>
      </w:r>
      <w:r>
        <w:rPr>
          <w:rFonts w:hint="eastAsia" w:ascii="仿宋" w:hAnsi="仿宋" w:eastAsia="仿宋"/>
          <w:sz w:val="32"/>
          <w:szCs w:val="32"/>
        </w:rPr>
        <w:t>市</w:t>
      </w:r>
      <w:r>
        <w:rPr>
          <w:rFonts w:ascii="仿宋" w:hAnsi="仿宋" w:eastAsia="仿宋"/>
          <w:sz w:val="32"/>
          <w:szCs w:val="32"/>
        </w:rPr>
        <w:t>委</w:t>
      </w:r>
      <w:r>
        <w:rPr>
          <w:rFonts w:hint="eastAsia" w:ascii="仿宋" w:hAnsi="仿宋" w:eastAsia="仿宋"/>
          <w:sz w:val="32"/>
          <w:szCs w:val="32"/>
        </w:rPr>
        <w:t>市人民</w:t>
      </w:r>
      <w:r>
        <w:rPr>
          <w:rFonts w:ascii="仿宋" w:hAnsi="仿宋" w:eastAsia="仿宋"/>
          <w:sz w:val="32"/>
          <w:szCs w:val="32"/>
        </w:rPr>
        <w:t>政府，计入对</w:t>
      </w:r>
      <w:r>
        <w:rPr>
          <w:rFonts w:hint="eastAsia" w:ascii="仿宋" w:hAnsi="仿宋" w:eastAsia="仿宋"/>
          <w:sz w:val="32"/>
          <w:szCs w:val="32"/>
        </w:rPr>
        <w:t>市</w:t>
      </w:r>
      <w:r>
        <w:rPr>
          <w:rFonts w:ascii="仿宋" w:hAnsi="仿宋" w:eastAsia="仿宋"/>
          <w:sz w:val="32"/>
          <w:szCs w:val="32"/>
        </w:rPr>
        <w:t>级部门和绩效考核分值；将</w:t>
      </w:r>
      <w:r>
        <w:rPr>
          <w:rFonts w:hint="eastAsia" w:ascii="仿宋" w:hAnsi="仿宋" w:eastAsia="仿宋"/>
          <w:sz w:val="32"/>
          <w:szCs w:val="32"/>
        </w:rPr>
        <w:t>市</w:t>
      </w:r>
      <w:r>
        <w:rPr>
          <w:rFonts w:ascii="仿宋" w:hAnsi="仿宋" w:eastAsia="仿宋"/>
          <w:sz w:val="32"/>
          <w:szCs w:val="32"/>
        </w:rPr>
        <w:t>级部门预算绩效管理考核结果报送</w:t>
      </w:r>
      <w:r>
        <w:rPr>
          <w:rFonts w:hint="eastAsia" w:ascii="仿宋" w:hAnsi="仿宋" w:eastAsia="仿宋"/>
          <w:sz w:val="32"/>
          <w:szCs w:val="32"/>
        </w:rPr>
        <w:t>市</w:t>
      </w:r>
      <w:r>
        <w:rPr>
          <w:rFonts w:ascii="仿宋" w:hAnsi="仿宋" w:eastAsia="仿宋"/>
          <w:sz w:val="32"/>
          <w:szCs w:val="32"/>
        </w:rPr>
        <w:t>委组织部，作为</w:t>
      </w:r>
      <w:r>
        <w:rPr>
          <w:rFonts w:hint="eastAsia" w:ascii="仿宋" w:hAnsi="仿宋" w:eastAsia="仿宋"/>
          <w:sz w:val="32"/>
          <w:szCs w:val="32"/>
        </w:rPr>
        <w:t>市</w:t>
      </w:r>
      <w:r>
        <w:rPr>
          <w:rFonts w:ascii="仿宋" w:hAnsi="仿宋" w:eastAsia="仿宋"/>
          <w:sz w:val="32"/>
          <w:szCs w:val="32"/>
        </w:rPr>
        <w:t>管领导班子和领导</w:t>
      </w:r>
      <w:r>
        <w:rPr>
          <w:rFonts w:hint="eastAsia" w:ascii="仿宋" w:hAnsi="仿宋" w:eastAsia="仿宋"/>
          <w:sz w:val="32"/>
          <w:szCs w:val="32"/>
        </w:rPr>
        <w:t>干</w:t>
      </w:r>
      <w:r>
        <w:rPr>
          <w:rFonts w:ascii="仿宋" w:hAnsi="仿宋" w:eastAsia="仿宋"/>
          <w:sz w:val="32"/>
          <w:szCs w:val="32"/>
        </w:rPr>
        <w:t>部年度考核的重要参考。</w:t>
      </w:r>
    </w:p>
    <w:p w14:paraId="190DC75B">
      <w:pPr>
        <w:spacing w:line="56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及时向</w:t>
      </w:r>
      <w:r>
        <w:rPr>
          <w:rFonts w:hint="eastAsia" w:ascii="仿宋" w:hAnsi="仿宋" w:eastAsia="仿宋"/>
          <w:b/>
          <w:sz w:val="32"/>
          <w:szCs w:val="32"/>
        </w:rPr>
        <w:t>市</w:t>
      </w:r>
      <w:r>
        <w:rPr>
          <w:rFonts w:ascii="仿宋" w:hAnsi="仿宋" w:eastAsia="仿宋"/>
          <w:b/>
          <w:sz w:val="32"/>
          <w:szCs w:val="32"/>
        </w:rPr>
        <w:t>人大报告</w:t>
      </w:r>
    </w:p>
    <w:p w14:paraId="18DA1CAC">
      <w:pPr>
        <w:spacing w:line="560" w:lineRule="exact"/>
        <w:ind w:firstLine="640" w:firstLineChars="200"/>
        <w:rPr>
          <w:rFonts w:ascii="仿宋" w:hAnsi="仿宋" w:eastAsia="仿宋"/>
          <w:sz w:val="32"/>
          <w:szCs w:val="32"/>
        </w:rPr>
      </w:pPr>
      <w:r>
        <w:rPr>
          <w:rFonts w:ascii="仿宋" w:hAnsi="仿宋" w:eastAsia="仿宋"/>
          <w:sz w:val="32"/>
          <w:szCs w:val="32"/>
        </w:rPr>
        <w:t>向</w:t>
      </w:r>
      <w:r>
        <w:rPr>
          <w:rFonts w:hint="eastAsia" w:ascii="仿宋" w:hAnsi="仿宋" w:eastAsia="仿宋"/>
          <w:sz w:val="32"/>
          <w:szCs w:val="32"/>
        </w:rPr>
        <w:t>市</w:t>
      </w:r>
      <w:r>
        <w:rPr>
          <w:rFonts w:ascii="仿宋" w:hAnsi="仿宋" w:eastAsia="仿宋"/>
          <w:sz w:val="32"/>
          <w:szCs w:val="32"/>
        </w:rPr>
        <w:t>人大报告年度预算绩效管理工作，重点项目绩效目标和绩效结果与预决算草案同步向人大报送。邀请人大及代表参与重大项目事前绩效评估（评审）、事中绩效监控、事后绩效评价监督。</w:t>
      </w:r>
    </w:p>
    <w:p w14:paraId="41F1A594">
      <w:pPr>
        <w:spacing w:line="560" w:lineRule="exact"/>
        <w:ind w:firstLine="643" w:firstLineChars="200"/>
        <w:rPr>
          <w:rFonts w:ascii="仿宋" w:hAnsi="仿宋" w:eastAsia="仿宋"/>
          <w:b/>
          <w:sz w:val="32"/>
          <w:szCs w:val="32"/>
        </w:rPr>
      </w:pPr>
      <w:r>
        <w:rPr>
          <w:rFonts w:hint="eastAsia" w:ascii="仿宋" w:hAnsi="仿宋" w:eastAsia="仿宋"/>
          <w:b/>
          <w:sz w:val="32"/>
          <w:szCs w:val="32"/>
        </w:rPr>
        <w:t>3、积极落实公开机制</w:t>
      </w:r>
    </w:p>
    <w:p w14:paraId="6600DC1E">
      <w:pPr>
        <w:spacing w:line="560" w:lineRule="exact"/>
        <w:ind w:firstLine="640" w:firstLineChars="200"/>
        <w:rPr>
          <w:rFonts w:ascii="仿宋" w:hAnsi="仿宋" w:eastAsia="仿宋"/>
          <w:sz w:val="32"/>
          <w:szCs w:val="32"/>
        </w:rPr>
      </w:pPr>
      <w:r>
        <w:rPr>
          <w:rFonts w:ascii="仿宋" w:hAnsi="仿宋" w:eastAsia="仿宋"/>
          <w:sz w:val="32"/>
          <w:szCs w:val="32"/>
        </w:rPr>
        <w:t>按照“公开是常态，不公开是例外</w:t>
      </w:r>
      <w:r>
        <w:rPr>
          <w:rFonts w:hint="eastAsia" w:ascii="仿宋" w:hAnsi="仿宋" w:eastAsia="仿宋"/>
          <w:sz w:val="32"/>
          <w:szCs w:val="32"/>
        </w:rPr>
        <w:t>”</w:t>
      </w:r>
      <w:r>
        <w:rPr>
          <w:rFonts w:ascii="仿宋" w:hAnsi="仿宋" w:eastAsia="仿宋"/>
          <w:sz w:val="32"/>
          <w:szCs w:val="32"/>
        </w:rPr>
        <w:t>的原则，提高绩效公开的透明度、及时性、规范性，传导绩效意识，回应社会关切，强化外部监督。除敏感和涉密信息外，公开所有重点部门支出、政策支出、项目支出绩效评价报告；所有部门预算项目和专项转移支付项目绩效目标与预算同步向社会公开；推动重点项目绩效目标完成情况与决算同步向社会公开。及时向</w:t>
      </w:r>
      <w:r>
        <w:rPr>
          <w:rFonts w:hint="eastAsia" w:ascii="仿宋" w:hAnsi="仿宋" w:eastAsia="仿宋"/>
          <w:sz w:val="32"/>
          <w:szCs w:val="32"/>
        </w:rPr>
        <w:t>市</w:t>
      </w:r>
      <w:r>
        <w:rPr>
          <w:rFonts w:ascii="仿宋" w:hAnsi="仿宋" w:eastAsia="仿宋"/>
          <w:sz w:val="32"/>
          <w:szCs w:val="32"/>
        </w:rPr>
        <w:t>人民政府报告预算绩效管理改革进展和结果，推动自上而下传导、关注、强化预算绩效管理。</w:t>
      </w:r>
    </w:p>
    <w:p w14:paraId="0DB1BBAA">
      <w:pPr>
        <w:spacing w:line="560" w:lineRule="exact"/>
        <w:ind w:firstLine="643" w:firstLineChars="200"/>
        <w:rPr>
          <w:rFonts w:ascii="仿宋" w:hAnsi="仿宋" w:eastAsia="仿宋"/>
          <w:b/>
          <w:sz w:val="32"/>
          <w:szCs w:val="32"/>
        </w:rPr>
      </w:pPr>
      <w:r>
        <w:rPr>
          <w:rFonts w:ascii="仿宋" w:hAnsi="仿宋" w:eastAsia="仿宋"/>
          <w:b/>
          <w:sz w:val="32"/>
          <w:szCs w:val="32"/>
        </w:rPr>
        <w:t>三、主要成效</w:t>
      </w:r>
    </w:p>
    <w:p w14:paraId="1444FD69">
      <w:pPr>
        <w:spacing w:line="560" w:lineRule="exact"/>
        <w:ind w:firstLine="640" w:firstLineChars="200"/>
        <w:rPr>
          <w:rFonts w:hint="eastAsia" w:ascii="仿宋" w:hAnsi="仿宋" w:eastAsia="仿宋"/>
          <w:sz w:val="32"/>
          <w:szCs w:val="32"/>
        </w:rPr>
      </w:pPr>
      <w:r>
        <w:rPr>
          <w:rFonts w:ascii="仿宋" w:hAnsi="仿宋" w:eastAsia="仿宋"/>
          <w:sz w:val="32"/>
          <w:szCs w:val="32"/>
        </w:rPr>
        <w:t>通过绩效评价的持续深入开展，全</w:t>
      </w:r>
      <w:r>
        <w:rPr>
          <w:rFonts w:hint="eastAsia" w:ascii="仿宋" w:hAnsi="仿宋" w:eastAsia="仿宋"/>
          <w:sz w:val="32"/>
          <w:szCs w:val="32"/>
        </w:rPr>
        <w:t>市财政</w:t>
      </w:r>
      <w:r>
        <w:rPr>
          <w:rFonts w:ascii="仿宋" w:hAnsi="仿宋" w:eastAsia="仿宋"/>
          <w:sz w:val="32"/>
          <w:szCs w:val="32"/>
        </w:rPr>
        <w:t>管理水平和财政支出绩效不断提高。</w:t>
      </w:r>
    </w:p>
    <w:p w14:paraId="1FFBFE35">
      <w:pPr>
        <w:spacing w:line="560" w:lineRule="exact"/>
        <w:ind w:firstLine="640" w:firstLineChars="200"/>
        <w:rPr>
          <w:rFonts w:ascii="仿宋" w:hAnsi="仿宋" w:eastAsia="仿宋"/>
          <w:sz w:val="32"/>
          <w:szCs w:val="32"/>
        </w:rPr>
      </w:pPr>
      <w:r>
        <w:rPr>
          <w:rFonts w:ascii="仿宋" w:hAnsi="仿宋" w:eastAsia="仿宋"/>
          <w:sz w:val="32"/>
          <w:szCs w:val="32"/>
        </w:rPr>
        <w:t>一是绩效评价范围不断拓展。2020年各县(市)、各部门以绩效评价为抓手，加强对州委州政府关心、社会关注的重大民生工程、脱贫攻坚任务、新冠肺炎防疫资金等项目开展绩效评价。</w:t>
      </w:r>
    </w:p>
    <w:p w14:paraId="2AF3EE3A">
      <w:pPr>
        <w:spacing w:line="560" w:lineRule="exact"/>
        <w:ind w:firstLine="640" w:firstLineChars="200"/>
        <w:rPr>
          <w:rFonts w:ascii="仿宋" w:hAnsi="仿宋" w:eastAsia="仿宋"/>
          <w:sz w:val="32"/>
          <w:szCs w:val="32"/>
        </w:rPr>
      </w:pPr>
      <w:r>
        <w:rPr>
          <w:rFonts w:ascii="仿宋" w:hAnsi="仿宋" w:eastAsia="仿宋"/>
          <w:sz w:val="32"/>
          <w:szCs w:val="32"/>
        </w:rPr>
        <w:t>二是绩效理念逐步树立。对预算绩效评价工作的态度逐渐由“被动接受”变为“主动实施”，部门编制预算时填报整体支出绩效目标和项目支出绩效目标，强化绩效目标的前置管理作用，实现与预算“编审同步、上会同步、批复同步、公开同步”。通过设定绩效目标，部门自我约束意识及责任意识明显提高，“使用财政资金要进行评价，必须讲究效益”的理念逐步形成。</w:t>
      </w:r>
    </w:p>
    <w:p w14:paraId="376B4903">
      <w:pPr>
        <w:spacing w:line="560" w:lineRule="exact"/>
        <w:ind w:firstLine="640" w:firstLineChars="200"/>
        <w:rPr>
          <w:rFonts w:ascii="仿宋" w:hAnsi="仿宋" w:eastAsia="仿宋"/>
          <w:sz w:val="32"/>
          <w:szCs w:val="32"/>
        </w:rPr>
      </w:pPr>
      <w:r>
        <w:rPr>
          <w:rFonts w:ascii="仿宋" w:hAnsi="仿宋" w:eastAsia="仿宋"/>
          <w:sz w:val="32"/>
          <w:szCs w:val="32"/>
        </w:rPr>
        <w:t>三是支出结构不断优化。从单纯的、文字化的事后绩效评价转变以绩效目标管理、事前评估、事中绩效监控相结合的预算绩效的管理方式、行为方式，把预算编制与部门发展规划和绩效目标联系起来，并进行跟踪问效。一方面，促使预算编制更科学、更规范，有利于财政部门优化财政支出结构，合理分配资金，使有限的财政资金发挥更大的效益。另一方面，通过开展绩效评价，在项目单位找出项目开展过程中找到存在的问题及其原因，促使预算部门和单位积极采取措施，加强项目的规划与科学论证，健全项目资金的核算与管理制度，改进资金使用管理方式，逐步形成自我约束、内部规范的良性机制，提高了管理水平和资金使用效益。</w:t>
      </w:r>
    </w:p>
    <w:p w14:paraId="0DAEEA47">
      <w:pPr>
        <w:spacing w:line="560" w:lineRule="exact"/>
        <w:ind w:firstLine="640" w:firstLineChars="200"/>
        <w:rPr>
          <w:rFonts w:ascii="仿宋" w:hAnsi="仿宋" w:eastAsia="仿宋"/>
          <w:sz w:val="32"/>
          <w:szCs w:val="32"/>
        </w:rPr>
      </w:pPr>
      <w:r>
        <w:rPr>
          <w:rFonts w:ascii="仿宋" w:hAnsi="仿宋" w:eastAsia="仿宋"/>
          <w:sz w:val="32"/>
          <w:szCs w:val="32"/>
        </w:rPr>
        <w:t>四是协作合力显著提升。通过市各部门和社会中介机构、项目实施单位的通力合作和广泛参与绩效评价工作，进一步提高了各县(市)、各部门对预算绩效管 理工作的认识。各级财政部门间、财政与主管部门及社会各方间的沟通更加顺畅、配合更加紧密，依法理财、科学理财、 为民理财的整体合力得以显著提升。</w:t>
      </w:r>
    </w:p>
    <w:p w14:paraId="077BC745">
      <w:pPr>
        <w:pStyle w:val="2"/>
        <w:spacing w:before="156" w:after="156" w:line="560" w:lineRule="exact"/>
        <w:ind w:firstLine="643"/>
        <w:rPr>
          <w:rFonts w:hint="eastAsia"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四</w:t>
      </w:r>
      <w:r>
        <w:rPr>
          <w:rFonts w:ascii="仿宋" w:hAnsi="仿宋" w:eastAsia="仿宋" w:cs="Arial"/>
          <w:snapToGrid w:val="0"/>
          <w:color w:val="000000"/>
          <w:kern w:val="0"/>
          <w:sz w:val="32"/>
          <w:szCs w:val="32"/>
        </w:rPr>
        <w:t>、评价工作</w:t>
      </w:r>
      <w:r>
        <w:rPr>
          <w:rFonts w:hint="eastAsia" w:ascii="仿宋" w:hAnsi="仿宋" w:eastAsia="仿宋" w:cs="Arial"/>
          <w:snapToGrid w:val="0"/>
          <w:color w:val="000000"/>
          <w:kern w:val="0"/>
          <w:sz w:val="32"/>
          <w:szCs w:val="32"/>
        </w:rPr>
        <w:t>开展及项目</w:t>
      </w:r>
      <w:r>
        <w:rPr>
          <w:rFonts w:ascii="仿宋" w:hAnsi="仿宋" w:eastAsia="仿宋" w:cs="Arial"/>
          <w:snapToGrid w:val="0"/>
          <w:color w:val="000000"/>
          <w:kern w:val="0"/>
          <w:sz w:val="32"/>
          <w:szCs w:val="32"/>
        </w:rPr>
        <w:t>情况</w:t>
      </w:r>
    </w:p>
    <w:p w14:paraId="5011D4EF">
      <w:pPr>
        <w:tabs>
          <w:tab w:val="center" w:pos="4405"/>
        </w:tabs>
        <w:overflowPunct w:val="0"/>
        <w:spacing w:line="560" w:lineRule="exact"/>
        <w:ind w:firstLine="472" w:firstLineChars="147"/>
        <w:rPr>
          <w:rFonts w:ascii="黑体" w:hAnsi="黑体" w:eastAsia="仿宋" w:cs="黑体"/>
          <w:b/>
          <w:bCs/>
          <w:sz w:val="32"/>
          <w:szCs w:val="30"/>
        </w:rPr>
      </w:pPr>
      <w:r>
        <w:rPr>
          <w:rFonts w:hint="eastAsia" w:ascii="黑体" w:hAnsi="黑体" w:eastAsia="仿宋" w:cs="黑体"/>
          <w:b/>
          <w:bCs/>
          <w:sz w:val="32"/>
          <w:szCs w:val="30"/>
        </w:rPr>
        <w:t>（一）项目基本情况</w:t>
      </w:r>
    </w:p>
    <w:p w14:paraId="17488808">
      <w:pPr>
        <w:spacing w:line="560" w:lineRule="exact"/>
        <w:ind w:firstLine="560"/>
        <w:rPr>
          <w:rFonts w:ascii="仿宋_GB2312" w:hAnsi="宋体" w:eastAsia="仿宋" w:cs="宋体"/>
          <w:sz w:val="32"/>
          <w:szCs w:val="28"/>
          <w:shd w:val="clear" w:color="auto" w:fill="FFFFFF"/>
        </w:rPr>
      </w:pPr>
      <w:r>
        <w:rPr>
          <w:rFonts w:hint="eastAsia" w:ascii="仿宋_GB2312" w:hAnsi="宋体" w:eastAsia="仿宋" w:cs="宋体"/>
          <w:sz w:val="32"/>
          <w:szCs w:val="28"/>
          <w:shd w:val="clear" w:color="auto" w:fill="FFFFFF"/>
        </w:rPr>
        <w:t>20</w:t>
      </w:r>
      <w:r>
        <w:rPr>
          <w:rFonts w:ascii="仿宋_GB2312" w:hAnsi="宋体" w:eastAsia="仿宋" w:cs="宋体"/>
          <w:sz w:val="32"/>
          <w:szCs w:val="28"/>
          <w:shd w:val="clear" w:color="auto" w:fill="FFFFFF"/>
        </w:rPr>
        <w:t>20</w:t>
      </w:r>
      <w:r>
        <w:rPr>
          <w:rFonts w:hint="eastAsia" w:ascii="仿宋_GB2312" w:hAnsi="宋体" w:eastAsia="仿宋" w:cs="宋体"/>
          <w:sz w:val="32"/>
          <w:szCs w:val="28"/>
          <w:shd w:val="clear" w:color="auto" w:fill="FFFFFF"/>
        </w:rPr>
        <w:t>年</w:t>
      </w:r>
      <w:r>
        <w:rPr>
          <w:rFonts w:ascii="仿宋_GB2312" w:hAnsi="宋体" w:eastAsia="仿宋" w:cs="宋体"/>
          <w:sz w:val="32"/>
          <w:szCs w:val="28"/>
          <w:shd w:val="clear" w:color="auto" w:fill="FFFFFF"/>
        </w:rPr>
        <w:t>9</w:t>
      </w:r>
      <w:r>
        <w:rPr>
          <w:rFonts w:hint="eastAsia" w:ascii="仿宋_GB2312" w:hAnsi="宋体" w:eastAsia="仿宋" w:cs="宋体"/>
          <w:sz w:val="32"/>
          <w:szCs w:val="28"/>
          <w:shd w:val="clear" w:color="auto" w:fill="FFFFFF"/>
        </w:rPr>
        <w:t>月</w:t>
      </w:r>
      <w:r>
        <w:rPr>
          <w:rFonts w:ascii="仿宋_GB2312" w:hAnsi="宋体" w:eastAsia="仿宋" w:cs="宋体"/>
          <w:sz w:val="32"/>
          <w:szCs w:val="28"/>
          <w:shd w:val="clear" w:color="auto" w:fill="FFFFFF"/>
        </w:rPr>
        <w:t>8</w:t>
      </w:r>
      <w:r>
        <w:rPr>
          <w:rFonts w:hint="eastAsia" w:ascii="仿宋_GB2312" w:hAnsi="宋体" w:eastAsia="仿宋" w:cs="宋体"/>
          <w:sz w:val="32"/>
          <w:szCs w:val="28"/>
          <w:shd w:val="clear" w:color="auto" w:fill="FFFFFF"/>
        </w:rPr>
        <w:t>日-</w:t>
      </w:r>
      <w:r>
        <w:rPr>
          <w:rFonts w:ascii="仿宋_GB2312" w:hAnsi="宋体" w:eastAsia="仿宋" w:cs="宋体"/>
          <w:sz w:val="32"/>
          <w:szCs w:val="28"/>
          <w:shd w:val="clear" w:color="auto" w:fill="FFFFFF"/>
        </w:rPr>
        <w:t>10</w:t>
      </w:r>
      <w:r>
        <w:rPr>
          <w:rFonts w:hint="eastAsia" w:ascii="仿宋_GB2312" w:hAnsi="宋体" w:eastAsia="仿宋" w:cs="宋体"/>
          <w:sz w:val="32"/>
          <w:szCs w:val="28"/>
          <w:shd w:val="clear" w:color="auto" w:fill="FFFFFF"/>
        </w:rPr>
        <w:t>月</w:t>
      </w:r>
      <w:r>
        <w:rPr>
          <w:rFonts w:ascii="仿宋_GB2312" w:hAnsi="宋体" w:eastAsia="仿宋" w:cs="宋体"/>
          <w:sz w:val="32"/>
          <w:szCs w:val="28"/>
          <w:shd w:val="clear" w:color="auto" w:fill="FFFFFF"/>
        </w:rPr>
        <w:t>31</w:t>
      </w:r>
      <w:r>
        <w:rPr>
          <w:rFonts w:hint="eastAsia" w:ascii="仿宋_GB2312" w:hAnsi="宋体" w:eastAsia="仿宋" w:cs="宋体"/>
          <w:sz w:val="32"/>
          <w:szCs w:val="28"/>
          <w:shd w:val="clear" w:color="auto" w:fill="FFFFFF"/>
        </w:rPr>
        <w:t>日我们通过查阅资料、询问相关人员、现场查看、问卷调查等方式对马尔康市20</w:t>
      </w:r>
      <w:r>
        <w:rPr>
          <w:rFonts w:ascii="仿宋_GB2312" w:hAnsi="宋体" w:eastAsia="仿宋" w:cs="宋体"/>
          <w:sz w:val="32"/>
          <w:szCs w:val="28"/>
          <w:shd w:val="clear" w:color="auto" w:fill="FFFFFF"/>
        </w:rPr>
        <w:t>20</w:t>
      </w:r>
      <w:r>
        <w:rPr>
          <w:rFonts w:hint="eastAsia" w:ascii="仿宋_GB2312" w:hAnsi="宋体" w:eastAsia="仿宋" w:cs="宋体"/>
          <w:sz w:val="32"/>
          <w:szCs w:val="28"/>
          <w:shd w:val="clear" w:color="auto" w:fill="FFFFFF"/>
        </w:rPr>
        <w:t>年财政支出项目进行了现场评价。本次绩效评价共包含2</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个项目支出、</w:t>
      </w:r>
      <w:r>
        <w:rPr>
          <w:rFonts w:ascii="仿宋_GB2312" w:hAnsi="宋体" w:eastAsia="仿宋" w:cs="宋体"/>
          <w:sz w:val="32"/>
          <w:szCs w:val="28"/>
          <w:shd w:val="clear" w:color="auto" w:fill="FFFFFF"/>
        </w:rPr>
        <w:t>5</w:t>
      </w:r>
      <w:r>
        <w:rPr>
          <w:rFonts w:hint="eastAsia" w:ascii="仿宋_GB2312" w:hAnsi="宋体" w:eastAsia="仿宋" w:cs="宋体"/>
          <w:sz w:val="32"/>
          <w:szCs w:val="28"/>
          <w:shd w:val="clear" w:color="auto" w:fill="FFFFFF"/>
        </w:rPr>
        <w:t>个财政政策和1</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个部门整体支出，涉及</w:t>
      </w:r>
      <w:r>
        <w:rPr>
          <w:rFonts w:ascii="仿宋_GB2312" w:hAnsi="宋体" w:eastAsia="仿宋" w:cs="宋体"/>
          <w:sz w:val="32"/>
          <w:szCs w:val="28"/>
          <w:shd w:val="clear" w:color="auto" w:fill="FFFFFF"/>
        </w:rPr>
        <w:t>46</w:t>
      </w:r>
      <w:r>
        <w:rPr>
          <w:rFonts w:hint="eastAsia" w:ascii="仿宋_GB2312" w:hAnsi="宋体" w:eastAsia="仿宋" w:cs="宋体"/>
          <w:sz w:val="32"/>
          <w:szCs w:val="28"/>
          <w:shd w:val="clear" w:color="auto" w:fill="FFFFFF"/>
        </w:rPr>
        <w:t>个被评价单位，涉及项目支出评价资金</w:t>
      </w:r>
      <w:r>
        <w:rPr>
          <w:rFonts w:ascii="仿宋_GB2312" w:hAnsi="宋体" w:eastAsia="仿宋" w:cs="宋体"/>
          <w:sz w:val="32"/>
          <w:szCs w:val="28"/>
          <w:shd w:val="clear" w:color="auto" w:fill="FFFFFF"/>
        </w:rPr>
        <w:t>26,677.69</w:t>
      </w:r>
      <w:r>
        <w:rPr>
          <w:rFonts w:hint="eastAsia" w:ascii="仿宋_GB2312" w:hAnsi="宋体" w:eastAsia="仿宋" w:cs="宋体"/>
          <w:sz w:val="32"/>
          <w:szCs w:val="28"/>
          <w:shd w:val="clear" w:color="auto" w:fill="FFFFFF"/>
        </w:rPr>
        <w:t>万元。</w:t>
      </w:r>
    </w:p>
    <w:p w14:paraId="7FAE0C3C">
      <w:pPr>
        <w:tabs>
          <w:tab w:val="center" w:pos="4405"/>
        </w:tabs>
        <w:overflowPunct w:val="0"/>
        <w:spacing w:line="560" w:lineRule="exact"/>
        <w:ind w:firstLine="472" w:firstLineChars="147"/>
        <w:rPr>
          <w:rFonts w:ascii="黑体" w:hAnsi="黑体" w:eastAsia="仿宋" w:cs="黑体"/>
          <w:b/>
          <w:bCs/>
          <w:sz w:val="32"/>
          <w:szCs w:val="30"/>
        </w:rPr>
      </w:pPr>
      <w:r>
        <w:rPr>
          <w:rFonts w:hint="eastAsia" w:ascii="黑体" w:hAnsi="黑体" w:eastAsia="仿宋" w:cs="黑体"/>
          <w:b/>
          <w:bCs/>
          <w:sz w:val="32"/>
          <w:szCs w:val="30"/>
        </w:rPr>
        <w:t>（二）评价结论</w:t>
      </w:r>
    </w:p>
    <w:p w14:paraId="2698A012">
      <w:pPr>
        <w:spacing w:line="560" w:lineRule="exact"/>
        <w:ind w:firstLine="643"/>
        <w:rPr>
          <w:rFonts w:hint="eastAsia" w:ascii="楷体_GB2312" w:hAnsi="楷体_GB2312" w:eastAsia="仿宋" w:cs="楷体_GB2312"/>
          <w:bCs/>
          <w:sz w:val="32"/>
          <w:szCs w:val="32"/>
          <w:lang w:bidi="ar"/>
        </w:rPr>
      </w:pPr>
      <w:bookmarkStart w:id="0" w:name="_Hlk57726394"/>
      <w:r>
        <w:rPr>
          <w:rFonts w:hint="eastAsia" w:ascii="楷体_GB2312" w:hAnsi="楷体_GB2312" w:eastAsia="仿宋" w:cs="楷体_GB2312"/>
          <w:bCs/>
          <w:sz w:val="32"/>
          <w:szCs w:val="32"/>
          <w:lang w:bidi="ar"/>
        </w:rPr>
        <w:t>1、项目支出</w:t>
      </w:r>
    </w:p>
    <w:p w14:paraId="50EC022E">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通过数据采集、归纳、分析、问卷调查等方法对本项目绩效进行客观评价，最终评分为</w:t>
      </w:r>
      <w:r>
        <w:rPr>
          <w:rFonts w:ascii="仿宋_GB2312" w:hAnsi="宋体" w:eastAsia="仿宋" w:cs="仿宋_GB2312"/>
          <w:sz w:val="32"/>
          <w:szCs w:val="28"/>
          <w:lang w:bidi="ar"/>
        </w:rPr>
        <w:t>78.50</w:t>
      </w:r>
      <w:r>
        <w:rPr>
          <w:rFonts w:hint="eastAsia" w:ascii="仿宋_GB2312" w:hAnsi="宋体" w:eastAsia="仿宋" w:cs="仿宋_GB2312"/>
          <w:sz w:val="32"/>
          <w:szCs w:val="28"/>
          <w:lang w:bidi="ar"/>
        </w:rPr>
        <w:t>。其中，项目决策类指标权重20分，实得</w:t>
      </w:r>
      <w:r>
        <w:rPr>
          <w:rFonts w:ascii="仿宋_GB2312" w:hAnsi="宋体" w:eastAsia="仿宋" w:cs="仿宋_GB2312"/>
          <w:sz w:val="32"/>
          <w:szCs w:val="28"/>
          <w:lang w:bidi="ar"/>
        </w:rPr>
        <w:t>13.72</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68.60</w:t>
      </w:r>
      <w:r>
        <w:rPr>
          <w:rFonts w:hint="eastAsia" w:ascii="仿宋_GB2312" w:hAnsi="宋体" w:eastAsia="仿宋" w:cs="仿宋_GB2312"/>
          <w:sz w:val="32"/>
          <w:szCs w:val="28"/>
          <w:lang w:bidi="ar"/>
        </w:rPr>
        <w:t>%；项目管理类指标权重10分，实得</w:t>
      </w:r>
      <w:r>
        <w:rPr>
          <w:rFonts w:ascii="仿宋_GB2312" w:hAnsi="宋体" w:eastAsia="仿宋" w:cs="仿宋_GB2312"/>
          <w:sz w:val="32"/>
          <w:szCs w:val="28"/>
          <w:lang w:bidi="ar"/>
        </w:rPr>
        <w:t>7.30</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73.00</w:t>
      </w:r>
      <w:r>
        <w:rPr>
          <w:rFonts w:hint="eastAsia" w:ascii="仿宋_GB2312" w:hAnsi="宋体" w:eastAsia="仿宋" w:cs="仿宋_GB2312"/>
          <w:sz w:val="32"/>
          <w:szCs w:val="28"/>
          <w:lang w:bidi="ar"/>
        </w:rPr>
        <w:t>%；项目绩效类指标权重70分，实得</w:t>
      </w:r>
      <w:r>
        <w:rPr>
          <w:rFonts w:ascii="仿宋_GB2312" w:hAnsi="宋体" w:eastAsia="仿宋" w:cs="仿宋_GB2312"/>
          <w:sz w:val="32"/>
          <w:szCs w:val="28"/>
          <w:lang w:bidi="ar"/>
        </w:rPr>
        <w:t>57.48</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82.11</w:t>
      </w:r>
      <w:r>
        <w:rPr>
          <w:rFonts w:hint="eastAsia" w:ascii="仿宋_GB2312" w:hAnsi="宋体" w:eastAsia="仿宋" w:cs="仿宋_GB2312"/>
          <w:sz w:val="32"/>
          <w:szCs w:val="28"/>
          <w:lang w:bidi="ar"/>
        </w:rPr>
        <w:t>%。</w:t>
      </w:r>
    </w:p>
    <w:p w14:paraId="4904FDC0">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具体得分情况如下：</w:t>
      </w:r>
    </w:p>
    <w:p w14:paraId="1D19E91D">
      <w:pPr>
        <w:spacing w:line="560" w:lineRule="exact"/>
        <w:jc w:val="center"/>
        <w:rPr>
          <w:rFonts w:ascii="仿宋_GB2312" w:hAnsi="宋体" w:eastAsia="仿宋" w:cs="仿宋_GB2312"/>
          <w:bCs/>
          <w:sz w:val="32"/>
          <w:lang w:bidi="ar"/>
        </w:rPr>
      </w:pPr>
      <w:r>
        <w:rPr>
          <w:rFonts w:hint="eastAsia" w:ascii="仿宋_GB2312" w:hAnsi="宋体" w:eastAsia="仿宋" w:cs="仿宋_GB2312"/>
          <w:bCs/>
          <w:sz w:val="32"/>
          <w:lang w:bidi="ar"/>
        </w:rPr>
        <w:t>表3 项目支出评分结果汇总表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1"/>
        <w:gridCol w:w="2144"/>
        <w:gridCol w:w="2144"/>
        <w:gridCol w:w="2143"/>
      </w:tblGrid>
      <w:tr w14:paraId="47FF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D7D7D7"/>
            <w:vAlign w:val="center"/>
          </w:tcPr>
          <w:p w14:paraId="09105A4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指标</w:t>
            </w:r>
          </w:p>
        </w:tc>
        <w:tc>
          <w:tcPr>
            <w:tcW w:w="1191" w:type="pct"/>
            <w:shd w:val="clear" w:color="auto" w:fill="D7D7D7"/>
            <w:vAlign w:val="center"/>
          </w:tcPr>
          <w:p w14:paraId="123FCDB7">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权重</w:t>
            </w:r>
          </w:p>
        </w:tc>
        <w:tc>
          <w:tcPr>
            <w:tcW w:w="1191" w:type="pct"/>
            <w:shd w:val="clear" w:color="auto" w:fill="D7D7D7"/>
            <w:vAlign w:val="center"/>
          </w:tcPr>
          <w:p w14:paraId="40B70A9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得分</w:t>
            </w:r>
          </w:p>
        </w:tc>
        <w:tc>
          <w:tcPr>
            <w:tcW w:w="1191" w:type="pct"/>
            <w:shd w:val="clear" w:color="auto" w:fill="D7D7D7"/>
            <w:vAlign w:val="center"/>
          </w:tcPr>
          <w:p w14:paraId="75E3F94F">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得分率</w:t>
            </w:r>
          </w:p>
        </w:tc>
      </w:tr>
      <w:tr w14:paraId="2245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6622F41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项目决策</w:t>
            </w:r>
          </w:p>
        </w:tc>
        <w:tc>
          <w:tcPr>
            <w:tcW w:w="1191" w:type="pct"/>
            <w:shd w:val="clear" w:color="auto" w:fill="auto"/>
            <w:vAlign w:val="center"/>
          </w:tcPr>
          <w:p w14:paraId="49FDDEB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20.00</w:t>
            </w:r>
          </w:p>
        </w:tc>
        <w:tc>
          <w:tcPr>
            <w:tcW w:w="1191" w:type="pct"/>
            <w:shd w:val="clear" w:color="auto" w:fill="auto"/>
          </w:tcPr>
          <w:p w14:paraId="20BB043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13.72</w:t>
            </w:r>
          </w:p>
        </w:tc>
        <w:tc>
          <w:tcPr>
            <w:tcW w:w="1191" w:type="pct"/>
            <w:shd w:val="clear" w:color="auto" w:fill="auto"/>
          </w:tcPr>
          <w:p w14:paraId="714F92A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68.60%</w:t>
            </w:r>
          </w:p>
        </w:tc>
      </w:tr>
      <w:tr w14:paraId="39F0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701F574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项目管理</w:t>
            </w:r>
          </w:p>
        </w:tc>
        <w:tc>
          <w:tcPr>
            <w:tcW w:w="1191" w:type="pct"/>
            <w:shd w:val="clear" w:color="auto" w:fill="auto"/>
            <w:vAlign w:val="center"/>
          </w:tcPr>
          <w:p w14:paraId="2F3005A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10.00</w:t>
            </w:r>
          </w:p>
        </w:tc>
        <w:tc>
          <w:tcPr>
            <w:tcW w:w="1191" w:type="pct"/>
            <w:shd w:val="clear" w:color="auto" w:fill="auto"/>
          </w:tcPr>
          <w:p w14:paraId="7177BE0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7.3</w:t>
            </w:r>
          </w:p>
        </w:tc>
        <w:tc>
          <w:tcPr>
            <w:tcW w:w="1191" w:type="pct"/>
            <w:shd w:val="clear" w:color="auto" w:fill="auto"/>
          </w:tcPr>
          <w:p w14:paraId="181CF6A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73.00%</w:t>
            </w:r>
          </w:p>
        </w:tc>
      </w:tr>
      <w:tr w14:paraId="4B1C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062056B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项目效果</w:t>
            </w:r>
          </w:p>
        </w:tc>
        <w:tc>
          <w:tcPr>
            <w:tcW w:w="1191" w:type="pct"/>
            <w:shd w:val="clear" w:color="auto" w:fill="auto"/>
            <w:vAlign w:val="center"/>
          </w:tcPr>
          <w:p w14:paraId="2F4FF496">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70.00</w:t>
            </w:r>
          </w:p>
        </w:tc>
        <w:tc>
          <w:tcPr>
            <w:tcW w:w="1191" w:type="pct"/>
            <w:shd w:val="clear" w:color="auto" w:fill="auto"/>
          </w:tcPr>
          <w:p w14:paraId="4930674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57.48</w:t>
            </w:r>
          </w:p>
        </w:tc>
        <w:tc>
          <w:tcPr>
            <w:tcW w:w="1191" w:type="pct"/>
            <w:shd w:val="clear" w:color="auto" w:fill="auto"/>
          </w:tcPr>
          <w:p w14:paraId="12C350D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82.11%</w:t>
            </w:r>
          </w:p>
        </w:tc>
      </w:tr>
      <w:tr w14:paraId="5FDD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BEBEBE"/>
            <w:vAlign w:val="center"/>
          </w:tcPr>
          <w:p w14:paraId="66C6078C">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合计</w:t>
            </w:r>
          </w:p>
        </w:tc>
        <w:tc>
          <w:tcPr>
            <w:tcW w:w="1191" w:type="pct"/>
            <w:shd w:val="clear" w:color="auto" w:fill="BEBEBE"/>
            <w:vAlign w:val="center"/>
          </w:tcPr>
          <w:p w14:paraId="03272447">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100.00</w:t>
            </w:r>
          </w:p>
        </w:tc>
        <w:tc>
          <w:tcPr>
            <w:tcW w:w="1191" w:type="pct"/>
            <w:shd w:val="clear" w:color="auto" w:fill="BEBEBE"/>
          </w:tcPr>
          <w:p w14:paraId="10B5D6D8">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78.50</w:t>
            </w:r>
          </w:p>
        </w:tc>
        <w:tc>
          <w:tcPr>
            <w:tcW w:w="1191" w:type="pct"/>
            <w:shd w:val="clear" w:color="auto" w:fill="BEBEBE"/>
            <w:vAlign w:val="center"/>
          </w:tcPr>
          <w:p w14:paraId="5004295E">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78.50%</w:t>
            </w:r>
          </w:p>
        </w:tc>
      </w:tr>
      <w:bookmarkEnd w:id="0"/>
    </w:tbl>
    <w:p w14:paraId="23FDDE29">
      <w:pPr>
        <w:spacing w:line="560" w:lineRule="exact"/>
        <w:rPr>
          <w:rFonts w:ascii="楷体_GB2312" w:hAnsi="楷体_GB2312" w:eastAsia="仿宋" w:cs="楷体_GB2312"/>
          <w:bCs/>
          <w:sz w:val="32"/>
          <w:szCs w:val="32"/>
          <w:highlight w:val="yellow"/>
          <w:lang w:bidi="ar"/>
        </w:rPr>
      </w:pPr>
    </w:p>
    <w:p w14:paraId="5B93D074">
      <w:pPr>
        <w:spacing w:line="560" w:lineRule="exact"/>
        <w:ind w:firstLine="643"/>
        <w:rPr>
          <w:rFonts w:hint="eastAsia" w:ascii="楷体_GB2312" w:hAnsi="楷体_GB2312" w:eastAsia="仿宋" w:cs="楷体_GB2312"/>
          <w:bCs/>
          <w:sz w:val="32"/>
          <w:szCs w:val="32"/>
          <w:lang w:bidi="ar"/>
        </w:rPr>
      </w:pPr>
      <w:r>
        <w:rPr>
          <w:rFonts w:hint="eastAsia" w:ascii="楷体_GB2312" w:hAnsi="楷体_GB2312" w:eastAsia="仿宋" w:cs="楷体_GB2312"/>
          <w:bCs/>
          <w:sz w:val="32"/>
          <w:szCs w:val="32"/>
          <w:lang w:bidi="ar"/>
        </w:rPr>
        <w:t>2、部门整体支出</w:t>
      </w:r>
    </w:p>
    <w:p w14:paraId="6B74DEEC">
      <w:pPr>
        <w:spacing w:line="560" w:lineRule="exact"/>
        <w:ind w:firstLine="560"/>
        <w:rPr>
          <w:rFonts w:ascii="仿宋_GB2312" w:hAnsi="宋体" w:eastAsia="仿宋"/>
          <w:sz w:val="32"/>
          <w:szCs w:val="28"/>
        </w:rPr>
      </w:pPr>
      <w:r>
        <w:rPr>
          <w:rFonts w:hint="eastAsia" w:ascii="仿宋_GB2312" w:hAnsi="宋体" w:eastAsia="仿宋"/>
          <w:sz w:val="32"/>
          <w:szCs w:val="28"/>
        </w:rPr>
        <w:t>通过数据采集、归纳、分析等方法对本项目绩效进行客观评价，最终评分为80.37分。其中，预算编制类指标权重10分，实得8.35分，得分率为83.45%；预算执行类指标权重20分，实得16.40分，得分率为82.00%；综合管理类指标权重40分，实得30.98分，得分率为77.44%；整体效益类指标权重30分，实得24.67分，得分率为82.23%。</w:t>
      </w:r>
    </w:p>
    <w:p w14:paraId="5826DDFF">
      <w:pPr>
        <w:spacing w:line="560" w:lineRule="exact"/>
        <w:ind w:firstLine="560"/>
        <w:rPr>
          <w:rFonts w:hint="eastAsia" w:ascii="仿宋_GB2312" w:hAnsi="宋体" w:eastAsia="仿宋" w:cs="仿宋_GB2312"/>
          <w:bCs/>
          <w:sz w:val="32"/>
          <w:lang w:bidi="ar"/>
        </w:rPr>
      </w:pPr>
      <w:r>
        <w:rPr>
          <w:rFonts w:hint="eastAsia" w:ascii="仿宋_GB2312" w:hAnsi="宋体" w:eastAsia="仿宋" w:cs="仿宋_GB2312"/>
          <w:sz w:val="32"/>
          <w:szCs w:val="28"/>
          <w:lang w:bidi="ar"/>
        </w:rPr>
        <w:t>具体得分情况如下：</w:t>
      </w:r>
    </w:p>
    <w:p w14:paraId="593BC9F3">
      <w:pPr>
        <w:spacing w:line="560" w:lineRule="exact"/>
        <w:jc w:val="center"/>
        <w:rPr>
          <w:rFonts w:ascii="仿宋_GB2312" w:hAnsi="宋体" w:eastAsia="仿宋" w:cs="仿宋_GB2312"/>
          <w:bCs/>
          <w:sz w:val="32"/>
          <w:lang w:bidi="ar"/>
        </w:rPr>
      </w:pPr>
      <w:r>
        <w:rPr>
          <w:rFonts w:hint="eastAsia" w:ascii="仿宋_GB2312" w:hAnsi="宋体" w:eastAsia="仿宋" w:cs="仿宋_GB2312"/>
          <w:bCs/>
          <w:sz w:val="32"/>
          <w:lang w:bidi="ar"/>
        </w:rPr>
        <w:t>部门整体支出评分结果汇总表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4"/>
        <w:gridCol w:w="1962"/>
        <w:gridCol w:w="1962"/>
        <w:gridCol w:w="1962"/>
      </w:tblGrid>
      <w:tr w14:paraId="50CE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354" w:type="dxa"/>
            <w:shd w:val="clear" w:color="auto" w:fill="D7D7D7"/>
            <w:vAlign w:val="center"/>
          </w:tcPr>
          <w:p w14:paraId="42D75C28">
            <w:pPr>
              <w:spacing w:line="560" w:lineRule="exact"/>
              <w:ind w:firstLine="422"/>
              <w:jc w:val="center"/>
              <w:rPr>
                <w:rFonts w:ascii="仿宋_GB2312" w:hAnsi="宋体" w:eastAsia="仿宋"/>
                <w:bCs/>
                <w:sz w:val="32"/>
              </w:rPr>
            </w:pPr>
            <w:r>
              <w:rPr>
                <w:rFonts w:ascii="仿宋_GB2312" w:hAnsi="宋体" w:eastAsia="仿宋"/>
                <w:bCs/>
                <w:sz w:val="32"/>
              </w:rPr>
              <w:t>指标</w:t>
            </w:r>
          </w:p>
        </w:tc>
        <w:tc>
          <w:tcPr>
            <w:tcW w:w="1962" w:type="dxa"/>
            <w:shd w:val="clear" w:color="auto" w:fill="D7D7D7"/>
            <w:vAlign w:val="center"/>
          </w:tcPr>
          <w:p w14:paraId="433510FB">
            <w:pPr>
              <w:spacing w:line="560" w:lineRule="exact"/>
              <w:jc w:val="center"/>
              <w:rPr>
                <w:rFonts w:ascii="仿宋_GB2312" w:hAnsi="宋体" w:eastAsia="仿宋"/>
                <w:bCs/>
                <w:sz w:val="32"/>
              </w:rPr>
            </w:pPr>
            <w:r>
              <w:rPr>
                <w:rFonts w:ascii="仿宋_GB2312" w:hAnsi="宋体" w:eastAsia="仿宋"/>
                <w:bCs/>
                <w:sz w:val="32"/>
              </w:rPr>
              <w:t>权重</w:t>
            </w:r>
          </w:p>
        </w:tc>
        <w:tc>
          <w:tcPr>
            <w:tcW w:w="1962" w:type="dxa"/>
            <w:shd w:val="clear" w:color="auto" w:fill="D7D7D7"/>
            <w:vAlign w:val="center"/>
          </w:tcPr>
          <w:p w14:paraId="17FF8BA4">
            <w:pPr>
              <w:spacing w:line="560" w:lineRule="exact"/>
              <w:jc w:val="center"/>
              <w:rPr>
                <w:rFonts w:ascii="仿宋_GB2312" w:hAnsi="宋体" w:eastAsia="仿宋"/>
                <w:bCs/>
                <w:sz w:val="32"/>
              </w:rPr>
            </w:pPr>
            <w:r>
              <w:rPr>
                <w:rFonts w:ascii="仿宋_GB2312" w:hAnsi="宋体" w:eastAsia="仿宋"/>
                <w:bCs/>
                <w:sz w:val="32"/>
              </w:rPr>
              <w:t>得分</w:t>
            </w:r>
          </w:p>
        </w:tc>
        <w:tc>
          <w:tcPr>
            <w:tcW w:w="1962" w:type="dxa"/>
            <w:shd w:val="clear" w:color="auto" w:fill="D7D7D7"/>
            <w:vAlign w:val="center"/>
          </w:tcPr>
          <w:p w14:paraId="7EC08A6B">
            <w:pPr>
              <w:spacing w:line="560" w:lineRule="exact"/>
              <w:jc w:val="center"/>
              <w:rPr>
                <w:rFonts w:ascii="仿宋_GB2312" w:hAnsi="宋体" w:eastAsia="仿宋"/>
                <w:bCs/>
                <w:sz w:val="32"/>
              </w:rPr>
            </w:pPr>
            <w:r>
              <w:rPr>
                <w:rFonts w:ascii="仿宋_GB2312" w:hAnsi="宋体" w:eastAsia="仿宋"/>
                <w:bCs/>
                <w:sz w:val="32"/>
              </w:rPr>
              <w:t>得分率</w:t>
            </w:r>
          </w:p>
        </w:tc>
      </w:tr>
      <w:tr w14:paraId="0682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354" w:type="dxa"/>
            <w:shd w:val="clear" w:color="auto" w:fill="auto"/>
          </w:tcPr>
          <w:p w14:paraId="765D3624">
            <w:pPr>
              <w:spacing w:line="560" w:lineRule="exact"/>
              <w:jc w:val="center"/>
              <w:rPr>
                <w:rFonts w:ascii="仿宋_GB2312" w:hAnsi="宋体" w:eastAsia="仿宋"/>
                <w:sz w:val="32"/>
              </w:rPr>
            </w:pPr>
            <w:r>
              <w:rPr>
                <w:rFonts w:ascii="仿宋_GB2312" w:hAnsi="宋体" w:eastAsia="仿宋"/>
                <w:sz w:val="32"/>
              </w:rPr>
              <w:t>预算编制</w:t>
            </w:r>
          </w:p>
        </w:tc>
        <w:tc>
          <w:tcPr>
            <w:tcW w:w="1962" w:type="dxa"/>
            <w:shd w:val="clear" w:color="auto" w:fill="auto"/>
            <w:vAlign w:val="center"/>
          </w:tcPr>
          <w:p w14:paraId="69BB506B">
            <w:pPr>
              <w:spacing w:line="560" w:lineRule="exact"/>
              <w:ind w:firstLine="420"/>
              <w:jc w:val="center"/>
              <w:rPr>
                <w:rFonts w:ascii="仿宋_GB2312" w:hAnsi="宋体" w:eastAsia="仿宋"/>
                <w:sz w:val="32"/>
              </w:rPr>
            </w:pPr>
            <w:r>
              <w:rPr>
                <w:rFonts w:ascii="仿宋_GB2312" w:hAnsi="宋体" w:eastAsia="仿宋"/>
                <w:sz w:val="32"/>
              </w:rPr>
              <w:t>10.00</w:t>
            </w:r>
          </w:p>
        </w:tc>
        <w:tc>
          <w:tcPr>
            <w:tcW w:w="1962" w:type="dxa"/>
            <w:shd w:val="clear" w:color="auto" w:fill="auto"/>
            <w:vAlign w:val="center"/>
          </w:tcPr>
          <w:p w14:paraId="05E9EF0D">
            <w:pPr>
              <w:spacing w:line="560" w:lineRule="exact"/>
              <w:jc w:val="center"/>
              <w:rPr>
                <w:rFonts w:ascii="仿宋_GB2312" w:hAnsi="宋体" w:eastAsia="仿宋"/>
                <w:sz w:val="32"/>
              </w:rPr>
            </w:pPr>
            <w:r>
              <w:rPr>
                <w:rFonts w:ascii="仿宋_GB2312" w:hAnsi="宋体" w:eastAsia="仿宋"/>
                <w:sz w:val="32"/>
              </w:rPr>
              <w:t>8.35</w:t>
            </w:r>
          </w:p>
        </w:tc>
        <w:tc>
          <w:tcPr>
            <w:tcW w:w="1962" w:type="dxa"/>
            <w:shd w:val="clear" w:color="auto" w:fill="auto"/>
            <w:vAlign w:val="center"/>
          </w:tcPr>
          <w:p w14:paraId="66A25C03">
            <w:pPr>
              <w:spacing w:line="560" w:lineRule="exact"/>
              <w:jc w:val="center"/>
              <w:rPr>
                <w:rFonts w:ascii="仿宋_GB2312" w:hAnsi="宋体" w:eastAsia="仿宋"/>
                <w:sz w:val="32"/>
              </w:rPr>
            </w:pPr>
            <w:r>
              <w:rPr>
                <w:rFonts w:ascii="仿宋_GB2312" w:hAnsi="宋体" w:eastAsia="仿宋"/>
                <w:sz w:val="32"/>
              </w:rPr>
              <w:t>83.45%</w:t>
            </w:r>
          </w:p>
        </w:tc>
      </w:tr>
      <w:tr w14:paraId="005D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354" w:type="dxa"/>
            <w:shd w:val="clear" w:color="auto" w:fill="auto"/>
          </w:tcPr>
          <w:p w14:paraId="4FFBB16B">
            <w:pPr>
              <w:spacing w:line="560" w:lineRule="exact"/>
              <w:jc w:val="center"/>
              <w:rPr>
                <w:rFonts w:ascii="仿宋_GB2312" w:hAnsi="宋体" w:eastAsia="仿宋"/>
                <w:sz w:val="32"/>
              </w:rPr>
            </w:pPr>
            <w:r>
              <w:rPr>
                <w:rFonts w:ascii="仿宋_GB2312" w:hAnsi="宋体" w:eastAsia="仿宋"/>
                <w:sz w:val="32"/>
              </w:rPr>
              <w:t>预算执行</w:t>
            </w:r>
          </w:p>
        </w:tc>
        <w:tc>
          <w:tcPr>
            <w:tcW w:w="1962" w:type="dxa"/>
            <w:shd w:val="clear" w:color="auto" w:fill="auto"/>
            <w:vAlign w:val="center"/>
          </w:tcPr>
          <w:p w14:paraId="7A108A66">
            <w:pPr>
              <w:spacing w:line="560" w:lineRule="exact"/>
              <w:ind w:firstLine="420"/>
              <w:jc w:val="center"/>
              <w:rPr>
                <w:rFonts w:ascii="仿宋_GB2312" w:hAnsi="宋体" w:eastAsia="仿宋"/>
                <w:sz w:val="32"/>
              </w:rPr>
            </w:pPr>
            <w:r>
              <w:rPr>
                <w:rFonts w:ascii="仿宋_GB2312" w:hAnsi="宋体" w:eastAsia="仿宋"/>
                <w:sz w:val="32"/>
              </w:rPr>
              <w:t>20.00</w:t>
            </w:r>
          </w:p>
        </w:tc>
        <w:tc>
          <w:tcPr>
            <w:tcW w:w="1962" w:type="dxa"/>
            <w:shd w:val="clear" w:color="auto" w:fill="auto"/>
            <w:vAlign w:val="center"/>
          </w:tcPr>
          <w:p w14:paraId="3717518A">
            <w:pPr>
              <w:spacing w:line="560" w:lineRule="exact"/>
              <w:jc w:val="center"/>
              <w:rPr>
                <w:rFonts w:ascii="仿宋_GB2312" w:hAnsi="宋体" w:eastAsia="仿宋"/>
                <w:sz w:val="32"/>
              </w:rPr>
            </w:pPr>
            <w:r>
              <w:rPr>
                <w:rFonts w:ascii="仿宋_GB2312" w:hAnsi="宋体" w:eastAsia="仿宋"/>
                <w:sz w:val="32"/>
              </w:rPr>
              <w:t>16.40</w:t>
            </w:r>
          </w:p>
        </w:tc>
        <w:tc>
          <w:tcPr>
            <w:tcW w:w="1962" w:type="dxa"/>
            <w:shd w:val="clear" w:color="auto" w:fill="auto"/>
            <w:vAlign w:val="center"/>
          </w:tcPr>
          <w:p w14:paraId="6EF91CCD">
            <w:pPr>
              <w:spacing w:line="560" w:lineRule="exact"/>
              <w:jc w:val="center"/>
              <w:rPr>
                <w:rFonts w:ascii="仿宋_GB2312" w:hAnsi="宋体" w:eastAsia="仿宋"/>
                <w:sz w:val="32"/>
              </w:rPr>
            </w:pPr>
            <w:r>
              <w:rPr>
                <w:rFonts w:ascii="仿宋_GB2312" w:hAnsi="宋体" w:eastAsia="仿宋"/>
                <w:sz w:val="32"/>
              </w:rPr>
              <w:t>82.00%</w:t>
            </w:r>
          </w:p>
        </w:tc>
      </w:tr>
      <w:tr w14:paraId="784F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354" w:type="dxa"/>
            <w:shd w:val="clear" w:color="auto" w:fill="auto"/>
          </w:tcPr>
          <w:p w14:paraId="5430C0F3">
            <w:pPr>
              <w:spacing w:line="560" w:lineRule="exact"/>
              <w:jc w:val="center"/>
              <w:rPr>
                <w:rFonts w:ascii="仿宋_GB2312" w:hAnsi="宋体" w:eastAsia="仿宋"/>
                <w:sz w:val="32"/>
              </w:rPr>
            </w:pPr>
            <w:r>
              <w:rPr>
                <w:rFonts w:ascii="仿宋_GB2312" w:hAnsi="宋体" w:eastAsia="仿宋"/>
                <w:sz w:val="32"/>
              </w:rPr>
              <w:t>综合管理</w:t>
            </w:r>
          </w:p>
        </w:tc>
        <w:tc>
          <w:tcPr>
            <w:tcW w:w="1962" w:type="dxa"/>
            <w:shd w:val="clear" w:color="auto" w:fill="auto"/>
            <w:vAlign w:val="center"/>
          </w:tcPr>
          <w:p w14:paraId="6ED533B9">
            <w:pPr>
              <w:spacing w:line="560" w:lineRule="exact"/>
              <w:ind w:firstLine="420"/>
              <w:jc w:val="center"/>
              <w:rPr>
                <w:rFonts w:ascii="仿宋_GB2312" w:hAnsi="宋体" w:eastAsia="仿宋"/>
                <w:sz w:val="32"/>
              </w:rPr>
            </w:pPr>
            <w:r>
              <w:rPr>
                <w:rFonts w:ascii="仿宋_GB2312" w:hAnsi="宋体" w:eastAsia="仿宋"/>
                <w:sz w:val="32"/>
              </w:rPr>
              <w:t>40.00</w:t>
            </w:r>
          </w:p>
        </w:tc>
        <w:tc>
          <w:tcPr>
            <w:tcW w:w="1962" w:type="dxa"/>
            <w:shd w:val="clear" w:color="auto" w:fill="auto"/>
            <w:vAlign w:val="center"/>
          </w:tcPr>
          <w:p w14:paraId="30E52E26">
            <w:pPr>
              <w:spacing w:line="560" w:lineRule="exact"/>
              <w:jc w:val="center"/>
              <w:rPr>
                <w:rFonts w:ascii="仿宋_GB2312" w:hAnsi="宋体" w:eastAsia="仿宋"/>
                <w:sz w:val="32"/>
              </w:rPr>
            </w:pPr>
            <w:r>
              <w:rPr>
                <w:rFonts w:ascii="仿宋_GB2312" w:hAnsi="宋体" w:eastAsia="仿宋"/>
                <w:sz w:val="32"/>
              </w:rPr>
              <w:t>30.98</w:t>
            </w:r>
          </w:p>
        </w:tc>
        <w:tc>
          <w:tcPr>
            <w:tcW w:w="1962" w:type="dxa"/>
            <w:shd w:val="clear" w:color="auto" w:fill="auto"/>
            <w:vAlign w:val="center"/>
          </w:tcPr>
          <w:p w14:paraId="4A1B9FE7">
            <w:pPr>
              <w:spacing w:line="560" w:lineRule="exact"/>
              <w:jc w:val="center"/>
              <w:rPr>
                <w:rFonts w:ascii="仿宋_GB2312" w:hAnsi="宋体" w:eastAsia="仿宋"/>
                <w:sz w:val="32"/>
              </w:rPr>
            </w:pPr>
            <w:r>
              <w:rPr>
                <w:rFonts w:ascii="仿宋_GB2312" w:hAnsi="宋体" w:eastAsia="仿宋"/>
                <w:sz w:val="32"/>
              </w:rPr>
              <w:t>77.44%</w:t>
            </w:r>
          </w:p>
        </w:tc>
      </w:tr>
      <w:tr w14:paraId="0574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354" w:type="dxa"/>
            <w:shd w:val="clear" w:color="auto" w:fill="auto"/>
          </w:tcPr>
          <w:p w14:paraId="103AE7F8">
            <w:pPr>
              <w:spacing w:line="560" w:lineRule="exact"/>
              <w:jc w:val="center"/>
              <w:rPr>
                <w:rFonts w:ascii="仿宋_GB2312" w:hAnsi="宋体" w:eastAsia="仿宋"/>
                <w:sz w:val="32"/>
              </w:rPr>
            </w:pPr>
            <w:r>
              <w:rPr>
                <w:rFonts w:ascii="仿宋_GB2312" w:hAnsi="宋体" w:eastAsia="仿宋"/>
                <w:sz w:val="32"/>
              </w:rPr>
              <w:t>整体效益</w:t>
            </w:r>
          </w:p>
        </w:tc>
        <w:tc>
          <w:tcPr>
            <w:tcW w:w="1962" w:type="dxa"/>
            <w:shd w:val="clear" w:color="auto" w:fill="auto"/>
            <w:vAlign w:val="center"/>
          </w:tcPr>
          <w:p w14:paraId="6184126D">
            <w:pPr>
              <w:spacing w:line="560" w:lineRule="exact"/>
              <w:ind w:firstLine="420"/>
              <w:jc w:val="center"/>
              <w:rPr>
                <w:rFonts w:ascii="仿宋_GB2312" w:hAnsi="宋体" w:eastAsia="仿宋"/>
                <w:sz w:val="32"/>
              </w:rPr>
            </w:pPr>
            <w:r>
              <w:rPr>
                <w:rFonts w:ascii="仿宋_GB2312" w:hAnsi="宋体" w:eastAsia="仿宋"/>
                <w:sz w:val="32"/>
              </w:rPr>
              <w:t>30.00</w:t>
            </w:r>
          </w:p>
        </w:tc>
        <w:tc>
          <w:tcPr>
            <w:tcW w:w="1962" w:type="dxa"/>
            <w:shd w:val="clear" w:color="auto" w:fill="auto"/>
            <w:vAlign w:val="center"/>
          </w:tcPr>
          <w:p w14:paraId="1CD392FE">
            <w:pPr>
              <w:spacing w:line="560" w:lineRule="exact"/>
              <w:jc w:val="center"/>
              <w:rPr>
                <w:rFonts w:ascii="仿宋_GB2312" w:hAnsi="宋体" w:eastAsia="仿宋"/>
                <w:sz w:val="32"/>
              </w:rPr>
            </w:pPr>
            <w:r>
              <w:rPr>
                <w:rFonts w:ascii="仿宋_GB2312" w:hAnsi="宋体" w:eastAsia="仿宋"/>
                <w:sz w:val="32"/>
              </w:rPr>
              <w:t>24.67</w:t>
            </w:r>
          </w:p>
        </w:tc>
        <w:tc>
          <w:tcPr>
            <w:tcW w:w="1962" w:type="dxa"/>
            <w:shd w:val="clear" w:color="auto" w:fill="auto"/>
            <w:vAlign w:val="center"/>
          </w:tcPr>
          <w:p w14:paraId="35016BDB">
            <w:pPr>
              <w:spacing w:line="560" w:lineRule="exact"/>
              <w:jc w:val="center"/>
              <w:rPr>
                <w:rFonts w:ascii="仿宋_GB2312" w:hAnsi="宋体" w:eastAsia="仿宋"/>
                <w:sz w:val="32"/>
              </w:rPr>
            </w:pPr>
            <w:r>
              <w:rPr>
                <w:rFonts w:ascii="仿宋_GB2312" w:hAnsi="宋体" w:eastAsia="仿宋"/>
                <w:sz w:val="32"/>
              </w:rPr>
              <w:t>82.23%</w:t>
            </w:r>
          </w:p>
        </w:tc>
      </w:tr>
      <w:tr w14:paraId="22ED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354" w:type="dxa"/>
            <w:shd w:val="clear" w:color="auto" w:fill="BEBEBE"/>
            <w:vAlign w:val="center"/>
          </w:tcPr>
          <w:p w14:paraId="142CBE40">
            <w:pPr>
              <w:spacing w:line="560" w:lineRule="exact"/>
              <w:ind w:firstLine="422"/>
              <w:jc w:val="center"/>
              <w:rPr>
                <w:rFonts w:ascii="仿宋_GB2312" w:hAnsi="宋体" w:eastAsia="仿宋"/>
                <w:bCs/>
                <w:sz w:val="32"/>
              </w:rPr>
            </w:pPr>
            <w:r>
              <w:rPr>
                <w:rFonts w:ascii="仿宋_GB2312" w:hAnsi="宋体" w:eastAsia="仿宋"/>
                <w:bCs/>
                <w:sz w:val="32"/>
              </w:rPr>
              <w:t>合计</w:t>
            </w:r>
          </w:p>
        </w:tc>
        <w:tc>
          <w:tcPr>
            <w:tcW w:w="1962" w:type="dxa"/>
            <w:shd w:val="clear" w:color="auto" w:fill="BEBEBE"/>
            <w:vAlign w:val="center"/>
          </w:tcPr>
          <w:p w14:paraId="5831C0B1">
            <w:pPr>
              <w:spacing w:line="560" w:lineRule="exact"/>
              <w:ind w:firstLine="422"/>
              <w:jc w:val="center"/>
              <w:rPr>
                <w:rFonts w:ascii="仿宋_GB2312" w:hAnsi="宋体" w:eastAsia="仿宋"/>
                <w:bCs/>
                <w:sz w:val="32"/>
              </w:rPr>
            </w:pPr>
            <w:r>
              <w:rPr>
                <w:rFonts w:ascii="仿宋_GB2312" w:hAnsi="宋体" w:eastAsia="仿宋"/>
                <w:bCs/>
                <w:sz w:val="32"/>
              </w:rPr>
              <w:t>100.00</w:t>
            </w:r>
          </w:p>
        </w:tc>
        <w:tc>
          <w:tcPr>
            <w:tcW w:w="1962" w:type="dxa"/>
            <w:shd w:val="clear" w:color="auto" w:fill="BEBEBE"/>
            <w:vAlign w:val="center"/>
          </w:tcPr>
          <w:p w14:paraId="503417E9">
            <w:pPr>
              <w:spacing w:line="560" w:lineRule="exact"/>
              <w:jc w:val="center"/>
              <w:rPr>
                <w:rFonts w:ascii="仿宋_GB2312" w:hAnsi="宋体" w:eastAsia="仿宋"/>
                <w:bCs/>
                <w:sz w:val="32"/>
              </w:rPr>
            </w:pPr>
            <w:r>
              <w:rPr>
                <w:rFonts w:ascii="仿宋_GB2312" w:hAnsi="宋体" w:eastAsia="仿宋"/>
                <w:bCs/>
                <w:sz w:val="32"/>
              </w:rPr>
              <w:t>80.37</w:t>
            </w:r>
          </w:p>
        </w:tc>
        <w:tc>
          <w:tcPr>
            <w:tcW w:w="1962" w:type="dxa"/>
            <w:shd w:val="clear" w:color="auto" w:fill="BEBEBE"/>
            <w:vAlign w:val="center"/>
          </w:tcPr>
          <w:p w14:paraId="1E50660A">
            <w:pPr>
              <w:spacing w:line="560" w:lineRule="exact"/>
              <w:jc w:val="center"/>
              <w:rPr>
                <w:rFonts w:ascii="仿宋_GB2312" w:hAnsi="宋体" w:eastAsia="仿宋"/>
                <w:bCs/>
                <w:sz w:val="32"/>
              </w:rPr>
            </w:pPr>
            <w:r>
              <w:rPr>
                <w:rFonts w:ascii="仿宋_GB2312" w:hAnsi="宋体" w:eastAsia="仿宋"/>
                <w:bCs/>
                <w:sz w:val="32"/>
              </w:rPr>
              <w:t>80.37%</w:t>
            </w:r>
          </w:p>
        </w:tc>
      </w:tr>
    </w:tbl>
    <w:p w14:paraId="761CD086">
      <w:pPr>
        <w:spacing w:line="560" w:lineRule="exact"/>
        <w:ind w:firstLine="643"/>
        <w:rPr>
          <w:rFonts w:ascii="楷体_GB2312" w:hAnsi="楷体_GB2312" w:eastAsia="仿宋" w:cs="楷体_GB2312"/>
          <w:bCs/>
          <w:sz w:val="32"/>
          <w:szCs w:val="32"/>
          <w:lang w:bidi="ar"/>
        </w:rPr>
      </w:pPr>
    </w:p>
    <w:p w14:paraId="703FB78D">
      <w:pPr>
        <w:spacing w:line="560" w:lineRule="exact"/>
        <w:ind w:firstLine="643"/>
        <w:rPr>
          <w:rFonts w:hint="eastAsia" w:ascii="楷体_GB2312" w:hAnsi="楷体_GB2312" w:eastAsia="仿宋" w:cs="楷体_GB2312"/>
          <w:bCs/>
          <w:sz w:val="32"/>
          <w:szCs w:val="32"/>
          <w:lang w:bidi="ar"/>
        </w:rPr>
      </w:pPr>
      <w:r>
        <w:rPr>
          <w:rFonts w:ascii="楷体_GB2312" w:hAnsi="楷体_GB2312" w:eastAsia="仿宋" w:cs="楷体_GB2312"/>
          <w:bCs/>
          <w:sz w:val="32"/>
          <w:szCs w:val="32"/>
          <w:lang w:bidi="ar"/>
        </w:rPr>
        <w:t>3</w:t>
      </w:r>
      <w:r>
        <w:rPr>
          <w:rFonts w:hint="eastAsia" w:ascii="楷体_GB2312" w:hAnsi="楷体_GB2312" w:eastAsia="仿宋" w:cs="楷体_GB2312"/>
          <w:bCs/>
          <w:sz w:val="32"/>
          <w:szCs w:val="32"/>
          <w:lang w:bidi="ar"/>
        </w:rPr>
        <w:t>、财政政策</w:t>
      </w:r>
    </w:p>
    <w:p w14:paraId="3DFDF018">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通过数据采集、归纳、分析、问卷调查等方法对本项目绩效进行客观评价，最终评分为8</w:t>
      </w:r>
      <w:r>
        <w:rPr>
          <w:rFonts w:ascii="仿宋_GB2312" w:hAnsi="宋体" w:eastAsia="仿宋" w:cs="仿宋_GB2312"/>
          <w:sz w:val="32"/>
          <w:szCs w:val="28"/>
          <w:lang w:bidi="ar"/>
        </w:rPr>
        <w:t>8.23</w:t>
      </w:r>
      <w:r>
        <w:rPr>
          <w:rFonts w:hint="eastAsia" w:ascii="仿宋_GB2312" w:hAnsi="宋体" w:eastAsia="仿宋" w:cs="仿宋_GB2312"/>
          <w:sz w:val="32"/>
          <w:szCs w:val="28"/>
          <w:lang w:bidi="ar"/>
        </w:rPr>
        <w:t>。其中，经济性指标权重20分，实得2</w:t>
      </w:r>
      <w:r>
        <w:rPr>
          <w:rFonts w:ascii="仿宋_GB2312" w:hAnsi="宋体" w:eastAsia="仿宋" w:cs="仿宋_GB2312"/>
          <w:sz w:val="32"/>
          <w:szCs w:val="28"/>
          <w:lang w:bidi="ar"/>
        </w:rPr>
        <w:t>0</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100.00</w:t>
      </w:r>
      <w:r>
        <w:rPr>
          <w:rFonts w:hint="eastAsia" w:ascii="仿宋_GB2312" w:hAnsi="宋体" w:eastAsia="仿宋" w:cs="仿宋_GB2312"/>
          <w:sz w:val="32"/>
          <w:szCs w:val="28"/>
          <w:lang w:bidi="ar"/>
        </w:rPr>
        <w:t>%；</w:t>
      </w:r>
      <w:bookmarkStart w:id="1" w:name="_Hlk57727474"/>
      <w:r>
        <w:rPr>
          <w:rFonts w:hint="eastAsia" w:ascii="仿宋_GB2312" w:hAnsi="宋体" w:eastAsia="仿宋" w:cs="仿宋_GB2312"/>
          <w:sz w:val="32"/>
          <w:szCs w:val="28"/>
          <w:lang w:bidi="ar"/>
        </w:rPr>
        <w:t>效率性指标权重</w:t>
      </w:r>
      <w:r>
        <w:rPr>
          <w:rFonts w:ascii="仿宋_GB2312" w:hAnsi="宋体" w:eastAsia="仿宋" w:cs="仿宋_GB2312"/>
          <w:sz w:val="32"/>
          <w:szCs w:val="28"/>
          <w:lang w:bidi="ar"/>
        </w:rPr>
        <w:t>30</w:t>
      </w:r>
      <w:r>
        <w:rPr>
          <w:rFonts w:hint="eastAsia" w:ascii="仿宋_GB2312" w:hAnsi="宋体" w:eastAsia="仿宋" w:cs="仿宋_GB2312"/>
          <w:sz w:val="32"/>
          <w:szCs w:val="28"/>
          <w:lang w:bidi="ar"/>
        </w:rPr>
        <w:t>分，实得</w:t>
      </w:r>
      <w:r>
        <w:rPr>
          <w:rFonts w:ascii="仿宋_GB2312" w:hAnsi="宋体" w:eastAsia="仿宋" w:cs="仿宋_GB2312"/>
          <w:sz w:val="32"/>
          <w:szCs w:val="28"/>
          <w:lang w:bidi="ar"/>
        </w:rPr>
        <w:t>22.16</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73.87</w:t>
      </w:r>
      <w:r>
        <w:rPr>
          <w:rFonts w:hint="eastAsia" w:ascii="仿宋_GB2312" w:hAnsi="宋体" w:eastAsia="仿宋" w:cs="仿宋_GB2312"/>
          <w:sz w:val="32"/>
          <w:szCs w:val="28"/>
          <w:lang w:bidi="ar"/>
        </w:rPr>
        <w:t>%；</w:t>
      </w:r>
      <w:bookmarkEnd w:id="1"/>
      <w:r>
        <w:rPr>
          <w:rFonts w:hint="eastAsia" w:ascii="仿宋_GB2312" w:hAnsi="宋体" w:eastAsia="仿宋" w:cs="仿宋_GB2312"/>
          <w:sz w:val="32"/>
          <w:szCs w:val="28"/>
          <w:lang w:bidi="ar"/>
        </w:rPr>
        <w:t>效益性指标权重</w:t>
      </w:r>
      <w:r>
        <w:rPr>
          <w:rFonts w:ascii="仿宋_GB2312" w:hAnsi="宋体" w:eastAsia="仿宋" w:cs="仿宋_GB2312"/>
          <w:sz w:val="32"/>
          <w:szCs w:val="28"/>
          <w:lang w:bidi="ar"/>
        </w:rPr>
        <w:t>25</w:t>
      </w:r>
      <w:r>
        <w:rPr>
          <w:rFonts w:hint="eastAsia" w:ascii="仿宋_GB2312" w:hAnsi="宋体" w:eastAsia="仿宋" w:cs="仿宋_GB2312"/>
          <w:sz w:val="32"/>
          <w:szCs w:val="28"/>
          <w:lang w:bidi="ar"/>
        </w:rPr>
        <w:t>分，实得2</w:t>
      </w:r>
      <w:r>
        <w:rPr>
          <w:rFonts w:ascii="仿宋_GB2312" w:hAnsi="宋体" w:eastAsia="仿宋" w:cs="仿宋_GB2312"/>
          <w:sz w:val="32"/>
          <w:szCs w:val="28"/>
          <w:lang w:bidi="ar"/>
        </w:rPr>
        <w:t>1.67</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86.68</w:t>
      </w:r>
      <w:r>
        <w:rPr>
          <w:rFonts w:hint="eastAsia" w:ascii="仿宋_GB2312" w:hAnsi="宋体" w:eastAsia="仿宋" w:cs="仿宋_GB2312"/>
          <w:sz w:val="32"/>
          <w:szCs w:val="28"/>
          <w:lang w:bidi="ar"/>
        </w:rPr>
        <w:t>%；公平性指标权重</w:t>
      </w:r>
      <w:r>
        <w:rPr>
          <w:rFonts w:ascii="仿宋_GB2312" w:hAnsi="宋体" w:eastAsia="仿宋" w:cs="仿宋_GB2312"/>
          <w:sz w:val="32"/>
          <w:szCs w:val="28"/>
          <w:lang w:bidi="ar"/>
        </w:rPr>
        <w:t>10</w:t>
      </w:r>
      <w:r>
        <w:rPr>
          <w:rFonts w:hint="eastAsia" w:ascii="仿宋_GB2312" w:hAnsi="宋体" w:eastAsia="仿宋" w:cs="仿宋_GB2312"/>
          <w:sz w:val="32"/>
          <w:szCs w:val="28"/>
          <w:lang w:bidi="ar"/>
        </w:rPr>
        <w:t>分，实得</w:t>
      </w:r>
      <w:r>
        <w:rPr>
          <w:rFonts w:ascii="仿宋_GB2312" w:hAnsi="宋体" w:eastAsia="仿宋" w:cs="仿宋_GB2312"/>
          <w:sz w:val="32"/>
          <w:szCs w:val="28"/>
          <w:lang w:bidi="ar"/>
        </w:rPr>
        <w:t>9.40</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94.00</w:t>
      </w:r>
      <w:r>
        <w:rPr>
          <w:rFonts w:hint="eastAsia" w:ascii="仿宋_GB2312" w:hAnsi="宋体" w:eastAsia="仿宋" w:cs="仿宋_GB2312"/>
          <w:sz w:val="32"/>
          <w:szCs w:val="28"/>
          <w:lang w:bidi="ar"/>
        </w:rPr>
        <w:t>%；可持续性指标权重</w:t>
      </w:r>
      <w:r>
        <w:rPr>
          <w:rFonts w:ascii="仿宋_GB2312" w:hAnsi="宋体" w:eastAsia="仿宋" w:cs="仿宋_GB2312"/>
          <w:sz w:val="32"/>
          <w:szCs w:val="28"/>
          <w:lang w:bidi="ar"/>
        </w:rPr>
        <w:t>15.00</w:t>
      </w:r>
      <w:r>
        <w:rPr>
          <w:rFonts w:hint="eastAsia" w:ascii="仿宋_GB2312" w:hAnsi="宋体" w:eastAsia="仿宋" w:cs="仿宋_GB2312"/>
          <w:sz w:val="32"/>
          <w:szCs w:val="28"/>
          <w:lang w:bidi="ar"/>
        </w:rPr>
        <w:t>分，实得</w:t>
      </w:r>
      <w:r>
        <w:rPr>
          <w:rFonts w:ascii="仿宋_GB2312" w:hAnsi="宋体" w:eastAsia="仿宋" w:cs="仿宋_GB2312"/>
          <w:sz w:val="32"/>
          <w:szCs w:val="28"/>
          <w:lang w:bidi="ar"/>
        </w:rPr>
        <w:t>15.00</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100.00</w:t>
      </w:r>
      <w:r>
        <w:rPr>
          <w:rFonts w:hint="eastAsia" w:ascii="仿宋_GB2312" w:hAnsi="宋体" w:eastAsia="仿宋" w:cs="仿宋_GB2312"/>
          <w:sz w:val="32"/>
          <w:szCs w:val="28"/>
          <w:lang w:bidi="ar"/>
        </w:rPr>
        <w:t>%。</w:t>
      </w:r>
    </w:p>
    <w:p w14:paraId="31DFF03C">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具体得分情况如下：</w:t>
      </w:r>
    </w:p>
    <w:p w14:paraId="7ABA24CB">
      <w:pPr>
        <w:spacing w:line="560" w:lineRule="exact"/>
        <w:jc w:val="center"/>
        <w:rPr>
          <w:rFonts w:ascii="仿宋_GB2312" w:hAnsi="宋体" w:eastAsia="仿宋" w:cs="仿宋_GB2312"/>
          <w:bCs/>
          <w:sz w:val="32"/>
          <w:lang w:bidi="ar"/>
        </w:rPr>
      </w:pPr>
      <w:r>
        <w:rPr>
          <w:rFonts w:hint="eastAsia" w:ascii="仿宋_GB2312" w:hAnsi="宋体" w:eastAsia="仿宋" w:cs="仿宋_GB2312"/>
          <w:bCs/>
          <w:sz w:val="32"/>
          <w:lang w:bidi="ar"/>
        </w:rPr>
        <w:t>表3 项目支出评分结果汇总表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1"/>
        <w:gridCol w:w="2144"/>
        <w:gridCol w:w="2144"/>
        <w:gridCol w:w="2143"/>
      </w:tblGrid>
      <w:tr w14:paraId="178C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D7D7D7"/>
            <w:vAlign w:val="center"/>
          </w:tcPr>
          <w:p w14:paraId="452BF6EA">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指标</w:t>
            </w:r>
          </w:p>
        </w:tc>
        <w:tc>
          <w:tcPr>
            <w:tcW w:w="1191" w:type="pct"/>
            <w:shd w:val="clear" w:color="auto" w:fill="D7D7D7"/>
            <w:vAlign w:val="center"/>
          </w:tcPr>
          <w:p w14:paraId="5353BEF5">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权重</w:t>
            </w:r>
          </w:p>
        </w:tc>
        <w:tc>
          <w:tcPr>
            <w:tcW w:w="1191" w:type="pct"/>
            <w:shd w:val="clear" w:color="auto" w:fill="D7D7D7"/>
            <w:vAlign w:val="center"/>
          </w:tcPr>
          <w:p w14:paraId="19E9C727">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得分</w:t>
            </w:r>
          </w:p>
        </w:tc>
        <w:tc>
          <w:tcPr>
            <w:tcW w:w="1191" w:type="pct"/>
            <w:shd w:val="clear" w:color="auto" w:fill="D7D7D7"/>
            <w:vAlign w:val="center"/>
          </w:tcPr>
          <w:p w14:paraId="1A8E3C4F">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得分率</w:t>
            </w:r>
          </w:p>
        </w:tc>
      </w:tr>
      <w:tr w14:paraId="0A19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2E21895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经济性</w:t>
            </w:r>
          </w:p>
        </w:tc>
        <w:tc>
          <w:tcPr>
            <w:tcW w:w="1191" w:type="pct"/>
            <w:shd w:val="clear" w:color="auto" w:fill="auto"/>
          </w:tcPr>
          <w:p w14:paraId="64E8723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20</w:t>
            </w:r>
          </w:p>
        </w:tc>
        <w:tc>
          <w:tcPr>
            <w:tcW w:w="1191" w:type="pct"/>
            <w:shd w:val="clear" w:color="auto" w:fill="auto"/>
          </w:tcPr>
          <w:p w14:paraId="6E5479E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20.00</w:t>
            </w:r>
          </w:p>
        </w:tc>
        <w:tc>
          <w:tcPr>
            <w:tcW w:w="1191" w:type="pct"/>
            <w:shd w:val="clear" w:color="auto" w:fill="auto"/>
          </w:tcPr>
          <w:p w14:paraId="454EA13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100.00%</w:t>
            </w:r>
          </w:p>
        </w:tc>
      </w:tr>
      <w:tr w14:paraId="1582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2599C7B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效率性</w:t>
            </w:r>
          </w:p>
        </w:tc>
        <w:tc>
          <w:tcPr>
            <w:tcW w:w="1191" w:type="pct"/>
            <w:shd w:val="clear" w:color="auto" w:fill="auto"/>
          </w:tcPr>
          <w:p w14:paraId="144A317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30</w:t>
            </w:r>
          </w:p>
        </w:tc>
        <w:tc>
          <w:tcPr>
            <w:tcW w:w="1191" w:type="pct"/>
            <w:shd w:val="clear" w:color="auto" w:fill="auto"/>
          </w:tcPr>
          <w:p w14:paraId="5538A28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22.16</w:t>
            </w:r>
          </w:p>
        </w:tc>
        <w:tc>
          <w:tcPr>
            <w:tcW w:w="1191" w:type="pct"/>
            <w:shd w:val="clear" w:color="auto" w:fill="auto"/>
          </w:tcPr>
          <w:p w14:paraId="003FE9F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73.87%</w:t>
            </w:r>
          </w:p>
        </w:tc>
      </w:tr>
      <w:tr w14:paraId="49A4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46C9831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效益性</w:t>
            </w:r>
          </w:p>
        </w:tc>
        <w:tc>
          <w:tcPr>
            <w:tcW w:w="1191" w:type="pct"/>
            <w:shd w:val="clear" w:color="auto" w:fill="auto"/>
          </w:tcPr>
          <w:p w14:paraId="66E31D2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25</w:t>
            </w:r>
          </w:p>
        </w:tc>
        <w:tc>
          <w:tcPr>
            <w:tcW w:w="1191" w:type="pct"/>
            <w:shd w:val="clear" w:color="auto" w:fill="auto"/>
          </w:tcPr>
          <w:p w14:paraId="4F7AEA9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21.67</w:t>
            </w:r>
          </w:p>
        </w:tc>
        <w:tc>
          <w:tcPr>
            <w:tcW w:w="1191" w:type="pct"/>
            <w:shd w:val="clear" w:color="auto" w:fill="auto"/>
          </w:tcPr>
          <w:p w14:paraId="3B948F3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86.68%</w:t>
            </w:r>
          </w:p>
        </w:tc>
      </w:tr>
      <w:tr w14:paraId="644B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106D92F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公平性</w:t>
            </w:r>
          </w:p>
        </w:tc>
        <w:tc>
          <w:tcPr>
            <w:tcW w:w="1191" w:type="pct"/>
            <w:shd w:val="clear" w:color="auto" w:fill="auto"/>
          </w:tcPr>
          <w:p w14:paraId="74AA405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w:t>
            </w:r>
          </w:p>
        </w:tc>
        <w:tc>
          <w:tcPr>
            <w:tcW w:w="1191" w:type="pct"/>
            <w:shd w:val="clear" w:color="auto" w:fill="auto"/>
          </w:tcPr>
          <w:p w14:paraId="6934CBD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9.40</w:t>
            </w:r>
          </w:p>
        </w:tc>
        <w:tc>
          <w:tcPr>
            <w:tcW w:w="1191" w:type="pct"/>
            <w:shd w:val="clear" w:color="auto" w:fill="auto"/>
          </w:tcPr>
          <w:p w14:paraId="56C1D21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94.00%</w:t>
            </w:r>
          </w:p>
        </w:tc>
      </w:tr>
      <w:tr w14:paraId="5A0B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5407F63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可持续性</w:t>
            </w:r>
          </w:p>
        </w:tc>
        <w:tc>
          <w:tcPr>
            <w:tcW w:w="1191" w:type="pct"/>
            <w:shd w:val="clear" w:color="auto" w:fill="auto"/>
          </w:tcPr>
          <w:p w14:paraId="14DE045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15</w:t>
            </w:r>
          </w:p>
        </w:tc>
        <w:tc>
          <w:tcPr>
            <w:tcW w:w="1191" w:type="pct"/>
            <w:shd w:val="clear" w:color="auto" w:fill="auto"/>
          </w:tcPr>
          <w:p w14:paraId="58BB532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15.00</w:t>
            </w:r>
          </w:p>
        </w:tc>
        <w:tc>
          <w:tcPr>
            <w:tcW w:w="1191" w:type="pct"/>
            <w:shd w:val="clear" w:color="auto" w:fill="auto"/>
          </w:tcPr>
          <w:p w14:paraId="085E446C">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100.00%</w:t>
            </w:r>
          </w:p>
        </w:tc>
      </w:tr>
      <w:tr w14:paraId="6B2F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BEBEBE"/>
            <w:vAlign w:val="center"/>
          </w:tcPr>
          <w:p w14:paraId="020181C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合计</w:t>
            </w:r>
          </w:p>
        </w:tc>
        <w:tc>
          <w:tcPr>
            <w:tcW w:w="1191" w:type="pct"/>
            <w:shd w:val="clear" w:color="auto" w:fill="BEBEBE"/>
            <w:vAlign w:val="center"/>
          </w:tcPr>
          <w:p w14:paraId="0AFDFA97">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100.00</w:t>
            </w:r>
          </w:p>
        </w:tc>
        <w:tc>
          <w:tcPr>
            <w:tcW w:w="1191" w:type="pct"/>
            <w:shd w:val="clear" w:color="auto" w:fill="BEBEBE"/>
          </w:tcPr>
          <w:p w14:paraId="249BE21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88.23</w:t>
            </w:r>
          </w:p>
        </w:tc>
        <w:tc>
          <w:tcPr>
            <w:tcW w:w="1191" w:type="pct"/>
            <w:shd w:val="clear" w:color="auto" w:fill="BEBEBE"/>
            <w:vAlign w:val="center"/>
          </w:tcPr>
          <w:p w14:paraId="3233368A">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88.23%</w:t>
            </w:r>
          </w:p>
        </w:tc>
      </w:tr>
    </w:tbl>
    <w:p w14:paraId="4BF8650D">
      <w:pPr>
        <w:tabs>
          <w:tab w:val="center" w:pos="4405"/>
        </w:tabs>
        <w:overflowPunct w:val="0"/>
        <w:spacing w:line="560" w:lineRule="exact"/>
        <w:rPr>
          <w:rFonts w:hint="eastAsia" w:ascii="黑体" w:hAnsi="黑体" w:eastAsia="仿宋" w:cs="黑体"/>
          <w:b/>
          <w:bCs/>
          <w:sz w:val="32"/>
          <w:szCs w:val="30"/>
        </w:rPr>
      </w:pPr>
    </w:p>
    <w:p w14:paraId="15F2EC05">
      <w:pPr>
        <w:tabs>
          <w:tab w:val="center" w:pos="4405"/>
        </w:tabs>
        <w:overflowPunct w:val="0"/>
        <w:spacing w:line="560" w:lineRule="exact"/>
        <w:ind w:firstLine="315" w:firstLineChars="98"/>
        <w:rPr>
          <w:rFonts w:hint="eastAsia" w:ascii="黑体" w:hAnsi="黑体" w:eastAsia="仿宋" w:cs="黑体"/>
          <w:b/>
          <w:bCs/>
          <w:sz w:val="32"/>
          <w:szCs w:val="30"/>
        </w:rPr>
      </w:pPr>
      <w:r>
        <w:rPr>
          <w:rFonts w:hint="eastAsia" w:ascii="黑体" w:hAnsi="黑体" w:eastAsia="仿宋" w:cs="黑体"/>
          <w:b/>
          <w:bCs/>
          <w:sz w:val="32"/>
          <w:szCs w:val="30"/>
        </w:rPr>
        <w:t>（三）存在的问题及建议</w:t>
      </w:r>
    </w:p>
    <w:p w14:paraId="7C4D3128">
      <w:pPr>
        <w:spacing w:after="172" w:line="560" w:lineRule="exact"/>
        <w:ind w:firstLine="643"/>
        <w:rPr>
          <w:rFonts w:ascii="楷体_GB2312" w:hAnsi="楷体_GB2312" w:eastAsia="仿宋" w:cs="楷体_GB2312"/>
          <w:bCs/>
          <w:sz w:val="32"/>
          <w:szCs w:val="32"/>
          <w:lang w:bidi="ar"/>
        </w:rPr>
      </w:pPr>
      <w:r>
        <w:rPr>
          <w:rFonts w:hint="eastAsia" w:ascii="楷体_GB2312" w:hAnsi="楷体_GB2312" w:eastAsia="仿宋" w:cs="楷体_GB2312"/>
          <w:bCs/>
          <w:sz w:val="32"/>
          <w:szCs w:val="32"/>
          <w:lang w:bidi="ar"/>
        </w:rPr>
        <w:t>1、项目支出</w:t>
      </w:r>
    </w:p>
    <w:p w14:paraId="2733B16E">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（1）挤占专项资金</w:t>
      </w:r>
    </w:p>
    <w:p w14:paraId="6B78197E">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涉及项目：马尔康市公用事业管理局2018年第四批新增地方政府债券资金（2018年新型城镇化建设），其他项目误使用该项目资金16</w:t>
      </w:r>
      <w:r>
        <w:rPr>
          <w:rFonts w:ascii="仿宋_GB2312" w:hAnsi="宋体" w:eastAsia="仿宋" w:cs="仿宋_GB2312"/>
          <w:sz w:val="32"/>
          <w:szCs w:val="28"/>
          <w:lang w:bidi="ar"/>
        </w:rPr>
        <w:t>.</w:t>
      </w:r>
      <w:r>
        <w:rPr>
          <w:rFonts w:hint="eastAsia" w:ascii="仿宋_GB2312" w:hAnsi="宋体" w:eastAsia="仿宋" w:cs="仿宋_GB2312"/>
          <w:sz w:val="32"/>
          <w:szCs w:val="28"/>
          <w:lang w:bidi="ar"/>
        </w:rPr>
        <w:t>91万元。</w:t>
      </w:r>
    </w:p>
    <w:p w14:paraId="2EA0202A">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（2）未按照招标文件或中标通知书规定时间签订合同、在中标通知书发出之前签订合同</w:t>
      </w:r>
    </w:p>
    <w:p w14:paraId="28B4A2A8">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市住建局城市设计项目、马尔康市教育局采购第四小学会议室办公设备及学生生活设备项目、马尔康市公用事业管理局2018年第四批新增地方政府债券资金（2018年新型城镇化建设）项目、梭磨乡乡村振兴资金-梭磨乡毛木初村圈舍建设工程。</w:t>
      </w:r>
    </w:p>
    <w:p w14:paraId="09DBE73B">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（3）未按照招投标核准意见规定招标</w:t>
      </w:r>
    </w:p>
    <w:p w14:paraId="5CB15E9A">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涉及项目：市交通局跨河大桥项目、马尔康市教育局向木尔宗乡中心校教师周转宿舍建设项目。</w:t>
      </w:r>
    </w:p>
    <w:p w14:paraId="10273D04">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（4）实际开工时间早于监理开工令发出时间</w:t>
      </w:r>
    </w:p>
    <w:p w14:paraId="2B3E1C64">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涉及项目：市交通局党坝乡地拉秋村跨河大桥项目。</w:t>
      </w:r>
    </w:p>
    <w:p w14:paraId="568F9E00">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（5）项目未按预期进度完工</w:t>
      </w:r>
    </w:p>
    <w:p w14:paraId="31F0914E">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涉及项目：阿底村防洪堤综合治理工程、马尔康市融媒体中心建设建设项目。</w:t>
      </w:r>
    </w:p>
    <w:p w14:paraId="35593F94">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（6）合同签订不规范，如：合同签订时间在项目实施之后、合同内容前后矛盾、合同签订时间晚于项目开始日期、</w:t>
      </w:r>
    </w:p>
    <w:p w14:paraId="66689F01">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自然资源局地质灾害综合防治体系建设避险搬迁安置项目、中共马尔康市委员会宣传部市融媒体中心建设项目、马尔康市教育局向木尔宗乡中心校教师周转宿舍建设项目、马尔康市住建局城市设计项目。</w:t>
      </w:r>
    </w:p>
    <w:p w14:paraId="0AA2E681">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（7）合同在采购完成后签订</w:t>
      </w:r>
    </w:p>
    <w:p w14:paraId="09589D12">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涉及项目：中共马尔康市委员会宣传部2019年第八届嘉绒锅庄文化旅游节项目。</w:t>
      </w:r>
    </w:p>
    <w:p w14:paraId="3E822FBE">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（8）项目验收手续不全</w:t>
      </w:r>
    </w:p>
    <w:p w14:paraId="36607148">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涉及项目：中共马尔康市委员会宣传部第八届加绒锅庄文化旅游节项目、马尔康市公用事业管理局2018年第四批新增地方政府债券资金（2018年新型城镇化建设）项目。</w:t>
      </w:r>
    </w:p>
    <w:p w14:paraId="76A2D8C5">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（9）项目完工后未及时正常运营，项目效果一般</w:t>
      </w:r>
    </w:p>
    <w:p w14:paraId="1817FE05">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涉及项目：马尔康嘉绒投资有限责任公司松岗天街配套基础设施建设项目。</w:t>
      </w:r>
    </w:p>
    <w:p w14:paraId="5BAAA69E">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0</w:t>
      </w:r>
      <w:r>
        <w:rPr>
          <w:rFonts w:hint="eastAsia" w:ascii="仿宋_GB2312" w:hAnsi="宋体" w:eastAsia="仿宋" w:cs="仿宋_GB2312"/>
          <w:bCs/>
          <w:sz w:val="32"/>
          <w:szCs w:val="28"/>
          <w:lang w:bidi="ar"/>
        </w:rPr>
        <w:t>）项目投资履行变更程序滞后</w:t>
      </w:r>
    </w:p>
    <w:p w14:paraId="55C21E64">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涉及项目：马尔康嘉绒投资公司松岗天街配套基础设施建设项目。</w:t>
      </w:r>
    </w:p>
    <w:p w14:paraId="79C744FB">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1</w:t>
      </w:r>
      <w:r>
        <w:rPr>
          <w:rFonts w:hint="eastAsia" w:ascii="仿宋_GB2312" w:hAnsi="宋体" w:eastAsia="仿宋" w:cs="仿宋_GB2312"/>
          <w:bCs/>
          <w:sz w:val="32"/>
          <w:szCs w:val="28"/>
          <w:lang w:bidi="ar"/>
        </w:rPr>
        <w:t>）审批签字手续不全</w:t>
      </w:r>
    </w:p>
    <w:p w14:paraId="5289A4BC">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涉及项目：住建局阿底村防洪堤项目、中共马尔康市委员会宣传部第八届嘉绒锅庄文化旅游节项目、马尔康嘉绒投资公司松岗柯盘天街配套基础设施建设及景区打造项目。</w:t>
      </w:r>
    </w:p>
    <w:p w14:paraId="0963B3C6">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2</w:t>
      </w:r>
      <w:r>
        <w:rPr>
          <w:rFonts w:hint="eastAsia" w:ascii="仿宋_GB2312" w:hAnsi="宋体" w:eastAsia="仿宋" w:cs="仿宋_GB2312"/>
          <w:bCs/>
          <w:sz w:val="32"/>
          <w:szCs w:val="28"/>
          <w:lang w:bidi="ar"/>
        </w:rPr>
        <w:t>）项目报销发票抬头非本单位、发票未盖章</w:t>
      </w:r>
    </w:p>
    <w:p w14:paraId="1CB9528B">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涉及项目：中共马尔康市委员会宣传部第八届嘉绒锅庄文化旅游节项目。</w:t>
      </w:r>
    </w:p>
    <w:p w14:paraId="4974E480">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3</w:t>
      </w:r>
      <w:r>
        <w:rPr>
          <w:rFonts w:hint="eastAsia" w:ascii="仿宋_GB2312" w:hAnsi="宋体" w:eastAsia="仿宋" w:cs="仿宋_GB2312"/>
          <w:bCs/>
          <w:sz w:val="32"/>
          <w:szCs w:val="28"/>
          <w:lang w:bidi="ar"/>
        </w:rPr>
        <w:t>）未按合同约定扣工程质保金</w:t>
      </w:r>
    </w:p>
    <w:p w14:paraId="540E6D99">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涉及项目：梭磨乡人民政府2019年乡村振兴资金-毛木初村村容村貌提升工程。</w:t>
      </w:r>
    </w:p>
    <w:p w14:paraId="08251A38">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4</w:t>
      </w:r>
      <w:r>
        <w:rPr>
          <w:rFonts w:hint="eastAsia" w:ascii="仿宋_GB2312" w:hAnsi="宋体" w:eastAsia="仿宋" w:cs="仿宋_GB2312"/>
          <w:bCs/>
          <w:sz w:val="32"/>
          <w:szCs w:val="28"/>
          <w:lang w:bidi="ar"/>
        </w:rPr>
        <w:t>）项目完成质量不达标</w:t>
      </w:r>
    </w:p>
    <w:p w14:paraId="3C2BC2B7">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涉及项目：市林草局重要道路绿化及城区绿化提升项目。</w:t>
      </w:r>
    </w:p>
    <w:p w14:paraId="15FC1510">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5</w:t>
      </w:r>
      <w:r>
        <w:rPr>
          <w:rFonts w:hint="eastAsia" w:ascii="仿宋_GB2312" w:hAnsi="宋体" w:eastAsia="仿宋" w:cs="仿宋_GB2312"/>
          <w:bCs/>
          <w:sz w:val="32"/>
          <w:szCs w:val="28"/>
          <w:lang w:bidi="ar"/>
        </w:rPr>
        <w:t>）项目资金分配未体现资金性质，分配不合理</w:t>
      </w:r>
    </w:p>
    <w:p w14:paraId="2FAE5F80">
      <w:pPr>
        <w:spacing w:line="560" w:lineRule="exact"/>
        <w:ind w:firstLine="560"/>
        <w:rPr>
          <w:rFonts w:hint="eastAsia" w:ascii="仿宋_GB2312" w:hAnsi="宋体" w:eastAsia="仿宋" w:cs="仿宋_GB2312"/>
          <w:sz w:val="32"/>
          <w:szCs w:val="28"/>
          <w:lang w:bidi="ar"/>
        </w:rPr>
      </w:pPr>
      <w:bookmarkStart w:id="2" w:name="_Hlk57668364"/>
      <w:r>
        <w:rPr>
          <w:rFonts w:hint="eastAsia" w:ascii="仿宋_GB2312" w:hAnsi="宋体" w:eastAsia="仿宋" w:cs="仿宋_GB2312"/>
          <w:sz w:val="32"/>
          <w:szCs w:val="28"/>
          <w:lang w:bidi="ar"/>
        </w:rPr>
        <w:t>涉及项目：市林草局重要道路绿化及城区绿化提升项目。</w:t>
      </w:r>
    </w:p>
    <w:bookmarkEnd w:id="2"/>
    <w:p w14:paraId="3040F735">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w:t>
      </w:r>
      <w:r>
        <w:rPr>
          <w:rFonts w:ascii="仿宋_GB2312" w:hAnsi="宋体" w:eastAsia="仿宋" w:cs="仿宋_GB2312"/>
          <w:bCs/>
          <w:sz w:val="32"/>
          <w:szCs w:val="28"/>
          <w:lang w:bidi="ar"/>
        </w:rPr>
        <w:t>16</w:t>
      </w:r>
      <w:r>
        <w:rPr>
          <w:rFonts w:hint="eastAsia" w:ascii="仿宋_GB2312" w:hAnsi="宋体" w:eastAsia="仿宋" w:cs="仿宋_GB2312"/>
          <w:bCs/>
          <w:sz w:val="32"/>
          <w:szCs w:val="28"/>
          <w:lang w:bidi="ar"/>
        </w:rPr>
        <w:t>）项目完工验收无对工程量的验收，无法核实完工工程量与实施方案批复内容相符</w:t>
      </w:r>
    </w:p>
    <w:p w14:paraId="0BD33B4F">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涉及项目：乡村振兴项目。</w:t>
      </w:r>
    </w:p>
    <w:p w14:paraId="227725CC">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7</w:t>
      </w:r>
      <w:r>
        <w:rPr>
          <w:rFonts w:hint="eastAsia" w:ascii="仿宋_GB2312" w:hAnsi="宋体" w:eastAsia="仿宋" w:cs="仿宋_GB2312"/>
          <w:bCs/>
          <w:sz w:val="32"/>
          <w:szCs w:val="28"/>
          <w:lang w:bidi="ar"/>
        </w:rPr>
        <w:t>）未进行可行性论证</w:t>
      </w:r>
    </w:p>
    <w:p w14:paraId="767AEC76">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涉及项目：市交通局党坝乡地拉秋村跨河大桥、梭磨乡人民政府乡村振兴项目-毛木初村污水管网改造项目。</w:t>
      </w:r>
    </w:p>
    <w:p w14:paraId="35DB1FB9">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8</w:t>
      </w:r>
      <w:r>
        <w:rPr>
          <w:rFonts w:hint="eastAsia" w:ascii="仿宋_GB2312" w:hAnsi="宋体" w:eastAsia="仿宋" w:cs="仿宋_GB2312"/>
          <w:bCs/>
          <w:sz w:val="32"/>
          <w:szCs w:val="28"/>
          <w:lang w:bidi="ar"/>
        </w:rPr>
        <w:t>）项目实施前未设置绩效目标</w:t>
      </w:r>
    </w:p>
    <w:p w14:paraId="261E54E9">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松岗天街配套基础设施建设项目、马尔康市融媒体中心建设建设项目、2019年革命老区转移支付项目、市文体旅局松岗镇松岗村旅游综合服务设施项目、松岗柯盘天街景区标识标牌制作和安装项目、市发改局粮食低温库项目、市公服中心夜景照明工程、马尔康市公用事业管理局2018年第四批新增地方政府债券资金（2018年新型城镇化建设）项目、市住建局城市设计项目、市林草局重要道路绿化及城区绿化提升项目、乡村振兴项目。</w:t>
      </w:r>
    </w:p>
    <w:p w14:paraId="4003531E">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9</w:t>
      </w:r>
      <w:r>
        <w:rPr>
          <w:rFonts w:hint="eastAsia" w:ascii="仿宋_GB2312" w:hAnsi="宋体" w:eastAsia="仿宋" w:cs="仿宋_GB2312"/>
          <w:bCs/>
          <w:sz w:val="32"/>
          <w:szCs w:val="28"/>
          <w:lang w:bidi="ar"/>
        </w:rPr>
        <w:t>）项目实施进度缓慢，资金使用不及时</w:t>
      </w:r>
    </w:p>
    <w:p w14:paraId="7A53582F">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市自然资源局2019年地质灾害综合防治体系建设项目、、卓克基人民政府2019年革命老区转移支付项目、松岗柯盘天街景区标识标牌制作和安装项目、市交通局彩票公益金项目、市农牧局草原防灭火项目、市公安局看守拘留所建设项目、市发改局粮食低温储备库建设项目、马尔康市教育局木尔宗乡中心校教师周转房建设项目、市住建局城市设计项目、马尔康市人民医院热水系统（太阳能）项目、松岗天街配套基础设施建设项目、乡村振兴项目-马尔康市松岗村、直波村生活污水处理厂及配套管网建设项目。</w:t>
      </w:r>
    </w:p>
    <w:p w14:paraId="002994E2">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（2</w:t>
      </w:r>
      <w:r>
        <w:rPr>
          <w:rFonts w:ascii="仿宋_GB2312" w:hAnsi="宋体" w:eastAsia="仿宋" w:cs="仿宋_GB2312"/>
          <w:bCs/>
          <w:sz w:val="32"/>
          <w:szCs w:val="28"/>
          <w:lang w:bidi="ar"/>
        </w:rPr>
        <w:t>0</w:t>
      </w:r>
      <w:r>
        <w:rPr>
          <w:rFonts w:hint="eastAsia" w:ascii="仿宋_GB2312" w:hAnsi="宋体" w:eastAsia="仿宋" w:cs="仿宋_GB2312"/>
          <w:bCs/>
          <w:sz w:val="32"/>
          <w:szCs w:val="28"/>
          <w:lang w:bidi="ar"/>
        </w:rPr>
        <w:t>）违规将施工单位质保金转入单位开设账户</w:t>
      </w:r>
    </w:p>
    <w:p w14:paraId="37CC5F96">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涉及项目：市文体旅局松岗柯盘天街景区标识标牌制作和安装项目。</w:t>
      </w:r>
    </w:p>
    <w:p w14:paraId="6FA62370">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(2</w:t>
      </w:r>
      <w:r>
        <w:rPr>
          <w:rFonts w:ascii="仿宋_GB2312" w:hAnsi="宋体" w:eastAsia="仿宋" w:cs="仿宋_GB2312"/>
          <w:bCs/>
          <w:sz w:val="32"/>
          <w:szCs w:val="28"/>
          <w:lang w:bidi="ar"/>
        </w:rPr>
        <w:t>1</w:t>
      </w:r>
      <w:r>
        <w:rPr>
          <w:rFonts w:hint="eastAsia" w:ascii="仿宋_GB2312" w:hAnsi="宋体" w:eastAsia="仿宋" w:cs="仿宋_GB2312"/>
          <w:bCs/>
          <w:sz w:val="32"/>
          <w:szCs w:val="28"/>
          <w:lang w:bidi="ar"/>
        </w:rPr>
        <w:t>)项目资料保管不善</w:t>
      </w:r>
    </w:p>
    <w:p w14:paraId="763A5583">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涉及项目：市文体旅局松岗镇松岗村旅游综合服务设施项目-松岗村村容村貌提升及文化创意打造采购项目。</w:t>
      </w:r>
    </w:p>
    <w:p w14:paraId="336DE454">
      <w:pPr>
        <w:spacing w:after="172" w:line="560" w:lineRule="exact"/>
        <w:ind w:firstLine="643"/>
        <w:rPr>
          <w:rFonts w:hint="eastAsia" w:ascii="楷体_GB2312" w:hAnsi="楷体_GB2312" w:eastAsia="仿宋" w:cs="楷体_GB2312"/>
          <w:bCs/>
          <w:sz w:val="32"/>
          <w:szCs w:val="32"/>
          <w:lang w:bidi="ar"/>
        </w:rPr>
      </w:pPr>
      <w:r>
        <w:rPr>
          <w:rFonts w:hint="eastAsia" w:ascii="楷体_GB2312" w:hAnsi="楷体_GB2312" w:eastAsia="仿宋" w:cs="楷体_GB2312"/>
          <w:bCs/>
          <w:sz w:val="32"/>
          <w:szCs w:val="32"/>
          <w:lang w:bidi="ar"/>
        </w:rPr>
        <w:t>2、部门整体支出</w:t>
      </w:r>
    </w:p>
    <w:p w14:paraId="70AB5A2C">
      <w:pPr>
        <w:spacing w:after="172" w:line="560" w:lineRule="exact"/>
        <w:ind w:firstLine="643"/>
        <w:rPr>
          <w:rFonts w:ascii="楷体_GB2312" w:hAnsi="楷体_GB2312" w:eastAsia="仿宋" w:cs="楷体_GB2312"/>
          <w:bCs/>
          <w:sz w:val="32"/>
          <w:szCs w:val="32"/>
          <w:lang w:bidi="ar"/>
        </w:rPr>
      </w:pPr>
      <w:r>
        <w:rPr>
          <w:rFonts w:hint="eastAsia" w:ascii="仿宋_GB2312" w:hAnsi="仿宋_GB2312" w:eastAsia="仿宋" w:cs="仿宋_GB2312"/>
          <w:color w:val="auto"/>
          <w:sz w:val="32"/>
          <w:szCs w:val="28"/>
        </w:rPr>
        <w:t>——预算编制不准确</w:t>
      </w:r>
    </w:p>
    <w:p w14:paraId="5EB9F7ED">
      <w:pPr>
        <w:spacing w:line="560" w:lineRule="exact"/>
        <w:ind w:firstLine="562"/>
        <w:rPr>
          <w:rFonts w:ascii="仿宋_GB2312" w:hAnsi="宋体" w:eastAsia="仿宋" w:cs="仿宋_GB2312"/>
          <w:sz w:val="32"/>
          <w:szCs w:val="28"/>
          <w:lang w:bidi="ar"/>
        </w:rPr>
      </w:pPr>
      <w:r>
        <w:rPr>
          <w:rFonts w:hint="eastAsia" w:ascii="仿宋_GB2312" w:hAnsi="宋体" w:eastAsia="仿宋" w:cs="宋体"/>
          <w:bCs/>
          <w:sz w:val="32"/>
          <w:szCs w:val="28"/>
          <w:shd w:val="clear" w:color="auto" w:fill="FFFFFF"/>
        </w:rPr>
        <w:t>涉及部门：</w:t>
      </w:r>
      <w:r>
        <w:rPr>
          <w:rFonts w:hint="eastAsia" w:ascii="仿宋_GB2312" w:hAnsi="宋体" w:eastAsia="仿宋" w:cs="仿宋_GB2312"/>
          <w:sz w:val="32"/>
          <w:szCs w:val="28"/>
          <w:lang w:bidi="ar"/>
        </w:rPr>
        <w:t>马尔康市人民法院、马尔康市生态环境局、马尔康市经信局、马尔康市住房和城乡建设局、马尔康市卫生健康局、马尔康市林业和草原局、马尔康市松岗镇人民政府、马尔康市人民检察院</w:t>
      </w:r>
    </w:p>
    <w:p w14:paraId="507B29BC">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我们的意见和建议：</w:t>
      </w:r>
      <w:r>
        <w:rPr>
          <w:rFonts w:hint="eastAsia" w:ascii="仿宋_GB2312" w:hAnsi="宋体" w:eastAsia="仿宋" w:cs="仿宋_GB2312"/>
          <w:sz w:val="32"/>
          <w:szCs w:val="28"/>
          <w:lang w:bidi="ar"/>
        </w:rPr>
        <w:t>建议被评价单位强化预算约束、建立节约意识、从严从紧编制预算、实事求是、精打细算、合理安排资金。</w:t>
      </w:r>
    </w:p>
    <w:p w14:paraId="106965C3">
      <w:pPr>
        <w:spacing w:line="560" w:lineRule="exact"/>
        <w:ind w:firstLine="562"/>
        <w:rPr>
          <w:rFonts w:ascii="仿宋_GB2312" w:hAnsi="宋体" w:eastAsia="仿宋" w:cs="仿宋_GB2312"/>
          <w:sz w:val="32"/>
          <w:szCs w:val="28"/>
          <w:lang w:bidi="ar"/>
        </w:rPr>
      </w:pPr>
      <w:r>
        <w:rPr>
          <w:rFonts w:hint="eastAsia" w:ascii="仿宋_GB2312" w:hAnsi="仿宋_GB2312" w:eastAsia="仿宋" w:cs="仿宋_GB2312"/>
          <w:color w:val="auto"/>
          <w:sz w:val="32"/>
          <w:szCs w:val="28"/>
        </w:rPr>
        <w:t>——三公经费超预算</w:t>
      </w:r>
    </w:p>
    <w:p w14:paraId="200B21D5">
      <w:pPr>
        <w:spacing w:line="560" w:lineRule="exact"/>
        <w:ind w:firstLine="562"/>
        <w:rPr>
          <w:rFonts w:ascii="仿宋_GB2312" w:hAnsi="宋体" w:eastAsia="仿宋" w:cs="仿宋_GB2312"/>
          <w:sz w:val="32"/>
          <w:szCs w:val="28"/>
          <w:lang w:bidi="ar"/>
        </w:rPr>
      </w:pPr>
      <w:r>
        <w:rPr>
          <w:rFonts w:hint="eastAsia" w:ascii="仿宋_GB2312" w:hAnsi="宋体" w:eastAsia="仿宋" w:cs="宋体"/>
          <w:bCs/>
          <w:sz w:val="32"/>
          <w:szCs w:val="28"/>
          <w:shd w:val="clear" w:color="auto" w:fill="FFFFFF"/>
        </w:rPr>
        <w:t>涉及部门：</w:t>
      </w:r>
      <w:r>
        <w:rPr>
          <w:rFonts w:hint="eastAsia" w:ascii="仿宋_GB2312" w:hAnsi="宋体" w:eastAsia="仿宋" w:cs="仿宋_GB2312"/>
          <w:sz w:val="32"/>
          <w:szCs w:val="28"/>
          <w:lang w:bidi="ar"/>
        </w:rPr>
        <w:t>马尔康市自然资源局、马尔康市经济商务和信息化局、马尔康市公共服务中心</w:t>
      </w:r>
    </w:p>
    <w:p w14:paraId="70E87D52">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我们的意见和建议：</w:t>
      </w:r>
      <w:r>
        <w:rPr>
          <w:rFonts w:hint="eastAsia" w:ascii="仿宋_GB2312" w:hAnsi="宋体" w:eastAsia="仿宋" w:cs="仿宋_GB2312"/>
          <w:sz w:val="32"/>
          <w:szCs w:val="28"/>
          <w:lang w:bidi="ar"/>
        </w:rPr>
        <w:t>被评价单位应严格执行“三公经费”预算；加强财务人员坚持原则的意识，对不符合规定的支出坚决不予报销。</w:t>
      </w:r>
    </w:p>
    <w:p w14:paraId="665D437D">
      <w:pPr>
        <w:spacing w:line="560" w:lineRule="exact"/>
        <w:ind w:firstLine="562"/>
        <w:rPr>
          <w:rFonts w:hint="eastAsia" w:ascii="仿宋_GB2312" w:hAnsi="宋体" w:eastAsia="仿宋" w:cs="仿宋_GB2312"/>
          <w:sz w:val="32"/>
          <w:szCs w:val="28"/>
          <w:lang w:bidi="ar"/>
        </w:rPr>
      </w:pPr>
      <w:r>
        <w:rPr>
          <w:rFonts w:hint="eastAsia" w:ascii="仿宋_GB2312" w:hAnsi="仿宋_GB2312" w:eastAsia="仿宋" w:cs="仿宋_GB2312"/>
          <w:color w:val="auto"/>
          <w:sz w:val="32"/>
          <w:szCs w:val="28"/>
        </w:rPr>
        <w:t>——账簿数据与资产报表数据不符</w:t>
      </w:r>
    </w:p>
    <w:p w14:paraId="54B1A81C">
      <w:pPr>
        <w:spacing w:line="560" w:lineRule="exact"/>
        <w:ind w:firstLine="562"/>
        <w:rPr>
          <w:rFonts w:ascii="仿宋_GB2312" w:hAnsi="宋体" w:eastAsia="仿宋" w:cs="仿宋_GB2312"/>
          <w:sz w:val="32"/>
          <w:szCs w:val="28"/>
          <w:lang w:bidi="ar"/>
        </w:rPr>
      </w:pPr>
      <w:r>
        <w:rPr>
          <w:rFonts w:hint="eastAsia" w:ascii="仿宋_GB2312" w:hAnsi="宋体" w:eastAsia="仿宋" w:cs="宋体"/>
          <w:bCs/>
          <w:sz w:val="32"/>
          <w:szCs w:val="28"/>
          <w:shd w:val="clear" w:color="auto" w:fill="FFFFFF"/>
        </w:rPr>
        <w:t>涉及部门：</w:t>
      </w:r>
      <w:r>
        <w:rPr>
          <w:rFonts w:hint="eastAsia" w:ascii="仿宋_GB2312" w:hAnsi="宋体" w:eastAsia="仿宋" w:cs="仿宋_GB2312"/>
          <w:sz w:val="32"/>
          <w:szCs w:val="28"/>
          <w:lang w:bidi="ar"/>
        </w:rPr>
        <w:t>马尔康市人民法院、马尔康市人民检察院、马尔康市应急管理局、马尔康市卫生健康局、马尔康市林业和草原局、马尔康市松岗镇人民政府</w:t>
      </w:r>
    </w:p>
    <w:p w14:paraId="03484F0B">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我们的意见和建议：</w:t>
      </w:r>
      <w:r>
        <w:rPr>
          <w:rFonts w:hint="eastAsia" w:ascii="仿宋_GB2312" w:hAnsi="宋体" w:eastAsia="仿宋" w:cs="仿宋_GB2312"/>
          <w:sz w:val="32"/>
          <w:szCs w:val="28"/>
          <w:lang w:bidi="ar"/>
        </w:rPr>
        <w:t>建议被评价单位将未登记入会计账簿的固定资产及时入账，确保账实相符。</w:t>
      </w:r>
    </w:p>
    <w:p w14:paraId="74B51980">
      <w:pPr>
        <w:spacing w:line="560" w:lineRule="exact"/>
        <w:ind w:firstLine="562"/>
        <w:rPr>
          <w:rFonts w:hint="eastAsia" w:ascii="仿宋_GB2312" w:hAnsi="宋体" w:eastAsia="仿宋" w:cs="仿宋_GB2312"/>
          <w:sz w:val="32"/>
          <w:szCs w:val="28"/>
          <w:lang w:bidi="ar"/>
        </w:rPr>
      </w:pPr>
      <w:r>
        <w:rPr>
          <w:rFonts w:hint="eastAsia" w:ascii="仿宋_GB2312" w:hAnsi="仿宋_GB2312" w:eastAsia="仿宋" w:cs="仿宋_GB2312"/>
          <w:color w:val="auto"/>
          <w:sz w:val="32"/>
          <w:szCs w:val="28"/>
        </w:rPr>
        <w:t>——部门整体绩效目标未按照规定制定，要素未完善/绩效目标指标不完整</w:t>
      </w:r>
    </w:p>
    <w:p w14:paraId="71583B68">
      <w:pPr>
        <w:spacing w:line="560" w:lineRule="exact"/>
        <w:ind w:firstLine="562"/>
        <w:rPr>
          <w:rFonts w:ascii="仿宋_GB2312" w:hAnsi="宋体" w:eastAsia="仿宋" w:cs="仿宋_GB2312"/>
          <w:sz w:val="32"/>
          <w:szCs w:val="28"/>
          <w:lang w:bidi="ar"/>
        </w:rPr>
      </w:pPr>
      <w:r>
        <w:rPr>
          <w:rFonts w:hint="eastAsia" w:ascii="仿宋_GB2312" w:hAnsi="宋体" w:eastAsia="仿宋" w:cs="宋体"/>
          <w:bCs/>
          <w:sz w:val="32"/>
          <w:szCs w:val="28"/>
          <w:shd w:val="clear" w:color="auto" w:fill="FFFFFF"/>
        </w:rPr>
        <w:t>涉及部门：</w:t>
      </w:r>
      <w:r>
        <w:rPr>
          <w:rFonts w:hint="eastAsia" w:ascii="仿宋_GB2312" w:hAnsi="宋体" w:eastAsia="仿宋" w:cs="仿宋_GB2312"/>
          <w:sz w:val="32"/>
          <w:szCs w:val="28"/>
          <w:lang w:bidi="ar"/>
        </w:rPr>
        <w:t>马尔康市住房和城乡建设局、马尔康市人民检察院、马尔康市应急管理局、马尔康市松岗镇人民政府、马尔康市机关事务管理局、马尔康市公务服务中心、马尔康市卫生健康局、马尔康市林业和草原局</w:t>
      </w:r>
    </w:p>
    <w:p w14:paraId="068DA733">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bCs/>
          <w:sz w:val="32"/>
          <w:szCs w:val="28"/>
          <w:lang w:bidi="ar"/>
        </w:rPr>
        <w:t>我们的意见和建议：</w:t>
      </w:r>
      <w:r>
        <w:rPr>
          <w:rFonts w:hint="eastAsia" w:ascii="仿宋_GB2312" w:hAnsi="宋体" w:eastAsia="仿宋" w:cs="仿宋_GB2312"/>
          <w:sz w:val="32"/>
          <w:szCs w:val="28"/>
          <w:lang w:bidi="ar"/>
        </w:rPr>
        <w:t>建议被评价单位及时将本单位</w:t>
      </w:r>
      <w:r>
        <w:rPr>
          <w:rFonts w:ascii="仿宋_GB2312" w:hAnsi="宋体" w:eastAsia="仿宋" w:cs="仿宋_GB2312"/>
          <w:sz w:val="32"/>
          <w:szCs w:val="28"/>
          <w:lang w:bidi="ar"/>
        </w:rPr>
        <w:t>行政</w:t>
      </w:r>
      <w:r>
        <w:rPr>
          <w:rFonts w:hint="eastAsia" w:ascii="仿宋_GB2312" w:hAnsi="宋体" w:eastAsia="仿宋" w:cs="仿宋_GB2312"/>
          <w:sz w:val="32"/>
          <w:szCs w:val="28"/>
          <w:lang w:bidi="ar"/>
        </w:rPr>
        <w:t>事业</w:t>
      </w:r>
      <w:r>
        <w:rPr>
          <w:rFonts w:ascii="仿宋_GB2312" w:hAnsi="宋体" w:eastAsia="仿宋" w:cs="仿宋_GB2312"/>
          <w:sz w:val="32"/>
          <w:szCs w:val="28"/>
          <w:lang w:bidi="ar"/>
        </w:rPr>
        <w:t>单位资产报表</w:t>
      </w:r>
      <w:r>
        <w:rPr>
          <w:rFonts w:hint="eastAsia" w:ascii="仿宋_GB2312" w:hAnsi="宋体" w:eastAsia="仿宋" w:cs="仿宋_GB2312"/>
          <w:sz w:val="32"/>
          <w:szCs w:val="28"/>
          <w:lang w:bidi="ar"/>
        </w:rPr>
        <w:t>上报至财政。</w:t>
      </w:r>
    </w:p>
    <w:p w14:paraId="27499766">
      <w:pPr>
        <w:spacing w:line="560" w:lineRule="exact"/>
        <w:ind w:firstLine="560"/>
        <w:rPr>
          <w:rFonts w:ascii="仿宋_GB2312" w:hAnsi="仿宋_GB2312" w:eastAsia="仿宋" w:cs="仿宋_GB2312"/>
          <w:bCs/>
          <w:sz w:val="32"/>
          <w:szCs w:val="28"/>
        </w:rPr>
      </w:pPr>
      <w:r>
        <w:rPr>
          <w:rFonts w:hint="eastAsia" w:ascii="仿宋_GB2312" w:hAnsi="宋体" w:eastAsia="仿宋" w:cs="仿宋_GB2312"/>
          <w:sz w:val="32"/>
          <w:szCs w:val="28"/>
          <w:lang w:bidi="ar"/>
        </w:rPr>
        <w:t>——</w:t>
      </w:r>
      <w:r>
        <w:rPr>
          <w:rFonts w:hint="eastAsia" w:ascii="仿宋_GB2312" w:hAnsi="仿宋_GB2312" w:eastAsia="仿宋" w:cs="仿宋_GB2312"/>
          <w:bCs/>
          <w:sz w:val="32"/>
          <w:szCs w:val="28"/>
        </w:rPr>
        <w:t>部门整体预算公开不完整、不准确</w:t>
      </w:r>
    </w:p>
    <w:p w14:paraId="3FBF6D53">
      <w:pPr>
        <w:spacing w:line="560" w:lineRule="exact"/>
        <w:ind w:firstLine="562"/>
        <w:rPr>
          <w:rFonts w:ascii="仿宋_GB2312" w:hAnsi="宋体" w:eastAsia="仿宋" w:cs="仿宋_GB2312"/>
          <w:sz w:val="32"/>
          <w:szCs w:val="28"/>
          <w:lang w:bidi="ar"/>
        </w:rPr>
      </w:pPr>
      <w:r>
        <w:rPr>
          <w:rFonts w:hint="eastAsia" w:ascii="仿宋_GB2312" w:hAnsi="宋体" w:eastAsia="仿宋" w:cs="宋体"/>
          <w:bCs/>
          <w:sz w:val="32"/>
          <w:szCs w:val="28"/>
          <w:shd w:val="clear" w:color="auto" w:fill="FFFFFF"/>
        </w:rPr>
        <w:t>涉及部门：</w:t>
      </w:r>
      <w:r>
        <w:rPr>
          <w:rFonts w:hint="eastAsia" w:ascii="仿宋_GB2312" w:hAnsi="宋体" w:eastAsia="仿宋" w:cs="仿宋_GB2312"/>
          <w:sz w:val="32"/>
          <w:szCs w:val="28"/>
          <w:lang w:bidi="ar"/>
        </w:rPr>
        <w:t>马尔康市卫生健康局、马尔康市自然资源局</w:t>
      </w:r>
    </w:p>
    <w:p w14:paraId="566C6515">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我们的意见和建议：</w:t>
      </w:r>
      <w:r>
        <w:rPr>
          <w:rFonts w:hint="eastAsia" w:ascii="仿宋_GB2312" w:hAnsi="宋体" w:eastAsia="仿宋" w:cs="仿宋_GB2312"/>
          <w:sz w:val="32"/>
          <w:szCs w:val="28"/>
          <w:lang w:bidi="ar"/>
        </w:rPr>
        <w:t>建议被评价单位严格按照</w:t>
      </w:r>
      <w:r>
        <w:rPr>
          <w:rFonts w:ascii="仿宋_GB2312" w:hAnsi="宋体" w:eastAsia="仿宋" w:cs="仿宋_GB2312"/>
          <w:sz w:val="32"/>
          <w:szCs w:val="28"/>
          <w:lang w:bidi="ar"/>
        </w:rPr>
        <w:t>《中华人民共和国预算法》</w:t>
      </w:r>
      <w:r>
        <w:rPr>
          <w:rFonts w:hint="eastAsia" w:ascii="仿宋_GB2312" w:hAnsi="宋体" w:eastAsia="仿宋" w:cs="仿宋_GB2312"/>
          <w:sz w:val="32"/>
          <w:szCs w:val="28"/>
          <w:lang w:bidi="ar"/>
        </w:rPr>
        <w:t>的要求公开预算信息。</w:t>
      </w:r>
    </w:p>
    <w:p w14:paraId="3A8EFA7F">
      <w:pPr>
        <w:pStyle w:val="2"/>
        <w:spacing w:before="156" w:after="156" w:line="560" w:lineRule="exact"/>
        <w:ind w:firstLine="640"/>
        <w:rPr>
          <w:rFonts w:hint="eastAsia" w:eastAsia="仿宋"/>
          <w:b w:val="0"/>
          <w:sz w:val="32"/>
          <w:szCs w:val="30"/>
        </w:rPr>
      </w:pPr>
      <w:r>
        <w:rPr>
          <w:rFonts w:hint="eastAsia" w:ascii="仿宋_GB2312" w:hAnsi="仿宋_GB2312" w:eastAsia="仿宋" w:cs="仿宋_GB2312"/>
          <w:b w:val="0"/>
          <w:sz w:val="32"/>
          <w:szCs w:val="28"/>
        </w:rPr>
        <w:t>——</w:t>
      </w:r>
      <w:r>
        <w:rPr>
          <w:rFonts w:hint="eastAsia" w:eastAsia="仿宋"/>
          <w:b w:val="0"/>
          <w:sz w:val="32"/>
          <w:szCs w:val="30"/>
        </w:rPr>
        <w:t>其他需要说明的情况</w:t>
      </w:r>
    </w:p>
    <w:p w14:paraId="7CD44826">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（1）政府采购未履行</w:t>
      </w:r>
    </w:p>
    <w:p w14:paraId="0839749E">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涉及部门：马尔康市融媒体中心</w:t>
      </w:r>
    </w:p>
    <w:p w14:paraId="6E5FB7C2">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（2）业务流程制度不完善</w:t>
      </w:r>
    </w:p>
    <w:p w14:paraId="29A740B4">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涉及部门：马尔康市融媒体中心</w:t>
      </w:r>
    </w:p>
    <w:p w14:paraId="2378425D">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我们的意见和建议：建议被评价单位按照部门职能及时制定业务流程相关规章制度，进一步规范业务流程管理。</w:t>
      </w:r>
    </w:p>
    <w:p w14:paraId="1306DB75">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（3）资产管理——</w:t>
      </w:r>
      <w:r>
        <w:rPr>
          <w:rFonts w:hint="eastAsia" w:ascii="仿宋_GB2312" w:hAnsi="宋体" w:eastAsia="仿宋" w:cs="仿宋_GB2312"/>
          <w:sz w:val="32"/>
          <w:szCs w:val="28"/>
          <w:lang w:bidi="ar"/>
        </w:rPr>
        <w:t>物资采购未经签字验收</w:t>
      </w:r>
    </w:p>
    <w:p w14:paraId="1E7229A8">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涉及部门：马尔康市融媒体中心、马尔康市公共服务中心、马尔康市人民检察院、马尔康市卫生健康局</w:t>
      </w:r>
    </w:p>
    <w:p w14:paraId="4E61D30B">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我们的意见和建议：建议被评价单位完善验收手续，保证帐物相符，防止盲目采购，避免物资短缺和流失。</w:t>
      </w:r>
    </w:p>
    <w:p w14:paraId="2535DC7E">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（4）出差审批签字手续滞后/不规范</w:t>
      </w:r>
    </w:p>
    <w:p w14:paraId="57515775">
      <w:pPr>
        <w:spacing w:line="560" w:lineRule="exact"/>
        <w:ind w:firstLine="560"/>
        <w:rPr>
          <w:rFonts w:hint="eastAsia" w:ascii="仿宋_GB2312" w:hAnsi="仿宋_GB2312" w:eastAsia="仿宋" w:cs="仿宋_GB2312"/>
          <w:bCs/>
          <w:sz w:val="32"/>
          <w:szCs w:val="28"/>
        </w:rPr>
      </w:pPr>
      <w:r>
        <w:rPr>
          <w:rFonts w:hint="eastAsia" w:ascii="仿宋_GB2312" w:hAnsi="宋体" w:eastAsia="仿宋" w:cs="仿宋_GB2312"/>
          <w:sz w:val="32"/>
          <w:szCs w:val="28"/>
          <w:lang w:bidi="ar"/>
        </w:rPr>
        <w:t>涉及部门：</w:t>
      </w:r>
      <w:r>
        <w:rPr>
          <w:rFonts w:hint="eastAsia" w:ascii="仿宋_GB2312" w:hAnsi="仿宋_GB2312" w:eastAsia="仿宋" w:cs="仿宋_GB2312"/>
          <w:bCs/>
          <w:sz w:val="32"/>
          <w:szCs w:val="28"/>
        </w:rPr>
        <w:t>马尔康市人民法院、马尔康市自然资源局、马尔康市融媒体中心、马尔康市卫生健康局、马尔康市生态环境局</w:t>
      </w:r>
    </w:p>
    <w:p w14:paraId="5B5AF1A3">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我们的意见和建议：建议被评价单位从严出差审批，</w:t>
      </w:r>
      <w:r>
        <w:rPr>
          <w:rFonts w:hint="eastAsia" w:ascii="仿宋_GB2312" w:hAnsi="仿宋_GB2312" w:eastAsia="仿宋" w:cs="仿宋_GB2312"/>
          <w:bCs/>
          <w:sz w:val="32"/>
          <w:szCs w:val="28"/>
        </w:rPr>
        <w:t>严格先审批、后出差的报批程序），从严控制出差人数和天数。</w:t>
      </w:r>
    </w:p>
    <w:p w14:paraId="4B6B3B5C">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（5）</w:t>
      </w:r>
      <w:r>
        <w:rPr>
          <w:rFonts w:ascii="仿宋_GB2312" w:hAnsi="仿宋_GB2312" w:eastAsia="仿宋" w:cs="仿宋_GB2312"/>
          <w:bCs/>
          <w:sz w:val="32"/>
          <w:szCs w:val="28"/>
        </w:rPr>
        <w:t>公务接待不规范</w:t>
      </w:r>
    </w:p>
    <w:p w14:paraId="167B4148">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涉及部门：马尔康市人民法院、马尔康市公共服务中心、马尔康市应急管理局、马尔康市卫生健康局、马尔康市水务局、马尔康市松岗镇人民政府</w:t>
      </w:r>
    </w:p>
    <w:p w14:paraId="288B10CE">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我们的意见和建议：建议被评价单位按规定标准用餐并支付费用；严格实行“三单”审核入账制度。</w:t>
      </w:r>
    </w:p>
    <w:p w14:paraId="7255FACA">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（6）发票时间晚于实际支付日期</w:t>
      </w:r>
    </w:p>
    <w:p w14:paraId="7B344A98">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涉及部门：马尔康市公共服务中心</w:t>
      </w:r>
    </w:p>
    <w:p w14:paraId="5B5EF355">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我们的意见和建议：</w:t>
      </w:r>
      <w:r>
        <w:rPr>
          <w:rFonts w:hint="eastAsia" w:ascii="仿宋_GB2312" w:hAnsi="仿宋_GB2312" w:eastAsia="仿宋" w:cs="仿宋_GB2312"/>
          <w:bCs/>
          <w:sz w:val="32"/>
          <w:szCs w:val="28"/>
        </w:rPr>
        <w:t>建议被评价单位加强对原始凭证审核和监督，对记载不准确、不完整的原始凭证，予以退回，要求经办人员更正、补充。</w:t>
      </w:r>
    </w:p>
    <w:p w14:paraId="34EABE14">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（7）未与供应商签订合同、供应商选择方式无记录的情况</w:t>
      </w:r>
    </w:p>
    <w:p w14:paraId="5456FD6D">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涉及部门：马尔康市公共服务中心</w:t>
      </w:r>
    </w:p>
    <w:p w14:paraId="7ED8207F">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w:t>
      </w:r>
      <w:r>
        <w:rPr>
          <w:rFonts w:hint="eastAsia" w:ascii="仿宋_GB2312" w:hAnsi="仿宋_GB2312" w:eastAsia="仿宋" w:cs="仿宋_GB2312"/>
          <w:bCs/>
          <w:sz w:val="32"/>
          <w:szCs w:val="28"/>
        </w:rPr>
        <w:t>建议被评价单位的</w:t>
      </w:r>
      <w:r>
        <w:rPr>
          <w:rFonts w:hint="eastAsia" w:ascii="仿宋_GB2312" w:hAnsi="宋体" w:eastAsia="仿宋" w:cs="仿宋_GB2312"/>
          <w:sz w:val="32"/>
          <w:szCs w:val="28"/>
          <w:lang w:bidi="ar"/>
        </w:rPr>
        <w:t>支出应当签订相关合同或协议。</w:t>
      </w:r>
    </w:p>
    <w:p w14:paraId="1C005BE3">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（8）签订合同清单金额与实际结算金额不一致</w:t>
      </w:r>
    </w:p>
    <w:p w14:paraId="4DD3C024">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涉及部门</w:t>
      </w:r>
      <w:r>
        <w:rPr>
          <w:rFonts w:hint="eastAsia" w:ascii="仿宋_GB2312" w:hAnsi="仿宋_GB2312" w:eastAsia="仿宋" w:cs="仿宋_GB2312"/>
          <w:bCs/>
          <w:sz w:val="32"/>
          <w:szCs w:val="28"/>
        </w:rPr>
        <w:t>：马尔康市应急管理局</w:t>
      </w:r>
    </w:p>
    <w:p w14:paraId="1C221C22">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w:t>
      </w:r>
      <w:r>
        <w:rPr>
          <w:rFonts w:hint="eastAsia" w:ascii="仿宋_GB2312" w:hAnsi="仿宋_GB2312" w:eastAsia="仿宋" w:cs="仿宋_GB2312"/>
          <w:bCs/>
          <w:sz w:val="32"/>
          <w:szCs w:val="28"/>
        </w:rPr>
        <w:t>建议被评价单位严格按照合同约定进行结算，加强审核，对金额不符的票据不予报销。</w:t>
      </w:r>
    </w:p>
    <w:p w14:paraId="7A7E3782">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（9）审核不严，多报销费用</w:t>
      </w:r>
    </w:p>
    <w:p w14:paraId="13376035">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涉及部门</w:t>
      </w:r>
      <w:r>
        <w:rPr>
          <w:rFonts w:hint="eastAsia" w:ascii="仿宋_GB2312" w:hAnsi="仿宋_GB2312" w:eastAsia="仿宋" w:cs="仿宋_GB2312"/>
          <w:bCs/>
          <w:sz w:val="32"/>
          <w:szCs w:val="28"/>
        </w:rPr>
        <w:t>：马尔康市应急管理局、马尔康市林业和草原局</w:t>
      </w:r>
    </w:p>
    <w:p w14:paraId="6F1033AA">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w:t>
      </w:r>
      <w:r>
        <w:rPr>
          <w:rFonts w:hint="eastAsia" w:ascii="仿宋_GB2312" w:hAnsi="仿宋_GB2312" w:eastAsia="仿宋" w:cs="仿宋_GB2312"/>
          <w:bCs/>
          <w:sz w:val="32"/>
          <w:szCs w:val="28"/>
        </w:rPr>
        <w:t>建议被评价单位严格按照合同约定进行结算，加强审核，对金额不符的票据不予报销。</w:t>
      </w:r>
    </w:p>
    <w:p w14:paraId="654A6527">
      <w:pPr>
        <w:spacing w:line="560" w:lineRule="exact"/>
        <w:ind w:firstLine="562"/>
        <w:rPr>
          <w:rFonts w:ascii="楷体" w:hAnsi="楷体" w:eastAsia="仿宋"/>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0</w:t>
      </w:r>
      <w:r>
        <w:rPr>
          <w:rFonts w:hint="eastAsia" w:ascii="仿宋_GB2312" w:hAnsi="仿宋_GB2312" w:eastAsia="仿宋" w:cs="仿宋_GB2312"/>
          <w:bCs/>
          <w:sz w:val="32"/>
          <w:szCs w:val="28"/>
        </w:rPr>
        <w:t>）未按款项性质列支费用</w:t>
      </w:r>
    </w:p>
    <w:p w14:paraId="3E731DF1">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涉及部门</w:t>
      </w:r>
      <w:r>
        <w:rPr>
          <w:rFonts w:hint="eastAsia" w:ascii="仿宋_GB2312" w:hAnsi="仿宋_GB2312" w:eastAsia="仿宋" w:cs="仿宋_GB2312"/>
          <w:bCs/>
          <w:sz w:val="32"/>
          <w:szCs w:val="28"/>
        </w:rPr>
        <w:t>：马尔康市应急管理局</w:t>
      </w:r>
    </w:p>
    <w:p w14:paraId="15A08DD0">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我们的意见和建议：</w:t>
      </w:r>
      <w:r>
        <w:rPr>
          <w:rFonts w:hint="eastAsia" w:ascii="仿宋_GB2312" w:hAnsi="仿宋_GB2312" w:eastAsia="仿宋" w:cs="仿宋_GB2312"/>
          <w:bCs/>
          <w:sz w:val="32"/>
          <w:szCs w:val="28"/>
        </w:rPr>
        <w:t>建议被评价单位会计人员应当对原始凭证进行审核和监督，按照规定列支费用。</w:t>
      </w:r>
    </w:p>
    <w:p w14:paraId="43F46F89">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1</w:t>
      </w:r>
      <w:r>
        <w:rPr>
          <w:rFonts w:hint="eastAsia" w:ascii="仿宋_GB2312" w:hAnsi="仿宋_GB2312" w:eastAsia="仿宋" w:cs="仿宋_GB2312"/>
          <w:bCs/>
          <w:sz w:val="32"/>
          <w:szCs w:val="28"/>
        </w:rPr>
        <w:t>）报销签字不齐全/财务审签制度执行不到位</w:t>
      </w:r>
    </w:p>
    <w:p w14:paraId="01F8D40F">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涉及部门：马尔康市水务局、马尔康市卫生健康局、马尔康市林业和草原局</w:t>
      </w:r>
    </w:p>
    <w:p w14:paraId="0737B640">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我们的意见和建议：建议被评价单位会计人员应当对原始凭证进行审核和监督，按照规定报销费用。</w:t>
      </w:r>
    </w:p>
    <w:p w14:paraId="0A22A8B8">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2</w:t>
      </w:r>
      <w:r>
        <w:rPr>
          <w:rFonts w:hint="eastAsia" w:ascii="仿宋_GB2312" w:hAnsi="仿宋_GB2312" w:eastAsia="仿宋" w:cs="仿宋_GB2312"/>
          <w:bCs/>
          <w:sz w:val="32"/>
          <w:szCs w:val="28"/>
        </w:rPr>
        <w:t>）三家公司参与比选询价，其中两家公司存在关联方关系</w:t>
      </w:r>
    </w:p>
    <w:p w14:paraId="170A87B2">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涉及部门：马尔康市经信局</w:t>
      </w:r>
    </w:p>
    <w:p w14:paraId="7AABC6A2">
      <w:pPr>
        <w:spacing w:line="560" w:lineRule="exact"/>
        <w:ind w:firstLine="562"/>
        <w:rPr>
          <w:rFonts w:ascii="仿宋_GB2312" w:hAnsi="仿宋_GB2312" w:eastAsia="仿宋" w:cs="仿宋_GB2312"/>
          <w:bCs/>
          <w:color w:val="FF0000"/>
          <w:sz w:val="32"/>
          <w:szCs w:val="28"/>
        </w:rPr>
      </w:pPr>
      <w:r>
        <w:rPr>
          <w:rFonts w:hint="eastAsia" w:ascii="仿宋_GB2312" w:hAnsi="仿宋_GB2312" w:eastAsia="仿宋" w:cs="仿宋_GB2312"/>
          <w:bCs/>
          <w:sz w:val="32"/>
          <w:szCs w:val="28"/>
        </w:rPr>
        <w:t>我们的意见和建议：建议被评价单位严格按照规定程序比选询价，加强对供应商资格的审查</w:t>
      </w:r>
      <w:r>
        <w:rPr>
          <w:rFonts w:hint="eastAsia" w:ascii="仿宋_GB2312" w:hAnsi="仿宋_GB2312" w:eastAsia="仿宋" w:cs="仿宋_GB2312"/>
          <w:bCs/>
          <w:color w:val="FF0000"/>
          <w:sz w:val="32"/>
          <w:szCs w:val="28"/>
        </w:rPr>
        <w:t>。</w:t>
      </w:r>
    </w:p>
    <w:p w14:paraId="387D232F">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3</w:t>
      </w:r>
      <w:r>
        <w:rPr>
          <w:rFonts w:hint="eastAsia" w:ascii="仿宋_GB2312" w:hAnsi="仿宋_GB2312" w:eastAsia="仿宋" w:cs="仿宋_GB2312"/>
          <w:bCs/>
          <w:sz w:val="32"/>
          <w:szCs w:val="28"/>
        </w:rPr>
        <w:t>）比选程序不规范</w:t>
      </w:r>
    </w:p>
    <w:p w14:paraId="7E4AB06A">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涉及部门：马尔康市应急管理局</w:t>
      </w:r>
    </w:p>
    <w:p w14:paraId="242533DB">
      <w:pPr>
        <w:spacing w:line="560" w:lineRule="exact"/>
        <w:ind w:firstLine="562"/>
        <w:rPr>
          <w:rFonts w:ascii="仿宋_GB2312" w:hAnsi="仿宋_GB2312" w:eastAsia="仿宋" w:cs="仿宋_GB2312"/>
          <w:bCs/>
          <w:color w:val="FF0000"/>
          <w:sz w:val="32"/>
          <w:szCs w:val="28"/>
        </w:rPr>
      </w:pPr>
      <w:r>
        <w:rPr>
          <w:rFonts w:hint="eastAsia" w:ascii="仿宋_GB2312" w:hAnsi="仿宋_GB2312" w:eastAsia="仿宋" w:cs="仿宋_GB2312"/>
          <w:bCs/>
          <w:sz w:val="32"/>
          <w:szCs w:val="28"/>
        </w:rPr>
        <w:t>我们的意见和建议：建议被评价单位从严政府采购程序，对采购合规性进行把关。</w:t>
      </w:r>
    </w:p>
    <w:p w14:paraId="4230C867">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4</w:t>
      </w:r>
      <w:r>
        <w:rPr>
          <w:rFonts w:hint="eastAsia" w:ascii="仿宋_GB2312" w:hAnsi="仿宋_GB2312" w:eastAsia="仿宋" w:cs="仿宋_GB2312"/>
          <w:bCs/>
          <w:sz w:val="32"/>
          <w:szCs w:val="28"/>
        </w:rPr>
        <w:t>）收费许可证已过期，未及时更换</w:t>
      </w:r>
    </w:p>
    <w:p w14:paraId="3874ABE2">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涉及部门：马尔康市应急管理局</w:t>
      </w:r>
    </w:p>
    <w:p w14:paraId="13EC6807">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我们的意见和建议：建议被评价单位加强管理，及时办理换证手续。</w:t>
      </w:r>
    </w:p>
    <w:p w14:paraId="569F0ED7">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5</w:t>
      </w:r>
      <w:r>
        <w:rPr>
          <w:rFonts w:hint="eastAsia" w:ascii="仿宋_GB2312" w:hAnsi="仿宋_GB2312" w:eastAsia="仿宋" w:cs="仿宋_GB2312"/>
          <w:bCs/>
          <w:sz w:val="32"/>
          <w:szCs w:val="28"/>
        </w:rPr>
        <w:t>）物资发放未附领取附件</w:t>
      </w:r>
    </w:p>
    <w:p w14:paraId="3CF7A702">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涉及部门：马尔康市应急管理局</w:t>
      </w:r>
    </w:p>
    <w:p w14:paraId="02ECDBEE">
      <w:pPr>
        <w:spacing w:line="560" w:lineRule="exact"/>
        <w:ind w:firstLine="562"/>
        <w:rPr>
          <w:rFonts w:ascii="仿宋_GB2312" w:hAnsi="仿宋_GB2312" w:eastAsia="仿宋" w:cs="仿宋_GB2312"/>
          <w:bCs/>
          <w:sz w:val="32"/>
          <w:szCs w:val="28"/>
        </w:rPr>
      </w:pPr>
    </w:p>
    <w:p w14:paraId="0B2D2EBA">
      <w:pPr>
        <w:spacing w:after="172" w:line="560" w:lineRule="exact"/>
        <w:ind w:firstLine="643"/>
        <w:rPr>
          <w:rFonts w:ascii="楷体_GB2312" w:hAnsi="楷体_GB2312" w:eastAsia="仿宋" w:cs="楷体_GB2312"/>
          <w:b/>
          <w:bCs/>
          <w:sz w:val="32"/>
          <w:szCs w:val="32"/>
          <w:lang w:bidi="ar"/>
        </w:rPr>
      </w:pPr>
      <w:r>
        <w:rPr>
          <w:rFonts w:hint="eastAsia" w:ascii="楷体_GB2312" w:hAnsi="楷体_GB2312" w:eastAsia="仿宋" w:cs="楷体_GB2312"/>
          <w:b/>
          <w:bCs/>
          <w:sz w:val="32"/>
          <w:szCs w:val="32"/>
          <w:lang w:bidi="ar"/>
        </w:rPr>
        <w:t>（四）财政政策</w:t>
      </w:r>
    </w:p>
    <w:p w14:paraId="1119A321">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1、项目在乡（镇）人民政府审批之前已实施</w:t>
      </w:r>
    </w:p>
    <w:p w14:paraId="0F9AF80B">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涉及项目：2019年基层组织活动和公共服务运行项目日部乡、草登乡、党坝乡、脚木足乡。</w:t>
      </w:r>
    </w:p>
    <w:p w14:paraId="34EB4161">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2、项目实施审批签字手续不全</w:t>
      </w:r>
    </w:p>
    <w:p w14:paraId="06759693">
      <w:pPr>
        <w:spacing w:line="560" w:lineRule="exact"/>
        <w:ind w:firstLine="560"/>
        <w:rPr>
          <w:rFonts w:ascii="仿宋_GB2312" w:hAnsi="宋体" w:eastAsia="仿宋" w:cs="仿宋_GB2312"/>
          <w:sz w:val="32"/>
          <w:szCs w:val="28"/>
          <w:lang w:bidi="ar"/>
        </w:rPr>
      </w:pPr>
      <w:bookmarkStart w:id="3" w:name="_Hlk57728120"/>
      <w:r>
        <w:rPr>
          <w:rFonts w:hint="eastAsia" w:ascii="仿宋_GB2312" w:hAnsi="宋体" w:eastAsia="仿宋" w:cs="仿宋_GB2312"/>
          <w:sz w:val="32"/>
          <w:szCs w:val="28"/>
          <w:lang w:bidi="ar"/>
        </w:rPr>
        <w:t>涉及项目：2019年基层组织活动和公共服务运行项目</w:t>
      </w:r>
      <w:bookmarkEnd w:id="3"/>
      <w:r>
        <w:rPr>
          <w:rFonts w:hint="eastAsia" w:ascii="仿宋_GB2312" w:hAnsi="宋体" w:eastAsia="仿宋" w:cs="仿宋_GB2312"/>
          <w:sz w:val="32"/>
          <w:szCs w:val="28"/>
          <w:lang w:bidi="ar"/>
        </w:rPr>
        <w:t>草登乡、脚木足乡、梭磨乡人民政府。</w:t>
      </w:r>
    </w:p>
    <w:p w14:paraId="529D4C83">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3、村民意见汇总表和签字人数不一致</w:t>
      </w:r>
    </w:p>
    <w:p w14:paraId="7FFED35C">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涉及项目：2019年基层组织活动和公共服务运行项目党坝乡、马尔康镇。</w:t>
      </w:r>
    </w:p>
    <w:p w14:paraId="0F8F27FB">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4、未按规定公示评标报告</w:t>
      </w:r>
    </w:p>
    <w:p w14:paraId="7DC93F13">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涉及项目：2019年基层组织活动和公共服务运行项目沙尔宗镇、松岗镇。</w:t>
      </w:r>
    </w:p>
    <w:p w14:paraId="0B2D7A1E">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5、项目在中标之前已开始实施</w:t>
      </w:r>
    </w:p>
    <w:p w14:paraId="690A8866">
      <w:pPr>
        <w:spacing w:line="560" w:lineRule="exact"/>
        <w:ind w:firstLine="560"/>
        <w:rPr>
          <w:rFonts w:ascii="仿宋_GB2312" w:hAnsi="宋体" w:eastAsia="仿宋" w:cs="仿宋_GB2312"/>
          <w:sz w:val="32"/>
          <w:szCs w:val="28"/>
          <w:lang w:bidi="ar"/>
        </w:rPr>
      </w:pPr>
      <w:bookmarkStart w:id="4" w:name="_Hlk57728338"/>
      <w:r>
        <w:rPr>
          <w:rFonts w:hint="eastAsia" w:ascii="仿宋_GB2312" w:hAnsi="宋体" w:eastAsia="仿宋" w:cs="仿宋_GB2312"/>
          <w:sz w:val="32"/>
          <w:szCs w:val="28"/>
          <w:lang w:bidi="ar"/>
        </w:rPr>
        <w:t>涉及项目：2019年基层组织活动和公共服务运行项目</w:t>
      </w:r>
      <w:bookmarkEnd w:id="4"/>
      <w:r>
        <w:rPr>
          <w:rFonts w:hint="eastAsia" w:ascii="仿宋_GB2312" w:hAnsi="宋体" w:eastAsia="仿宋" w:cs="仿宋_GB2312"/>
          <w:sz w:val="32"/>
          <w:szCs w:val="28"/>
          <w:lang w:bidi="ar"/>
        </w:rPr>
        <w:t>日部乡、松岗镇。</w:t>
      </w:r>
    </w:p>
    <w:p w14:paraId="4A844C8E">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6、理财小组、质量监督小组人员签字不符</w:t>
      </w:r>
    </w:p>
    <w:p w14:paraId="00B1DCF9">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涉及项目：2019年基层组织活动和公共服务运行项目康山乡、龙尔甲乡。</w:t>
      </w:r>
    </w:p>
    <w:p w14:paraId="27C96D2B">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7、中标通知书填写不规范，如未填写中标金额、未填写发出时间</w:t>
      </w:r>
    </w:p>
    <w:p w14:paraId="659E086C">
      <w:pPr>
        <w:spacing w:line="560" w:lineRule="exact"/>
        <w:ind w:firstLine="560"/>
        <w:rPr>
          <w:rFonts w:ascii="仿宋_GB2312" w:hAnsi="宋体" w:eastAsia="仿宋" w:cs="仿宋_GB2312"/>
          <w:sz w:val="32"/>
          <w:szCs w:val="28"/>
          <w:lang w:bidi="ar"/>
        </w:rPr>
      </w:pPr>
      <w:bookmarkStart w:id="5" w:name="_Hlk57728472"/>
      <w:r>
        <w:rPr>
          <w:rFonts w:hint="eastAsia" w:ascii="仿宋_GB2312" w:hAnsi="宋体" w:eastAsia="仿宋" w:cs="仿宋_GB2312"/>
          <w:sz w:val="32"/>
          <w:szCs w:val="28"/>
          <w:lang w:bidi="ar"/>
        </w:rPr>
        <w:t>涉及项目：2019年基层组织活动和公共服务运行项目</w:t>
      </w:r>
      <w:bookmarkEnd w:id="5"/>
      <w:r>
        <w:rPr>
          <w:rFonts w:hint="eastAsia" w:ascii="仿宋_GB2312" w:hAnsi="宋体" w:eastAsia="仿宋" w:cs="仿宋_GB2312"/>
          <w:sz w:val="32"/>
          <w:szCs w:val="28"/>
          <w:lang w:bidi="ar"/>
        </w:rPr>
        <w:t>草登乡、松岗镇。</w:t>
      </w:r>
    </w:p>
    <w:p w14:paraId="170E06B7">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8、公示不规范</w:t>
      </w:r>
    </w:p>
    <w:p w14:paraId="29472D08">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涉及项目：2019年基层组织活动和公共服务运行项目龙尔甲乡、木尔宗乡。各乡镇均存在公示时未写明公示期间，公示结束后未出具公示结果无异议的公示结果的情况。</w:t>
      </w:r>
    </w:p>
    <w:p w14:paraId="5669D14F">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9、项目执行进度缓慢，资金未及时使用</w:t>
      </w:r>
    </w:p>
    <w:p w14:paraId="414E878D">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涉及项目：2019年州级财政专项扶贫资金项目、2019年财政林业改革发展资金。</w:t>
      </w:r>
    </w:p>
    <w:p w14:paraId="4F75013E">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0</w:t>
      </w:r>
      <w:r>
        <w:rPr>
          <w:rFonts w:hint="eastAsia" w:ascii="仿宋_GB2312" w:hAnsi="宋体" w:eastAsia="仿宋" w:cs="仿宋_GB2312"/>
          <w:bCs/>
          <w:sz w:val="32"/>
          <w:szCs w:val="28"/>
          <w:lang w:bidi="ar"/>
        </w:rPr>
        <w:t>、项目实施前未设置项目预期绩效目标或设置不明朗，指标未量化</w:t>
      </w:r>
    </w:p>
    <w:p w14:paraId="0C5528C3">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涉及项目：2019年州级财政专项扶贫资金项目、2019年州级农资补贴资金项目、2019年城乡居民养老保险、2019年财政林业改革发展资金。</w:t>
      </w:r>
    </w:p>
    <w:p w14:paraId="200C59DC">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1</w:t>
      </w:r>
      <w:r>
        <w:rPr>
          <w:rFonts w:hint="eastAsia" w:ascii="仿宋_GB2312" w:hAnsi="宋体" w:eastAsia="仿宋" w:cs="仿宋_GB2312"/>
          <w:bCs/>
          <w:sz w:val="32"/>
          <w:szCs w:val="28"/>
          <w:lang w:bidi="ar"/>
        </w:rPr>
        <w:t>、项目未进行验收</w:t>
      </w:r>
    </w:p>
    <w:p w14:paraId="00A01AD7">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涉及项目：2019年州级财政专项扶贫资金项目。</w:t>
      </w:r>
    </w:p>
    <w:p w14:paraId="04C18CE7">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2</w:t>
      </w:r>
      <w:r>
        <w:rPr>
          <w:rFonts w:hint="eastAsia" w:ascii="仿宋_GB2312" w:hAnsi="宋体" w:eastAsia="仿宋" w:cs="仿宋_GB2312"/>
          <w:bCs/>
          <w:sz w:val="32"/>
          <w:szCs w:val="28"/>
          <w:lang w:bidi="ar"/>
        </w:rPr>
        <w:t>、未按照资金使用用途使用</w:t>
      </w:r>
    </w:p>
    <w:p w14:paraId="6D29C5F1">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涉及项目：2019年州级财政专项扶贫资金项目（2019年度州级财政专项扶贫资金用于归垫2017年扶贫保资金）、2019年州级农资补贴资金项目。</w:t>
      </w:r>
    </w:p>
    <w:p w14:paraId="3158E761">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3</w:t>
      </w:r>
      <w:r>
        <w:rPr>
          <w:rFonts w:hint="eastAsia" w:ascii="仿宋_GB2312" w:hAnsi="宋体" w:eastAsia="仿宋" w:cs="仿宋_GB2312"/>
          <w:bCs/>
          <w:sz w:val="32"/>
          <w:szCs w:val="28"/>
          <w:lang w:bidi="ar"/>
        </w:rPr>
        <w:t>、项目资金预算不够合理，资金的使用用途不够明确</w:t>
      </w:r>
    </w:p>
    <w:p w14:paraId="3F476B93">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涉及项目：2019年财政林业改革发展资金。</w:t>
      </w:r>
    </w:p>
    <w:p w14:paraId="50322DA3">
      <w:pPr>
        <w:spacing w:line="560" w:lineRule="exact"/>
        <w:ind w:firstLine="643" w:firstLineChars="200"/>
        <w:rPr>
          <w:rFonts w:hint="eastAsia" w:ascii="仿宋" w:hAnsi="仿宋" w:eastAsia="仿宋"/>
          <w:b/>
          <w:sz w:val="32"/>
          <w:szCs w:val="32"/>
        </w:rPr>
      </w:pPr>
    </w:p>
    <w:p w14:paraId="375E0D0F">
      <w:pPr>
        <w:spacing w:line="560" w:lineRule="exact"/>
        <w:ind w:firstLine="643" w:firstLineChars="200"/>
        <w:rPr>
          <w:rFonts w:ascii="仿宋" w:hAnsi="仿宋" w:eastAsia="仿宋"/>
          <w:b/>
          <w:sz w:val="32"/>
          <w:szCs w:val="32"/>
        </w:rPr>
      </w:pPr>
      <w:r>
        <w:rPr>
          <w:rFonts w:hint="eastAsia" w:ascii="仿宋" w:hAnsi="仿宋" w:eastAsia="仿宋"/>
          <w:b/>
          <w:sz w:val="32"/>
          <w:szCs w:val="32"/>
        </w:rPr>
        <w:t>五</w:t>
      </w:r>
      <w:r>
        <w:rPr>
          <w:rFonts w:ascii="仿宋" w:hAnsi="仿宋" w:eastAsia="仿宋"/>
          <w:b/>
          <w:sz w:val="32"/>
          <w:szCs w:val="32"/>
        </w:rPr>
        <w:t>、下一步工作安排</w:t>
      </w:r>
    </w:p>
    <w:p w14:paraId="03EA4605">
      <w:pPr>
        <w:spacing w:line="560" w:lineRule="exact"/>
        <w:ind w:firstLine="640" w:firstLineChars="200"/>
        <w:rPr>
          <w:rFonts w:ascii="仿宋" w:hAnsi="仿宋" w:eastAsia="仿宋"/>
          <w:sz w:val="32"/>
          <w:szCs w:val="32"/>
        </w:rPr>
      </w:pPr>
      <w:r>
        <w:rPr>
          <w:rFonts w:ascii="仿宋" w:hAnsi="仿宋" w:eastAsia="仿宋"/>
          <w:sz w:val="32"/>
          <w:szCs w:val="32"/>
        </w:rPr>
        <w:t>(一)全面夯实预算绩效管理基础。2021年逐步构建全方位预算绩效管理格局，建立全过程预算绩效管理链条，完善全覆盖预算绩效管理体系。继续完善绩效评价项目库，实施项目库动态监管，加快信息系统建设，创建综合管理平台，建立绩效评价工作联系机制，有序规范高效管理评价人员队伍、提高评价工作效率</w:t>
      </w:r>
      <w:r>
        <w:rPr>
          <w:rFonts w:hint="eastAsia" w:ascii="仿宋" w:hAnsi="仿宋" w:eastAsia="仿宋"/>
          <w:sz w:val="32"/>
          <w:szCs w:val="32"/>
        </w:rPr>
        <w:t>。</w:t>
      </w:r>
    </w:p>
    <w:p w14:paraId="15891760">
      <w:pPr>
        <w:spacing w:line="560" w:lineRule="exact"/>
        <w:ind w:firstLine="640" w:firstLineChars="200"/>
        <w:rPr>
          <w:rFonts w:hint="eastAsia" w:ascii="仿宋" w:hAnsi="仿宋" w:eastAsia="仿宋"/>
          <w:sz w:val="32"/>
          <w:szCs w:val="32"/>
        </w:rPr>
      </w:pPr>
      <w:r>
        <w:rPr>
          <w:rFonts w:ascii="仿宋" w:hAnsi="仿宋" w:eastAsia="仿宋"/>
          <w:sz w:val="32"/>
          <w:szCs w:val="32"/>
        </w:rPr>
        <w:t>(二)进一步加强绩效目标管理。依据国家相关政策、财政支出方向和重点、部门职能及事业发展规划等预算部门提出的绩效目标进行审核，包括绩效目标与部门职能的相关性、绩效目标的实现所采取措施的可行性、实现绩效目标所 需资金的合理性等。定期采集绩效运行信息并汇总分析，对绩效目标运行情况进行跟踪管理和督促检查，纠偏扬长，促进绩效目标的顺利实现。</w:t>
      </w:r>
    </w:p>
    <w:p w14:paraId="73CB97E8">
      <w:pPr>
        <w:spacing w:line="560" w:lineRule="exact"/>
        <w:ind w:firstLine="640" w:firstLineChars="200"/>
        <w:rPr>
          <w:rFonts w:hint="eastAsia" w:ascii="仿宋" w:hAnsi="仿宋" w:eastAsia="仿宋"/>
          <w:sz w:val="32"/>
          <w:szCs w:val="32"/>
        </w:rPr>
      </w:pPr>
      <w:r>
        <w:rPr>
          <w:rFonts w:ascii="仿宋" w:hAnsi="仿宋" w:eastAsia="仿宋"/>
          <w:sz w:val="32"/>
          <w:szCs w:val="32"/>
        </w:rPr>
        <w:t>(三)全面促进绩效深度融入预算。2021年，</w:t>
      </w:r>
      <w:r>
        <w:rPr>
          <w:rFonts w:hint="eastAsia" w:ascii="仿宋" w:hAnsi="仿宋" w:eastAsia="仿宋"/>
          <w:sz w:val="32"/>
          <w:szCs w:val="32"/>
        </w:rPr>
        <w:t>市财政</w:t>
      </w:r>
      <w:r>
        <w:rPr>
          <w:rFonts w:ascii="仿宋" w:hAnsi="仿宋" w:eastAsia="仿宋"/>
          <w:sz w:val="32"/>
          <w:szCs w:val="32"/>
        </w:rPr>
        <w:t>将从事前预算绩效评估、事中预算绩效监控、事后预算绩效评价、预算绩效目标管理和预算绩效结果应用，促进绩效深度融入预算，继续做深做实绩效目标、积极开展绩效监控、深度拓展绩效评价、严格实施结果应用。</w:t>
      </w:r>
    </w:p>
    <w:p w14:paraId="4A7D745B">
      <w:pPr>
        <w:spacing w:line="560" w:lineRule="exact"/>
        <w:ind w:firstLine="640" w:firstLineChars="200"/>
        <w:rPr>
          <w:rFonts w:ascii="仿宋" w:hAnsi="仿宋" w:eastAsia="仿宋"/>
          <w:sz w:val="32"/>
          <w:szCs w:val="32"/>
        </w:rPr>
      </w:pPr>
      <w:r>
        <w:rPr>
          <w:rFonts w:ascii="仿宋" w:hAnsi="仿宋" w:eastAsia="仿宋"/>
          <w:sz w:val="32"/>
          <w:szCs w:val="32"/>
        </w:rPr>
        <w:t>(四)继续完善绩效评价结果运用。运用绩效评价结果是绩效管理落到实处、取得实效的关键，也是全部工作的落脚点，一是建立绩效数据管理制度，在财政系统和部门之间实现数据共享。二是建立绩效评价结果与预算安排挂钩机 制，切实强化绩效评价结果应用，严格预算挂钩，将绩效评 价结果作为预算安排的重要依据。 三是建立绩效评价激励。预算绩效管理工作考评结果予以公开和通报，进一步增强部门的责任感和紧迫感。不断完善绩效评价结果的反馈和运用机制，绩效评价结果纳入县(市)党委政府目标考核范畴，以建立绩效问责机制。</w:t>
      </w:r>
      <w:r>
        <w:rPr>
          <w:rFonts w:ascii="仿宋" w:hAnsi="仿宋" w:eastAsia="仿宋"/>
          <w:sz w:val="32"/>
          <w:szCs w:val="32"/>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0</wp:posOffset>
                </wp:positionV>
                <wp:extent cx="1905" cy="1905"/>
                <wp:effectExtent l="0" t="0" r="0" b="0"/>
                <wp:wrapNone/>
                <wp:docPr id="128" name="矩形 128"/>
                <wp:cNvGraphicFramePr/>
                <a:graphic xmlns:a="http://schemas.openxmlformats.org/drawingml/2006/main">
                  <a:graphicData uri="http://schemas.microsoft.com/office/word/2010/wordprocessingShape">
                    <wps:wsp>
                      <wps:cNvSpPr>
                        <a:spLocks noChangeArrowheads="1"/>
                      </wps:cNvSpPr>
                      <wps:spPr bwMode="auto">
                        <a:xfrm>
                          <a:off x="0" y="0"/>
                          <a:ext cx="1905" cy="190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15pt;width:0.15pt;mso-position-horizontal-relative:page;mso-position-vertical-relative:page;z-index:251659264;mso-width-relative:page;mso-height-relative:page;" fillcolor="#000000" filled="t" stroked="f" coordsize="21600,21600" o:allowincell="f" o:gfxdata="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ST+ANAAAAD/AAAADwAAAAAAAAABACAA&#10;AAAiAAAAZHJzL2Rvd25yZXYueG1sUEsBAhQAFAAAAAgAh07iQAnRw1gVAgAAJQQAAA4AAAAAAAAA&#10;AQAgAAAAHwEAAGRycy9lMm9Eb2MueG1sUEsFBgAAAAAGAAYAWQEAAKYFAAAAAA==&#10;">
                <v:fill on="t" focussize="0,0"/>
                <v:stroke on="f"/>
                <v:imagedata o:title=""/>
                <o:lock v:ext="edit" aspectratio="f"/>
              </v:rect>
            </w:pict>
          </mc:Fallback>
        </mc:AlternateContent>
      </w:r>
    </w:p>
    <w:p w14:paraId="6BEE3348">
      <w:pPr>
        <w:spacing w:line="560" w:lineRule="exact"/>
        <w:ind w:firstLine="560"/>
        <w:rPr>
          <w:rFonts w:hint="eastAsia" w:ascii="仿宋_GB2312" w:hAnsi="宋体" w:eastAsia="仿宋" w:cs="仿宋_GB2312"/>
          <w:sz w:val="32"/>
          <w:szCs w:val="28"/>
          <w:lang w:bidi="ar"/>
        </w:rPr>
      </w:pPr>
    </w:p>
    <w:p w14:paraId="36100F3B">
      <w:pPr>
        <w:spacing w:line="560" w:lineRule="exact"/>
        <w:ind w:firstLine="560"/>
        <w:rPr>
          <w:rFonts w:hint="eastAsia" w:ascii="仿宋_GB2312" w:hAnsi="宋体" w:eastAsia="仿宋" w:cs="仿宋_GB2312"/>
          <w:sz w:val="32"/>
          <w:szCs w:val="28"/>
          <w:lang w:bidi="ar"/>
        </w:rPr>
      </w:pPr>
    </w:p>
    <w:p w14:paraId="18FA20DE">
      <w:pPr>
        <w:spacing w:line="560" w:lineRule="exact"/>
        <w:ind w:firstLine="560"/>
        <w:rPr>
          <w:rFonts w:hint="eastAsia" w:ascii="仿宋_GB2312" w:hAnsi="宋体" w:eastAsia="仿宋" w:cs="仿宋_GB2312"/>
          <w:sz w:val="32"/>
          <w:szCs w:val="28"/>
          <w:lang w:bidi="ar"/>
        </w:rPr>
      </w:pPr>
    </w:p>
    <w:p w14:paraId="472E5E9F">
      <w:pPr>
        <w:spacing w:line="560" w:lineRule="exact"/>
        <w:ind w:firstLine="560"/>
        <w:rPr>
          <w:rFonts w:hint="eastAsia" w:ascii="仿宋_GB2312" w:hAnsi="宋体" w:eastAsia="仿宋" w:cs="仿宋_GB2312"/>
          <w:sz w:val="32"/>
          <w:szCs w:val="28"/>
          <w:lang w:bidi="ar"/>
        </w:rPr>
      </w:pPr>
    </w:p>
    <w:p w14:paraId="386893F1">
      <w:pPr>
        <w:spacing w:line="560" w:lineRule="exact"/>
        <w:ind w:firstLine="560"/>
        <w:rPr>
          <w:rFonts w:hint="eastAsia" w:ascii="仿宋_GB2312" w:hAnsi="宋体" w:eastAsia="仿宋" w:cs="仿宋_GB2312"/>
          <w:sz w:val="32"/>
          <w:szCs w:val="28"/>
          <w:lang w:bidi="ar"/>
        </w:rPr>
      </w:pPr>
    </w:p>
    <w:p w14:paraId="6A2EB427">
      <w:pPr>
        <w:spacing w:line="560" w:lineRule="exact"/>
        <w:ind w:firstLine="560"/>
        <w:rPr>
          <w:rFonts w:hint="eastAsia" w:ascii="仿宋_GB2312" w:hAnsi="宋体" w:eastAsia="仿宋" w:cs="仿宋_GB2312"/>
          <w:sz w:val="32"/>
          <w:szCs w:val="28"/>
          <w:lang w:bidi="ar"/>
        </w:rPr>
      </w:pPr>
    </w:p>
    <w:p w14:paraId="21056FAA">
      <w:pPr>
        <w:spacing w:line="560" w:lineRule="exact"/>
        <w:ind w:firstLine="560"/>
        <w:rPr>
          <w:rFonts w:hint="eastAsia" w:ascii="仿宋_GB2312" w:hAnsi="宋体" w:eastAsia="仿宋" w:cs="仿宋_GB2312"/>
          <w:sz w:val="32"/>
          <w:szCs w:val="28"/>
          <w:lang w:bidi="ar"/>
        </w:rPr>
      </w:pPr>
    </w:p>
    <w:p w14:paraId="4B56F605">
      <w:pPr>
        <w:spacing w:line="560" w:lineRule="exact"/>
        <w:ind w:firstLine="560"/>
        <w:rPr>
          <w:rFonts w:hint="eastAsia" w:ascii="仿宋_GB2312" w:hAnsi="宋体" w:eastAsia="仿宋" w:cs="仿宋_GB2312"/>
          <w:sz w:val="32"/>
          <w:szCs w:val="28"/>
          <w:lang w:bidi="ar"/>
        </w:rPr>
      </w:pPr>
    </w:p>
    <w:p w14:paraId="216B22A2">
      <w:pPr>
        <w:spacing w:line="560" w:lineRule="exact"/>
        <w:ind w:firstLine="560"/>
        <w:rPr>
          <w:rFonts w:hint="eastAsia" w:ascii="仿宋_GB2312" w:hAnsi="宋体" w:eastAsia="仿宋" w:cs="仿宋_GB2312"/>
          <w:sz w:val="32"/>
          <w:szCs w:val="28"/>
          <w:lang w:bidi="ar"/>
        </w:rPr>
      </w:pPr>
    </w:p>
    <w:p w14:paraId="0255C081">
      <w:pPr>
        <w:spacing w:line="560" w:lineRule="exact"/>
        <w:ind w:firstLine="560"/>
        <w:rPr>
          <w:rFonts w:hint="eastAsia" w:ascii="仿宋_GB2312" w:hAnsi="宋体" w:eastAsia="仿宋" w:cs="仿宋_GB2312"/>
          <w:sz w:val="32"/>
          <w:szCs w:val="28"/>
          <w:lang w:bidi="ar"/>
        </w:rPr>
      </w:pPr>
    </w:p>
    <w:p w14:paraId="3D2AF0E4">
      <w:pPr>
        <w:spacing w:line="560" w:lineRule="exact"/>
        <w:ind w:firstLine="560"/>
        <w:rPr>
          <w:rFonts w:hint="eastAsia" w:ascii="仿宋_GB2312" w:hAnsi="宋体" w:eastAsia="仿宋" w:cs="仿宋_GB2312"/>
          <w:sz w:val="32"/>
          <w:szCs w:val="28"/>
          <w:lang w:bidi="ar"/>
        </w:rPr>
      </w:pPr>
    </w:p>
    <w:p w14:paraId="484A09F0">
      <w:pPr>
        <w:spacing w:line="560" w:lineRule="exact"/>
        <w:ind w:firstLine="560"/>
        <w:rPr>
          <w:rFonts w:hint="eastAsia" w:ascii="仿宋_GB2312" w:hAnsi="宋体" w:eastAsia="仿宋" w:cs="仿宋_GB2312"/>
          <w:sz w:val="32"/>
          <w:szCs w:val="28"/>
          <w:lang w:bidi="ar"/>
        </w:rPr>
      </w:pPr>
    </w:p>
    <w:p w14:paraId="1E78121D">
      <w:pPr>
        <w:spacing w:line="560" w:lineRule="exact"/>
        <w:ind w:firstLine="560"/>
        <w:rPr>
          <w:rFonts w:hint="eastAsia" w:ascii="仿宋_GB2312" w:hAnsi="宋体" w:eastAsia="仿宋" w:cs="仿宋_GB2312"/>
          <w:sz w:val="32"/>
          <w:szCs w:val="28"/>
          <w:lang w:bidi="ar"/>
        </w:rPr>
      </w:pPr>
    </w:p>
    <w:p w14:paraId="09B0C3E2">
      <w:pPr>
        <w:spacing w:line="560" w:lineRule="exact"/>
        <w:ind w:firstLine="560"/>
        <w:rPr>
          <w:rFonts w:hint="eastAsia" w:ascii="仿宋_GB2312" w:hAnsi="宋体" w:eastAsia="仿宋" w:cs="仿宋_GB2312"/>
          <w:sz w:val="32"/>
          <w:szCs w:val="28"/>
          <w:lang w:bidi="ar"/>
        </w:rPr>
      </w:pPr>
    </w:p>
    <w:p w14:paraId="5C5CBD4D">
      <w:pPr>
        <w:spacing w:line="560" w:lineRule="exact"/>
        <w:ind w:firstLine="560"/>
        <w:rPr>
          <w:rFonts w:hint="eastAsia" w:ascii="仿宋_GB2312" w:hAnsi="宋体" w:eastAsia="仿宋" w:cs="仿宋_GB2312"/>
          <w:sz w:val="32"/>
          <w:szCs w:val="28"/>
          <w:lang w:bidi="ar"/>
        </w:rPr>
      </w:pPr>
    </w:p>
    <w:p w14:paraId="38EDF58B">
      <w:pPr>
        <w:spacing w:line="560" w:lineRule="exact"/>
        <w:ind w:firstLine="560"/>
        <w:rPr>
          <w:rFonts w:hint="eastAsia" w:ascii="仿宋_GB2312" w:hAnsi="宋体" w:eastAsia="仿宋" w:cs="仿宋_GB2312"/>
          <w:sz w:val="32"/>
          <w:szCs w:val="28"/>
          <w:lang w:bidi="ar"/>
        </w:rPr>
      </w:pPr>
    </w:p>
    <w:p w14:paraId="4C659E6B">
      <w:pPr>
        <w:spacing w:line="560" w:lineRule="exact"/>
        <w:ind w:firstLine="560"/>
        <w:rPr>
          <w:rFonts w:hint="eastAsia" w:ascii="仿宋_GB2312" w:hAnsi="宋体" w:eastAsia="仿宋" w:cs="仿宋_GB2312"/>
          <w:sz w:val="32"/>
          <w:szCs w:val="28"/>
          <w:lang w:bidi="ar"/>
        </w:rPr>
      </w:pPr>
    </w:p>
    <w:p w14:paraId="6DC9973C">
      <w:pPr>
        <w:spacing w:line="560" w:lineRule="exact"/>
        <w:ind w:firstLine="560"/>
        <w:rPr>
          <w:rFonts w:hint="eastAsia" w:ascii="仿宋_GB2312" w:hAnsi="宋体" w:eastAsia="仿宋" w:cs="仿宋_GB2312"/>
          <w:sz w:val="32"/>
          <w:szCs w:val="28"/>
          <w:lang w:bidi="ar"/>
        </w:rPr>
      </w:pPr>
    </w:p>
    <w:p w14:paraId="3F9F9F55">
      <w:pPr>
        <w:spacing w:line="560" w:lineRule="exact"/>
        <w:ind w:firstLine="560"/>
        <w:rPr>
          <w:rFonts w:hint="eastAsia" w:ascii="仿宋_GB2312" w:hAnsi="宋体" w:eastAsia="仿宋" w:cs="仿宋_GB2312"/>
          <w:sz w:val="32"/>
          <w:szCs w:val="28"/>
          <w:lang w:bidi="ar"/>
        </w:rPr>
      </w:pPr>
    </w:p>
    <w:p w14:paraId="72D02CE8">
      <w:pPr>
        <w:spacing w:line="560" w:lineRule="exact"/>
        <w:ind w:firstLine="560"/>
        <w:rPr>
          <w:rFonts w:hint="eastAsia" w:ascii="仿宋_GB2312" w:hAnsi="宋体" w:eastAsia="仿宋" w:cs="仿宋_GB2312"/>
          <w:sz w:val="32"/>
          <w:szCs w:val="28"/>
          <w:lang w:bidi="ar"/>
        </w:rPr>
      </w:pPr>
    </w:p>
    <w:p w14:paraId="73B7971F">
      <w:pPr>
        <w:spacing w:line="560" w:lineRule="exact"/>
        <w:ind w:firstLine="560"/>
        <w:rPr>
          <w:rFonts w:hint="eastAsia" w:ascii="仿宋_GB2312" w:hAnsi="宋体" w:eastAsia="仿宋" w:cs="仿宋_GB2312"/>
          <w:sz w:val="32"/>
          <w:szCs w:val="28"/>
          <w:lang w:bidi="ar"/>
        </w:rPr>
      </w:pPr>
    </w:p>
    <w:p w14:paraId="5AF0AE23">
      <w:pPr>
        <w:pStyle w:val="5"/>
        <w:spacing w:after="0" w:line="560" w:lineRule="exact"/>
        <w:ind w:left="0" w:firstLine="0" w:firstLineChars="0"/>
        <w:jc w:val="center"/>
        <w:rPr>
          <w:rFonts w:hint="eastAsia" w:eastAsia="仿宋"/>
          <w:bCs/>
          <w:sz w:val="32"/>
          <w:szCs w:val="36"/>
        </w:rPr>
      </w:pPr>
    </w:p>
    <w:p w14:paraId="418A26B6">
      <w:pPr>
        <w:pStyle w:val="5"/>
        <w:spacing w:after="0" w:line="560" w:lineRule="exact"/>
        <w:ind w:left="0" w:firstLine="0" w:firstLineChars="0"/>
        <w:jc w:val="center"/>
        <w:rPr>
          <w:rFonts w:eastAsia="仿宋"/>
          <w:b/>
          <w:bCs/>
          <w:sz w:val="52"/>
          <w:szCs w:val="36"/>
        </w:rPr>
      </w:pPr>
      <w:r>
        <w:rPr>
          <w:rFonts w:eastAsia="仿宋"/>
          <w:b/>
          <w:bCs/>
          <w:sz w:val="52"/>
          <w:szCs w:val="36"/>
        </w:rPr>
        <w:t>马尔康市2020年财政支出项目</w:t>
      </w:r>
    </w:p>
    <w:p w14:paraId="43479EB6">
      <w:pPr>
        <w:pStyle w:val="5"/>
        <w:spacing w:after="0" w:line="560" w:lineRule="exact"/>
        <w:ind w:left="0" w:firstLine="0" w:firstLineChars="0"/>
        <w:jc w:val="center"/>
        <w:rPr>
          <w:rFonts w:hint="eastAsia" w:eastAsia="仿宋"/>
          <w:b/>
          <w:bCs/>
          <w:sz w:val="52"/>
          <w:szCs w:val="36"/>
        </w:rPr>
      </w:pPr>
      <w:r>
        <w:rPr>
          <w:rFonts w:eastAsia="仿宋"/>
          <w:b/>
          <w:bCs/>
          <w:sz w:val="52"/>
          <w:szCs w:val="36"/>
        </w:rPr>
        <w:t>绩效评价报告</w:t>
      </w:r>
    </w:p>
    <w:p w14:paraId="715EDD99">
      <w:pPr>
        <w:rPr>
          <w:b/>
          <w:sz w:val="36"/>
        </w:rPr>
      </w:pPr>
    </w:p>
    <w:p w14:paraId="1BD51B96">
      <w:pPr>
        <w:spacing w:line="560" w:lineRule="exact"/>
        <w:ind w:firstLine="480"/>
        <w:rPr>
          <w:rFonts w:hint="eastAsia" w:eastAsia="仿宋"/>
          <w:b/>
          <w:sz w:val="52"/>
        </w:rPr>
      </w:pPr>
    </w:p>
    <w:p w14:paraId="0491192C">
      <w:pPr>
        <w:spacing w:line="560" w:lineRule="exact"/>
        <w:ind w:firstLine="560"/>
        <w:rPr>
          <w:rFonts w:hint="eastAsia" w:ascii="仿宋_GB2312" w:hAnsi="宋体" w:eastAsia="仿宋" w:cs="宋体"/>
          <w:sz w:val="32"/>
          <w:szCs w:val="28"/>
          <w:shd w:val="clear" w:color="auto" w:fill="FFFFFF"/>
        </w:rPr>
      </w:pPr>
      <w:r>
        <w:rPr>
          <w:rFonts w:hint="eastAsia" w:ascii="仿宋_GB2312" w:hAnsi="宋体" w:eastAsia="仿宋" w:cs="宋体"/>
          <w:sz w:val="32"/>
          <w:szCs w:val="28"/>
          <w:shd w:val="clear" w:color="auto" w:fill="FFFFFF"/>
        </w:rPr>
        <w:t>为贯彻落实马尔康市财政局《马尔康市财政局关于开展2020年财政支出绩效评价工作的通知》（马尔财〔2020〕290号）、《阿坝州人民政府办公室关于进一步加强绩效预算管理工作的通知》（阿府办函〔2016〕71号）等文件的要求，马尔康市财政局委托四川融策会计师事务所有限公司，以第三方社会评价机构身份，承担马尔康市20</w:t>
      </w:r>
      <w:r>
        <w:rPr>
          <w:rFonts w:ascii="仿宋_GB2312" w:hAnsi="宋体" w:eastAsia="仿宋" w:cs="宋体"/>
          <w:sz w:val="32"/>
          <w:szCs w:val="28"/>
          <w:shd w:val="clear" w:color="auto" w:fill="FFFFFF"/>
        </w:rPr>
        <w:t>20</w:t>
      </w:r>
      <w:r>
        <w:rPr>
          <w:rFonts w:hint="eastAsia" w:ascii="仿宋_GB2312" w:hAnsi="宋体" w:eastAsia="仿宋" w:cs="宋体"/>
          <w:sz w:val="32"/>
          <w:szCs w:val="28"/>
          <w:shd w:val="clear" w:color="auto" w:fill="FFFFFF"/>
        </w:rPr>
        <w:t>年财政支出项目绩效评价工作。</w:t>
      </w:r>
    </w:p>
    <w:p w14:paraId="4DDCFC24">
      <w:pPr>
        <w:spacing w:line="560" w:lineRule="exact"/>
        <w:ind w:firstLine="560"/>
        <w:rPr>
          <w:rFonts w:ascii="仿宋_GB2312" w:hAnsi="宋体" w:eastAsia="仿宋" w:cs="宋体"/>
          <w:sz w:val="32"/>
          <w:szCs w:val="28"/>
          <w:shd w:val="clear" w:color="auto" w:fill="FFFFFF"/>
        </w:rPr>
      </w:pPr>
      <w:r>
        <w:rPr>
          <w:rFonts w:hint="eastAsia" w:ascii="仿宋_GB2312" w:hAnsi="宋体" w:eastAsia="仿宋" w:cs="宋体"/>
          <w:sz w:val="32"/>
          <w:szCs w:val="28"/>
          <w:shd w:val="clear" w:color="auto" w:fill="FFFFFF"/>
        </w:rPr>
        <w:t>本次绩效评价共包含2</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个项目支出、</w:t>
      </w:r>
      <w:r>
        <w:rPr>
          <w:rFonts w:ascii="仿宋_GB2312" w:hAnsi="宋体" w:eastAsia="仿宋" w:cs="宋体"/>
          <w:sz w:val="32"/>
          <w:szCs w:val="28"/>
          <w:shd w:val="clear" w:color="auto" w:fill="FFFFFF"/>
        </w:rPr>
        <w:t>5</w:t>
      </w:r>
      <w:r>
        <w:rPr>
          <w:rFonts w:hint="eastAsia" w:ascii="仿宋_GB2312" w:hAnsi="宋体" w:eastAsia="仿宋" w:cs="宋体"/>
          <w:sz w:val="32"/>
          <w:szCs w:val="28"/>
          <w:shd w:val="clear" w:color="auto" w:fill="FFFFFF"/>
        </w:rPr>
        <w:t>个财政政策和1</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个部门整体支出，涉及被评价单位</w:t>
      </w:r>
      <w:r>
        <w:rPr>
          <w:rFonts w:ascii="仿宋_GB2312" w:hAnsi="宋体" w:eastAsia="仿宋" w:cs="宋体"/>
          <w:sz w:val="32"/>
          <w:szCs w:val="28"/>
          <w:shd w:val="clear" w:color="auto" w:fill="FFFFFF"/>
        </w:rPr>
        <w:t>46</w:t>
      </w:r>
      <w:r>
        <w:rPr>
          <w:rFonts w:hint="eastAsia" w:ascii="仿宋_GB2312" w:hAnsi="宋体" w:eastAsia="仿宋" w:cs="宋体"/>
          <w:sz w:val="32"/>
          <w:szCs w:val="28"/>
          <w:shd w:val="clear" w:color="auto" w:fill="FFFFFF"/>
        </w:rPr>
        <w:t>个，评价组遵循独立性、公正性、专业性的执业原则，出具本次绩效评价总报告。评价情况如下：</w:t>
      </w:r>
    </w:p>
    <w:p w14:paraId="77A3108E">
      <w:pPr>
        <w:pStyle w:val="2"/>
        <w:spacing w:before="156" w:after="156" w:line="560" w:lineRule="exact"/>
        <w:ind w:firstLine="640"/>
        <w:rPr>
          <w:rFonts w:hint="eastAsia" w:eastAsia="仿宋"/>
          <w:b w:val="0"/>
          <w:sz w:val="32"/>
          <w:szCs w:val="30"/>
        </w:rPr>
      </w:pPr>
      <w:bookmarkStart w:id="6" w:name="_Toc29275"/>
      <w:bookmarkStart w:id="7" w:name="_Toc19175"/>
      <w:r>
        <w:rPr>
          <w:rFonts w:hint="eastAsia" w:eastAsia="仿宋"/>
          <w:b w:val="0"/>
          <w:sz w:val="32"/>
          <w:szCs w:val="30"/>
        </w:rPr>
        <w:t>一、</w:t>
      </w:r>
      <w:r>
        <w:rPr>
          <w:rFonts w:eastAsia="仿宋"/>
          <w:b w:val="0"/>
          <w:sz w:val="32"/>
          <w:szCs w:val="30"/>
        </w:rPr>
        <w:t>评价工作</w:t>
      </w:r>
      <w:r>
        <w:rPr>
          <w:rFonts w:hint="eastAsia" w:eastAsia="仿宋"/>
          <w:b w:val="0"/>
          <w:sz w:val="32"/>
          <w:szCs w:val="30"/>
        </w:rPr>
        <w:t>开展及项目</w:t>
      </w:r>
      <w:r>
        <w:rPr>
          <w:rFonts w:eastAsia="仿宋"/>
          <w:b w:val="0"/>
          <w:sz w:val="32"/>
          <w:szCs w:val="30"/>
        </w:rPr>
        <w:t>情况</w:t>
      </w:r>
      <w:bookmarkEnd w:id="6"/>
      <w:bookmarkEnd w:id="7"/>
    </w:p>
    <w:p w14:paraId="27375317">
      <w:pPr>
        <w:pStyle w:val="40"/>
        <w:spacing w:before="156" w:after="156" w:line="560" w:lineRule="exact"/>
        <w:ind w:firstLine="640"/>
        <w:rPr>
          <w:rFonts w:hint="eastAsia" w:eastAsia="仿宋"/>
          <w:b w:val="0"/>
          <w:color w:val="auto"/>
          <w:sz w:val="32"/>
        </w:rPr>
      </w:pPr>
      <w:bookmarkStart w:id="8" w:name="_Toc23124"/>
      <w:bookmarkStart w:id="9" w:name="_Toc32374"/>
      <w:r>
        <w:rPr>
          <w:rFonts w:hint="eastAsia" w:eastAsia="仿宋"/>
          <w:b w:val="0"/>
          <w:color w:val="auto"/>
          <w:sz w:val="32"/>
        </w:rPr>
        <w:t>（一）评价目的</w:t>
      </w:r>
      <w:bookmarkEnd w:id="8"/>
      <w:bookmarkEnd w:id="9"/>
    </w:p>
    <w:p w14:paraId="34BE4D72">
      <w:pPr>
        <w:spacing w:line="560" w:lineRule="exact"/>
        <w:ind w:firstLine="560"/>
        <w:rPr>
          <w:rFonts w:hint="eastAsia" w:ascii="仿宋_GB2312" w:hAnsi="宋体" w:eastAsia="仿宋" w:cs="宋体"/>
          <w:sz w:val="32"/>
          <w:szCs w:val="28"/>
          <w:shd w:val="clear" w:color="auto" w:fill="FFFFFF"/>
          <w:lang w:val="zh-CN"/>
        </w:rPr>
      </w:pPr>
      <w:r>
        <w:rPr>
          <w:rFonts w:hint="eastAsia" w:ascii="仿宋_GB2312" w:hAnsi="宋体" w:eastAsia="仿宋" w:cs="宋体"/>
          <w:sz w:val="32"/>
          <w:szCs w:val="28"/>
          <w:shd w:val="clear" w:color="auto" w:fill="FFFFFF"/>
          <w:lang w:val="zh-CN"/>
        </w:rPr>
        <w:t>按照项目决策、管理、</w:t>
      </w:r>
      <w:r>
        <w:rPr>
          <w:rFonts w:hint="eastAsia" w:ascii="仿宋_GB2312" w:hAnsi="宋体" w:eastAsia="仿宋" w:cs="宋体"/>
          <w:sz w:val="32"/>
          <w:szCs w:val="28"/>
          <w:shd w:val="clear" w:color="auto" w:fill="FFFFFF"/>
        </w:rPr>
        <w:t>效果</w:t>
      </w:r>
      <w:r>
        <w:rPr>
          <w:rFonts w:hint="eastAsia" w:ascii="仿宋_GB2312" w:hAnsi="宋体" w:eastAsia="仿宋" w:cs="宋体"/>
          <w:sz w:val="32"/>
          <w:szCs w:val="28"/>
          <w:shd w:val="clear" w:color="auto" w:fill="FFFFFF"/>
          <w:lang w:val="zh-CN"/>
        </w:rPr>
        <w:t>三类指标，对资金支出行为过程及其效果进行综合评价和判断，评价资金使用的科学性、合理性和有效性，分析存在的问题，提出完善资金管理和项目管理的制度机制、调整支出结构相关建议，为年度预算编制提供参考依据，促进提高资金使用绩效。</w:t>
      </w:r>
    </w:p>
    <w:p w14:paraId="0013D43B">
      <w:pPr>
        <w:pStyle w:val="39"/>
        <w:spacing w:before="156" w:after="156" w:line="560" w:lineRule="exact"/>
        <w:ind w:firstLine="640"/>
        <w:rPr>
          <w:rFonts w:eastAsia="仿宋"/>
          <w:b w:val="0"/>
          <w:color w:val="auto"/>
          <w:sz w:val="32"/>
        </w:rPr>
      </w:pPr>
      <w:bookmarkStart w:id="10" w:name="_Toc27756"/>
      <w:bookmarkStart w:id="11" w:name="_Toc17726"/>
      <w:r>
        <w:rPr>
          <w:rFonts w:hint="eastAsia" w:eastAsia="仿宋"/>
          <w:b w:val="0"/>
          <w:color w:val="auto"/>
          <w:sz w:val="32"/>
        </w:rPr>
        <w:t>（二）评价方法</w:t>
      </w:r>
      <w:bookmarkEnd w:id="10"/>
      <w:bookmarkEnd w:id="11"/>
    </w:p>
    <w:p w14:paraId="2586807D">
      <w:pPr>
        <w:spacing w:line="560" w:lineRule="exact"/>
        <w:ind w:firstLine="560"/>
        <w:rPr>
          <w:rFonts w:eastAsia="仿宋"/>
          <w:sz w:val="32"/>
          <w:highlight w:val="yellow"/>
        </w:rPr>
      </w:pPr>
      <w:r>
        <w:rPr>
          <w:rFonts w:hint="eastAsia" w:ascii="仿宋_GB2312" w:hAnsi="宋体" w:eastAsia="仿宋" w:cs="仿宋_GB2312"/>
          <w:sz w:val="32"/>
          <w:szCs w:val="28"/>
          <w:lang w:bidi="ar"/>
        </w:rPr>
        <w:t>结合被评价项目及部门的实际情况，实施了包括查阅资料、实地察看、现场访谈等评价程序；对于项目实施情况采用目标比较法、历史动态比较法进行分析判断；通过现场勘查、项目资料查阅，提取项目相关数据。</w:t>
      </w:r>
    </w:p>
    <w:p w14:paraId="03A7A348">
      <w:pPr>
        <w:pStyle w:val="39"/>
        <w:spacing w:before="156" w:after="156" w:line="560" w:lineRule="exact"/>
        <w:ind w:firstLine="640"/>
        <w:rPr>
          <w:rFonts w:eastAsia="仿宋"/>
          <w:b w:val="0"/>
          <w:color w:val="auto"/>
          <w:sz w:val="32"/>
        </w:rPr>
      </w:pPr>
      <w:bookmarkStart w:id="12" w:name="_Toc10550"/>
      <w:bookmarkStart w:id="13" w:name="_Toc20747"/>
      <w:r>
        <w:rPr>
          <w:rFonts w:hint="eastAsia" w:eastAsia="仿宋"/>
          <w:b w:val="0"/>
          <w:color w:val="auto"/>
          <w:sz w:val="32"/>
        </w:rPr>
        <w:t>（三）</w:t>
      </w:r>
      <w:r>
        <w:rPr>
          <w:rFonts w:eastAsia="仿宋"/>
          <w:b w:val="0"/>
          <w:color w:val="auto"/>
          <w:sz w:val="32"/>
        </w:rPr>
        <w:t>现场评价抽样选点情况</w:t>
      </w:r>
      <w:bookmarkEnd w:id="12"/>
      <w:bookmarkEnd w:id="13"/>
    </w:p>
    <w:p w14:paraId="3697A84E">
      <w:pPr>
        <w:spacing w:line="560" w:lineRule="exact"/>
        <w:ind w:firstLine="560"/>
        <w:rPr>
          <w:rFonts w:ascii="仿宋_GB2312" w:hAnsi="宋体" w:eastAsia="仿宋" w:cs="仿宋_GB2312"/>
          <w:sz w:val="32"/>
          <w:szCs w:val="28"/>
          <w:lang w:bidi="ar"/>
        </w:rPr>
      </w:pPr>
      <w:r>
        <w:rPr>
          <w:rFonts w:hint="eastAsia" w:ascii="仿宋_GB2312" w:hAnsi="宋体" w:eastAsia="仿宋" w:cs="宋体"/>
          <w:sz w:val="32"/>
          <w:szCs w:val="28"/>
          <w:shd w:val="clear" w:color="auto" w:fill="FFFFFF"/>
        </w:rPr>
        <w:t>本次绩效评价共包含2</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个项目支出、</w:t>
      </w:r>
      <w:r>
        <w:rPr>
          <w:rFonts w:ascii="仿宋_GB2312" w:hAnsi="宋体" w:eastAsia="仿宋" w:cs="宋体"/>
          <w:sz w:val="32"/>
          <w:szCs w:val="28"/>
          <w:shd w:val="clear" w:color="auto" w:fill="FFFFFF"/>
        </w:rPr>
        <w:t>5</w:t>
      </w:r>
      <w:r>
        <w:rPr>
          <w:rFonts w:hint="eastAsia" w:ascii="仿宋_GB2312" w:hAnsi="宋体" w:eastAsia="仿宋" w:cs="宋体"/>
          <w:sz w:val="32"/>
          <w:szCs w:val="28"/>
          <w:shd w:val="clear" w:color="auto" w:fill="FFFFFF"/>
        </w:rPr>
        <w:t>个财政政策和1</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个部门整体支出，涉及被评价单位</w:t>
      </w:r>
      <w:r>
        <w:rPr>
          <w:rFonts w:ascii="仿宋_GB2312" w:hAnsi="宋体" w:eastAsia="仿宋" w:cs="宋体"/>
          <w:sz w:val="32"/>
          <w:szCs w:val="28"/>
          <w:shd w:val="clear" w:color="auto" w:fill="FFFFFF"/>
        </w:rPr>
        <w:t>46</w:t>
      </w:r>
      <w:r>
        <w:rPr>
          <w:rFonts w:hint="eastAsia" w:ascii="仿宋_GB2312" w:hAnsi="宋体" w:eastAsia="仿宋" w:cs="宋体"/>
          <w:sz w:val="32"/>
          <w:szCs w:val="28"/>
          <w:shd w:val="clear" w:color="auto" w:fill="FFFFFF"/>
        </w:rPr>
        <w:t>个</w:t>
      </w:r>
      <w:r>
        <w:rPr>
          <w:rFonts w:hint="eastAsia" w:ascii="仿宋_GB2312" w:hAnsi="宋体" w:eastAsia="仿宋" w:cs="仿宋_GB2312"/>
          <w:sz w:val="32"/>
          <w:szCs w:val="28"/>
          <w:lang w:bidi="ar"/>
        </w:rPr>
        <w:t>，选点率100%。</w:t>
      </w:r>
    </w:p>
    <w:p w14:paraId="4732F5D7">
      <w:pPr>
        <w:pStyle w:val="2"/>
        <w:spacing w:before="156" w:after="156" w:line="560" w:lineRule="exact"/>
        <w:ind w:firstLine="640"/>
        <w:rPr>
          <w:rFonts w:hint="eastAsia" w:eastAsia="仿宋"/>
          <w:b w:val="0"/>
          <w:sz w:val="32"/>
          <w:szCs w:val="30"/>
        </w:rPr>
      </w:pPr>
      <w:bookmarkStart w:id="14" w:name="_Toc26859"/>
      <w:bookmarkStart w:id="15" w:name="_Toc15634"/>
      <w:r>
        <w:rPr>
          <w:rFonts w:hint="eastAsia" w:eastAsia="仿宋"/>
          <w:b w:val="0"/>
          <w:sz w:val="32"/>
          <w:szCs w:val="30"/>
        </w:rPr>
        <w:t>二、评价结论及绩效分析</w:t>
      </w:r>
      <w:bookmarkEnd w:id="14"/>
      <w:bookmarkEnd w:id="15"/>
    </w:p>
    <w:p w14:paraId="04839AE6">
      <w:pPr>
        <w:pStyle w:val="40"/>
        <w:spacing w:before="156" w:after="156" w:line="560" w:lineRule="exact"/>
        <w:ind w:firstLine="640"/>
        <w:rPr>
          <w:rFonts w:eastAsia="仿宋"/>
          <w:b w:val="0"/>
          <w:color w:val="auto"/>
          <w:sz w:val="32"/>
        </w:rPr>
      </w:pPr>
      <w:bookmarkStart w:id="16" w:name="_Toc7271"/>
      <w:bookmarkStart w:id="17" w:name="_Toc30850"/>
      <w:r>
        <w:rPr>
          <w:rFonts w:hint="eastAsia" w:eastAsia="仿宋"/>
          <w:b w:val="0"/>
          <w:color w:val="auto"/>
          <w:sz w:val="32"/>
        </w:rPr>
        <w:t>（一）评价结论</w:t>
      </w:r>
      <w:bookmarkEnd w:id="16"/>
      <w:bookmarkEnd w:id="17"/>
    </w:p>
    <w:p w14:paraId="6B4C5540">
      <w:pPr>
        <w:pStyle w:val="40"/>
        <w:spacing w:before="156" w:after="156" w:line="560" w:lineRule="exact"/>
        <w:ind w:firstLine="640"/>
        <w:rPr>
          <w:rFonts w:eastAsia="仿宋"/>
          <w:b w:val="0"/>
          <w:color w:val="auto"/>
          <w:sz w:val="32"/>
        </w:rPr>
      </w:pPr>
      <w:bookmarkStart w:id="18" w:name="_Toc8216"/>
      <w:bookmarkStart w:id="19" w:name="_Toc18893"/>
      <w:r>
        <w:rPr>
          <w:rFonts w:hint="eastAsia" w:eastAsia="仿宋"/>
          <w:b w:val="0"/>
          <w:color w:val="auto"/>
          <w:sz w:val="32"/>
        </w:rPr>
        <w:t>1、</w:t>
      </w:r>
      <w:bookmarkEnd w:id="18"/>
      <w:r>
        <w:rPr>
          <w:rFonts w:hint="eastAsia" w:eastAsia="仿宋"/>
          <w:b w:val="0"/>
          <w:color w:val="auto"/>
          <w:sz w:val="32"/>
        </w:rPr>
        <w:t>项目支出</w:t>
      </w:r>
      <w:bookmarkEnd w:id="19"/>
    </w:p>
    <w:p w14:paraId="24AB7D69">
      <w:pPr>
        <w:spacing w:line="560" w:lineRule="exact"/>
        <w:ind w:firstLine="560"/>
        <w:rPr>
          <w:rFonts w:hint="eastAsia" w:ascii="仿宋_GB2312" w:hAnsi="宋体" w:eastAsia="仿宋" w:cs="仿宋_GB2312"/>
          <w:sz w:val="32"/>
          <w:szCs w:val="28"/>
          <w:lang w:bidi="ar"/>
        </w:rPr>
      </w:pPr>
      <w:r>
        <w:rPr>
          <w:rFonts w:ascii="仿宋_GB2312" w:hAnsi="宋体" w:eastAsia="仿宋" w:cs="仿宋_GB2312"/>
          <w:sz w:val="32"/>
          <w:szCs w:val="28"/>
          <w:lang w:bidi="ar"/>
        </w:rPr>
        <w:t>通过数据采集、归纳、</w:t>
      </w:r>
      <w:r>
        <w:rPr>
          <w:rFonts w:hint="eastAsia" w:ascii="仿宋_GB2312" w:hAnsi="宋体" w:eastAsia="仿宋" w:cs="仿宋_GB2312"/>
          <w:sz w:val="32"/>
          <w:szCs w:val="28"/>
          <w:lang w:bidi="ar"/>
        </w:rPr>
        <w:t>分析、问卷调查等方法对本项目绩效进行客观评价，</w:t>
      </w:r>
      <w:bookmarkStart w:id="20" w:name="_Hlk57726350"/>
      <w:r>
        <w:rPr>
          <w:rFonts w:hint="eastAsia" w:ascii="仿宋_GB2312" w:hAnsi="宋体" w:eastAsia="仿宋" w:cs="仿宋_GB2312"/>
          <w:sz w:val="32"/>
          <w:szCs w:val="28"/>
          <w:lang w:bidi="ar"/>
        </w:rPr>
        <w:t>最终评分为</w:t>
      </w:r>
      <w:r>
        <w:rPr>
          <w:rFonts w:ascii="仿宋_GB2312" w:hAnsi="宋体" w:eastAsia="仿宋" w:cs="仿宋_GB2312"/>
          <w:sz w:val="32"/>
          <w:szCs w:val="28"/>
          <w:lang w:bidi="ar"/>
        </w:rPr>
        <w:t>78.50</w:t>
      </w:r>
      <w:r>
        <w:rPr>
          <w:rFonts w:hint="eastAsia" w:ascii="仿宋_GB2312" w:hAnsi="宋体" w:eastAsia="仿宋" w:cs="仿宋_GB2312"/>
          <w:sz w:val="32"/>
          <w:szCs w:val="28"/>
          <w:lang w:bidi="ar"/>
        </w:rPr>
        <w:t>。其中，项目决策类指标权重20分，实得</w:t>
      </w:r>
      <w:r>
        <w:rPr>
          <w:rFonts w:ascii="仿宋_GB2312" w:hAnsi="宋体" w:eastAsia="仿宋" w:cs="仿宋_GB2312"/>
          <w:sz w:val="32"/>
          <w:szCs w:val="28"/>
          <w:lang w:bidi="ar"/>
        </w:rPr>
        <w:t>13.72</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68.60</w:t>
      </w:r>
      <w:r>
        <w:rPr>
          <w:rFonts w:hint="eastAsia" w:ascii="仿宋_GB2312" w:hAnsi="宋体" w:eastAsia="仿宋" w:cs="仿宋_GB2312"/>
          <w:sz w:val="32"/>
          <w:szCs w:val="28"/>
          <w:lang w:bidi="ar"/>
        </w:rPr>
        <w:t>%；项目管理类指标权重10分，实得</w:t>
      </w:r>
      <w:r>
        <w:rPr>
          <w:rFonts w:ascii="仿宋_GB2312" w:hAnsi="宋体" w:eastAsia="仿宋" w:cs="仿宋_GB2312"/>
          <w:sz w:val="32"/>
          <w:szCs w:val="28"/>
          <w:lang w:bidi="ar"/>
        </w:rPr>
        <w:t>7.30</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73.00</w:t>
      </w:r>
      <w:r>
        <w:rPr>
          <w:rFonts w:hint="eastAsia" w:ascii="仿宋_GB2312" w:hAnsi="宋体" w:eastAsia="仿宋" w:cs="仿宋_GB2312"/>
          <w:sz w:val="32"/>
          <w:szCs w:val="28"/>
          <w:lang w:bidi="ar"/>
        </w:rPr>
        <w:t>%；项目绩效类指标权重70分，实得</w:t>
      </w:r>
      <w:r>
        <w:rPr>
          <w:rFonts w:ascii="仿宋_GB2312" w:hAnsi="宋体" w:eastAsia="仿宋" w:cs="仿宋_GB2312"/>
          <w:sz w:val="32"/>
          <w:szCs w:val="28"/>
          <w:lang w:bidi="ar"/>
        </w:rPr>
        <w:t>57.48</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82.11</w:t>
      </w:r>
      <w:r>
        <w:rPr>
          <w:rFonts w:hint="eastAsia" w:ascii="仿宋_GB2312" w:hAnsi="宋体" w:eastAsia="仿宋" w:cs="仿宋_GB2312"/>
          <w:sz w:val="32"/>
          <w:szCs w:val="28"/>
          <w:lang w:bidi="ar"/>
        </w:rPr>
        <w:t>%。</w:t>
      </w:r>
    </w:p>
    <w:p w14:paraId="070A715D">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具体得分情况如下：</w:t>
      </w:r>
    </w:p>
    <w:p w14:paraId="7D9D2742">
      <w:pPr>
        <w:spacing w:line="560" w:lineRule="exact"/>
        <w:jc w:val="center"/>
        <w:rPr>
          <w:rFonts w:ascii="仿宋_GB2312" w:hAnsi="宋体" w:eastAsia="仿宋" w:cs="仿宋_GB2312"/>
          <w:bCs/>
          <w:sz w:val="32"/>
          <w:lang w:bidi="ar"/>
        </w:rPr>
      </w:pPr>
      <w:r>
        <w:rPr>
          <w:rFonts w:hint="eastAsia" w:ascii="仿宋_GB2312" w:hAnsi="宋体" w:eastAsia="仿宋" w:cs="仿宋_GB2312"/>
          <w:bCs/>
          <w:sz w:val="32"/>
          <w:lang w:bidi="ar"/>
        </w:rPr>
        <w:t>表3 项目支出评分结果汇总表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1"/>
        <w:gridCol w:w="2144"/>
        <w:gridCol w:w="2144"/>
        <w:gridCol w:w="2143"/>
      </w:tblGrid>
      <w:tr w14:paraId="2009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D7D7D7"/>
            <w:vAlign w:val="center"/>
          </w:tcPr>
          <w:p w14:paraId="07F1EC71">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指标</w:t>
            </w:r>
          </w:p>
        </w:tc>
        <w:tc>
          <w:tcPr>
            <w:tcW w:w="1191" w:type="pct"/>
            <w:shd w:val="clear" w:color="auto" w:fill="D7D7D7"/>
            <w:vAlign w:val="center"/>
          </w:tcPr>
          <w:p w14:paraId="4DE593D4">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权重</w:t>
            </w:r>
          </w:p>
        </w:tc>
        <w:tc>
          <w:tcPr>
            <w:tcW w:w="1191" w:type="pct"/>
            <w:shd w:val="clear" w:color="auto" w:fill="D7D7D7"/>
            <w:vAlign w:val="center"/>
          </w:tcPr>
          <w:p w14:paraId="355020D6">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得分</w:t>
            </w:r>
          </w:p>
        </w:tc>
        <w:tc>
          <w:tcPr>
            <w:tcW w:w="1191" w:type="pct"/>
            <w:shd w:val="clear" w:color="auto" w:fill="D7D7D7"/>
            <w:vAlign w:val="center"/>
          </w:tcPr>
          <w:p w14:paraId="4B46547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得分率</w:t>
            </w:r>
          </w:p>
        </w:tc>
      </w:tr>
      <w:tr w14:paraId="49E0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0B154AF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项目决策</w:t>
            </w:r>
          </w:p>
        </w:tc>
        <w:tc>
          <w:tcPr>
            <w:tcW w:w="1191" w:type="pct"/>
            <w:shd w:val="clear" w:color="auto" w:fill="auto"/>
            <w:vAlign w:val="center"/>
          </w:tcPr>
          <w:p w14:paraId="3504680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20.00</w:t>
            </w:r>
          </w:p>
        </w:tc>
        <w:tc>
          <w:tcPr>
            <w:tcW w:w="1191" w:type="pct"/>
            <w:shd w:val="clear" w:color="auto" w:fill="auto"/>
          </w:tcPr>
          <w:p w14:paraId="403265B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13.72</w:t>
            </w:r>
          </w:p>
        </w:tc>
        <w:tc>
          <w:tcPr>
            <w:tcW w:w="1191" w:type="pct"/>
            <w:shd w:val="clear" w:color="auto" w:fill="auto"/>
          </w:tcPr>
          <w:p w14:paraId="423E69CB">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68.60%</w:t>
            </w:r>
          </w:p>
        </w:tc>
      </w:tr>
      <w:tr w14:paraId="2885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49506D3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项目管理</w:t>
            </w:r>
          </w:p>
        </w:tc>
        <w:tc>
          <w:tcPr>
            <w:tcW w:w="1191" w:type="pct"/>
            <w:shd w:val="clear" w:color="auto" w:fill="auto"/>
            <w:vAlign w:val="center"/>
          </w:tcPr>
          <w:p w14:paraId="0F38412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10.00</w:t>
            </w:r>
          </w:p>
        </w:tc>
        <w:tc>
          <w:tcPr>
            <w:tcW w:w="1191" w:type="pct"/>
            <w:shd w:val="clear" w:color="auto" w:fill="auto"/>
          </w:tcPr>
          <w:p w14:paraId="611F0F8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7.3</w:t>
            </w:r>
          </w:p>
        </w:tc>
        <w:tc>
          <w:tcPr>
            <w:tcW w:w="1191" w:type="pct"/>
            <w:shd w:val="clear" w:color="auto" w:fill="auto"/>
          </w:tcPr>
          <w:p w14:paraId="2CE700E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73.00%</w:t>
            </w:r>
          </w:p>
        </w:tc>
      </w:tr>
      <w:tr w14:paraId="085E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164FD4E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项目效果</w:t>
            </w:r>
          </w:p>
        </w:tc>
        <w:tc>
          <w:tcPr>
            <w:tcW w:w="1191" w:type="pct"/>
            <w:shd w:val="clear" w:color="auto" w:fill="auto"/>
            <w:vAlign w:val="center"/>
          </w:tcPr>
          <w:p w14:paraId="3FECD0E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70.00</w:t>
            </w:r>
          </w:p>
        </w:tc>
        <w:tc>
          <w:tcPr>
            <w:tcW w:w="1191" w:type="pct"/>
            <w:shd w:val="clear" w:color="auto" w:fill="auto"/>
          </w:tcPr>
          <w:p w14:paraId="1DF88E4B">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57.48</w:t>
            </w:r>
          </w:p>
        </w:tc>
        <w:tc>
          <w:tcPr>
            <w:tcW w:w="1191" w:type="pct"/>
            <w:shd w:val="clear" w:color="auto" w:fill="auto"/>
          </w:tcPr>
          <w:p w14:paraId="6292C58C">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82.11%</w:t>
            </w:r>
          </w:p>
        </w:tc>
      </w:tr>
      <w:tr w14:paraId="3A63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BEBEBE"/>
            <w:vAlign w:val="center"/>
          </w:tcPr>
          <w:p w14:paraId="63B2A276">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合计</w:t>
            </w:r>
          </w:p>
        </w:tc>
        <w:tc>
          <w:tcPr>
            <w:tcW w:w="1191" w:type="pct"/>
            <w:shd w:val="clear" w:color="auto" w:fill="BEBEBE"/>
            <w:vAlign w:val="center"/>
          </w:tcPr>
          <w:p w14:paraId="5B1EEC6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100.00</w:t>
            </w:r>
          </w:p>
        </w:tc>
        <w:tc>
          <w:tcPr>
            <w:tcW w:w="1191" w:type="pct"/>
            <w:shd w:val="clear" w:color="auto" w:fill="BEBEBE"/>
          </w:tcPr>
          <w:p w14:paraId="5993CCF7">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78.50</w:t>
            </w:r>
          </w:p>
        </w:tc>
        <w:tc>
          <w:tcPr>
            <w:tcW w:w="1191" w:type="pct"/>
            <w:shd w:val="clear" w:color="auto" w:fill="BEBEBE"/>
            <w:vAlign w:val="center"/>
          </w:tcPr>
          <w:p w14:paraId="73386D2D">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78.50%</w:t>
            </w:r>
          </w:p>
        </w:tc>
      </w:tr>
      <w:bookmarkEnd w:id="20"/>
    </w:tbl>
    <w:p w14:paraId="32A7DEBD">
      <w:pPr>
        <w:spacing w:line="560" w:lineRule="exact"/>
        <w:ind w:firstLine="643"/>
        <w:rPr>
          <w:rFonts w:hint="eastAsia" w:eastAsia="仿宋"/>
          <w:bCs/>
          <w:sz w:val="32"/>
        </w:rPr>
      </w:pPr>
    </w:p>
    <w:p w14:paraId="6E233E20">
      <w:pPr>
        <w:pStyle w:val="40"/>
        <w:spacing w:before="156" w:after="156" w:line="560" w:lineRule="exact"/>
        <w:ind w:firstLine="640"/>
        <w:rPr>
          <w:rFonts w:hint="eastAsia" w:eastAsia="仿宋"/>
          <w:b w:val="0"/>
          <w:color w:val="auto"/>
          <w:sz w:val="32"/>
        </w:rPr>
      </w:pPr>
      <w:bookmarkStart w:id="21" w:name="_Toc32380"/>
      <w:r>
        <w:rPr>
          <w:rFonts w:hint="eastAsia" w:eastAsia="仿宋"/>
          <w:b w:val="0"/>
          <w:color w:val="auto"/>
          <w:sz w:val="32"/>
        </w:rPr>
        <w:t>2、部门整体支出</w:t>
      </w:r>
      <w:bookmarkEnd w:id="21"/>
    </w:p>
    <w:p w14:paraId="754C6943">
      <w:pPr>
        <w:spacing w:line="560" w:lineRule="exact"/>
        <w:ind w:firstLine="560"/>
        <w:rPr>
          <w:rFonts w:ascii="仿宋_GB2312" w:hAnsi="宋体" w:eastAsia="仿宋"/>
          <w:sz w:val="32"/>
          <w:szCs w:val="28"/>
        </w:rPr>
      </w:pPr>
      <w:r>
        <w:rPr>
          <w:rFonts w:hint="eastAsia" w:ascii="仿宋_GB2312" w:hAnsi="宋体" w:eastAsia="仿宋"/>
          <w:sz w:val="32"/>
          <w:szCs w:val="28"/>
        </w:rPr>
        <w:t>通过数据采集、归纳、分析等方法对本项目绩效进行客观评价，最终评分为80.37分。其中，预算编制类指标权重10分，实得8.35分，得分率为83.45%；预算执行类指标权重20分，实得16.40分，得分率为82.00%；综合管理类指标权重40分，实得30.98分，得分率为77.44%；整体效益类指标权重30分，实得24.67分，得分率为82.23%。</w:t>
      </w:r>
    </w:p>
    <w:p w14:paraId="244D11A1">
      <w:pPr>
        <w:spacing w:line="560" w:lineRule="exact"/>
        <w:ind w:firstLine="560"/>
        <w:rPr>
          <w:rFonts w:hint="eastAsia" w:ascii="仿宋_GB2312" w:hAnsi="宋体" w:eastAsia="仿宋" w:cs="仿宋_GB2312"/>
          <w:bCs/>
          <w:sz w:val="32"/>
          <w:lang w:bidi="ar"/>
        </w:rPr>
      </w:pPr>
      <w:r>
        <w:rPr>
          <w:rFonts w:hint="eastAsia" w:ascii="仿宋_GB2312" w:hAnsi="宋体" w:eastAsia="仿宋" w:cs="仿宋_GB2312"/>
          <w:sz w:val="32"/>
          <w:szCs w:val="28"/>
          <w:lang w:bidi="ar"/>
        </w:rPr>
        <w:t>具体得分情况如下：</w:t>
      </w:r>
    </w:p>
    <w:p w14:paraId="135D96D7">
      <w:pPr>
        <w:spacing w:line="560" w:lineRule="exact"/>
        <w:jc w:val="center"/>
        <w:rPr>
          <w:rFonts w:ascii="仿宋_GB2312" w:hAnsi="宋体" w:eastAsia="仿宋" w:cs="仿宋_GB2312"/>
          <w:bCs/>
          <w:sz w:val="32"/>
          <w:lang w:bidi="ar"/>
        </w:rPr>
      </w:pPr>
      <w:r>
        <w:rPr>
          <w:rFonts w:hint="eastAsia" w:ascii="仿宋_GB2312" w:hAnsi="宋体" w:eastAsia="仿宋" w:cs="仿宋_GB2312"/>
          <w:bCs/>
          <w:sz w:val="32"/>
          <w:lang w:bidi="ar"/>
        </w:rPr>
        <w:t>部门整体支出评分结果汇总表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1"/>
        <w:gridCol w:w="2144"/>
        <w:gridCol w:w="2144"/>
        <w:gridCol w:w="2143"/>
      </w:tblGrid>
      <w:tr w14:paraId="32CE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D7D7D7"/>
            <w:vAlign w:val="center"/>
          </w:tcPr>
          <w:p w14:paraId="734D0274">
            <w:pPr>
              <w:spacing w:line="560" w:lineRule="exact"/>
              <w:ind w:firstLine="422"/>
              <w:jc w:val="center"/>
              <w:rPr>
                <w:rFonts w:ascii="仿宋_GB2312" w:hAnsi="宋体" w:eastAsia="仿宋"/>
                <w:bCs/>
                <w:sz w:val="32"/>
              </w:rPr>
            </w:pPr>
            <w:r>
              <w:rPr>
                <w:rFonts w:ascii="仿宋_GB2312" w:hAnsi="宋体" w:eastAsia="仿宋"/>
                <w:bCs/>
                <w:sz w:val="32"/>
              </w:rPr>
              <w:t>指标</w:t>
            </w:r>
          </w:p>
        </w:tc>
        <w:tc>
          <w:tcPr>
            <w:tcW w:w="1191" w:type="pct"/>
            <w:shd w:val="clear" w:color="auto" w:fill="D7D7D7"/>
            <w:vAlign w:val="center"/>
          </w:tcPr>
          <w:p w14:paraId="0965E22B">
            <w:pPr>
              <w:spacing w:line="560" w:lineRule="exact"/>
              <w:jc w:val="center"/>
              <w:rPr>
                <w:rFonts w:ascii="仿宋_GB2312" w:hAnsi="宋体" w:eastAsia="仿宋"/>
                <w:bCs/>
                <w:sz w:val="32"/>
              </w:rPr>
            </w:pPr>
            <w:r>
              <w:rPr>
                <w:rFonts w:ascii="仿宋_GB2312" w:hAnsi="宋体" w:eastAsia="仿宋"/>
                <w:bCs/>
                <w:sz w:val="32"/>
              </w:rPr>
              <w:t>权重</w:t>
            </w:r>
          </w:p>
        </w:tc>
        <w:tc>
          <w:tcPr>
            <w:tcW w:w="1191" w:type="pct"/>
            <w:shd w:val="clear" w:color="auto" w:fill="D7D7D7"/>
            <w:vAlign w:val="center"/>
          </w:tcPr>
          <w:p w14:paraId="5145DB86">
            <w:pPr>
              <w:spacing w:line="560" w:lineRule="exact"/>
              <w:jc w:val="center"/>
              <w:rPr>
                <w:rFonts w:ascii="仿宋_GB2312" w:hAnsi="宋体" w:eastAsia="仿宋"/>
                <w:bCs/>
                <w:sz w:val="32"/>
              </w:rPr>
            </w:pPr>
            <w:r>
              <w:rPr>
                <w:rFonts w:ascii="仿宋_GB2312" w:hAnsi="宋体" w:eastAsia="仿宋"/>
                <w:bCs/>
                <w:sz w:val="32"/>
              </w:rPr>
              <w:t>得分</w:t>
            </w:r>
          </w:p>
        </w:tc>
        <w:tc>
          <w:tcPr>
            <w:tcW w:w="1191" w:type="pct"/>
            <w:shd w:val="clear" w:color="auto" w:fill="D7D7D7"/>
            <w:vAlign w:val="center"/>
          </w:tcPr>
          <w:p w14:paraId="2B64EC8F">
            <w:pPr>
              <w:spacing w:line="560" w:lineRule="exact"/>
              <w:jc w:val="center"/>
              <w:rPr>
                <w:rFonts w:ascii="仿宋_GB2312" w:hAnsi="宋体" w:eastAsia="仿宋"/>
                <w:bCs/>
                <w:sz w:val="32"/>
              </w:rPr>
            </w:pPr>
            <w:r>
              <w:rPr>
                <w:rFonts w:ascii="仿宋_GB2312" w:hAnsi="宋体" w:eastAsia="仿宋"/>
                <w:bCs/>
                <w:sz w:val="32"/>
              </w:rPr>
              <w:t>得分率</w:t>
            </w:r>
          </w:p>
        </w:tc>
      </w:tr>
      <w:tr w14:paraId="5DE5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tcPr>
          <w:p w14:paraId="376F1FA8">
            <w:pPr>
              <w:spacing w:line="560" w:lineRule="exact"/>
              <w:jc w:val="center"/>
              <w:rPr>
                <w:rFonts w:ascii="仿宋_GB2312" w:hAnsi="宋体" w:eastAsia="仿宋"/>
                <w:sz w:val="32"/>
              </w:rPr>
            </w:pPr>
            <w:r>
              <w:rPr>
                <w:rFonts w:ascii="仿宋_GB2312" w:hAnsi="宋体" w:eastAsia="仿宋"/>
                <w:sz w:val="32"/>
              </w:rPr>
              <w:t>预算编制</w:t>
            </w:r>
          </w:p>
        </w:tc>
        <w:tc>
          <w:tcPr>
            <w:tcW w:w="1191" w:type="pct"/>
            <w:shd w:val="clear" w:color="auto" w:fill="auto"/>
            <w:vAlign w:val="center"/>
          </w:tcPr>
          <w:p w14:paraId="7E9342CF">
            <w:pPr>
              <w:spacing w:line="560" w:lineRule="exact"/>
              <w:ind w:firstLine="420"/>
              <w:jc w:val="center"/>
              <w:rPr>
                <w:rFonts w:ascii="仿宋_GB2312" w:hAnsi="宋体" w:eastAsia="仿宋"/>
                <w:sz w:val="32"/>
              </w:rPr>
            </w:pPr>
            <w:r>
              <w:rPr>
                <w:rFonts w:ascii="仿宋_GB2312" w:hAnsi="宋体" w:eastAsia="仿宋"/>
                <w:sz w:val="32"/>
              </w:rPr>
              <w:t>10.00</w:t>
            </w:r>
          </w:p>
        </w:tc>
        <w:tc>
          <w:tcPr>
            <w:tcW w:w="1191" w:type="pct"/>
            <w:shd w:val="clear" w:color="auto" w:fill="auto"/>
            <w:vAlign w:val="center"/>
          </w:tcPr>
          <w:p w14:paraId="08A9267A">
            <w:pPr>
              <w:spacing w:line="560" w:lineRule="exact"/>
              <w:jc w:val="center"/>
              <w:rPr>
                <w:rFonts w:ascii="仿宋_GB2312" w:hAnsi="宋体" w:eastAsia="仿宋"/>
                <w:sz w:val="32"/>
              </w:rPr>
            </w:pPr>
            <w:r>
              <w:rPr>
                <w:rFonts w:ascii="仿宋_GB2312" w:hAnsi="宋体" w:eastAsia="仿宋"/>
                <w:sz w:val="32"/>
              </w:rPr>
              <w:t>8.35</w:t>
            </w:r>
          </w:p>
        </w:tc>
        <w:tc>
          <w:tcPr>
            <w:tcW w:w="1191" w:type="pct"/>
            <w:shd w:val="clear" w:color="auto" w:fill="auto"/>
            <w:vAlign w:val="center"/>
          </w:tcPr>
          <w:p w14:paraId="672D322F">
            <w:pPr>
              <w:spacing w:line="560" w:lineRule="exact"/>
              <w:jc w:val="center"/>
              <w:rPr>
                <w:rFonts w:ascii="仿宋_GB2312" w:hAnsi="宋体" w:eastAsia="仿宋"/>
                <w:sz w:val="32"/>
              </w:rPr>
            </w:pPr>
            <w:r>
              <w:rPr>
                <w:rFonts w:ascii="仿宋_GB2312" w:hAnsi="宋体" w:eastAsia="仿宋"/>
                <w:sz w:val="32"/>
              </w:rPr>
              <w:t>83.45%</w:t>
            </w:r>
          </w:p>
        </w:tc>
      </w:tr>
      <w:tr w14:paraId="0467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tcPr>
          <w:p w14:paraId="35B1511A">
            <w:pPr>
              <w:spacing w:line="560" w:lineRule="exact"/>
              <w:jc w:val="center"/>
              <w:rPr>
                <w:rFonts w:ascii="仿宋_GB2312" w:hAnsi="宋体" w:eastAsia="仿宋"/>
                <w:sz w:val="32"/>
              </w:rPr>
            </w:pPr>
            <w:r>
              <w:rPr>
                <w:rFonts w:ascii="仿宋_GB2312" w:hAnsi="宋体" w:eastAsia="仿宋"/>
                <w:sz w:val="32"/>
              </w:rPr>
              <w:t>预算执行</w:t>
            </w:r>
          </w:p>
        </w:tc>
        <w:tc>
          <w:tcPr>
            <w:tcW w:w="1191" w:type="pct"/>
            <w:shd w:val="clear" w:color="auto" w:fill="auto"/>
            <w:vAlign w:val="center"/>
          </w:tcPr>
          <w:p w14:paraId="29720EB9">
            <w:pPr>
              <w:spacing w:line="560" w:lineRule="exact"/>
              <w:ind w:firstLine="420"/>
              <w:jc w:val="center"/>
              <w:rPr>
                <w:rFonts w:ascii="仿宋_GB2312" w:hAnsi="宋体" w:eastAsia="仿宋"/>
                <w:sz w:val="32"/>
              </w:rPr>
            </w:pPr>
            <w:r>
              <w:rPr>
                <w:rFonts w:ascii="仿宋_GB2312" w:hAnsi="宋体" w:eastAsia="仿宋"/>
                <w:sz w:val="32"/>
              </w:rPr>
              <w:t>20.00</w:t>
            </w:r>
          </w:p>
        </w:tc>
        <w:tc>
          <w:tcPr>
            <w:tcW w:w="1191" w:type="pct"/>
            <w:shd w:val="clear" w:color="auto" w:fill="auto"/>
            <w:vAlign w:val="center"/>
          </w:tcPr>
          <w:p w14:paraId="5CDD1ADC">
            <w:pPr>
              <w:spacing w:line="560" w:lineRule="exact"/>
              <w:jc w:val="center"/>
              <w:rPr>
                <w:rFonts w:ascii="仿宋_GB2312" w:hAnsi="宋体" w:eastAsia="仿宋"/>
                <w:sz w:val="32"/>
              </w:rPr>
            </w:pPr>
            <w:r>
              <w:rPr>
                <w:rFonts w:ascii="仿宋_GB2312" w:hAnsi="宋体" w:eastAsia="仿宋"/>
                <w:sz w:val="32"/>
              </w:rPr>
              <w:t>16.40</w:t>
            </w:r>
          </w:p>
        </w:tc>
        <w:tc>
          <w:tcPr>
            <w:tcW w:w="1191" w:type="pct"/>
            <w:shd w:val="clear" w:color="auto" w:fill="auto"/>
            <w:vAlign w:val="center"/>
          </w:tcPr>
          <w:p w14:paraId="495A90FA">
            <w:pPr>
              <w:spacing w:line="560" w:lineRule="exact"/>
              <w:jc w:val="center"/>
              <w:rPr>
                <w:rFonts w:ascii="仿宋_GB2312" w:hAnsi="宋体" w:eastAsia="仿宋"/>
                <w:sz w:val="32"/>
              </w:rPr>
            </w:pPr>
            <w:r>
              <w:rPr>
                <w:rFonts w:ascii="仿宋_GB2312" w:hAnsi="宋体" w:eastAsia="仿宋"/>
                <w:sz w:val="32"/>
              </w:rPr>
              <w:t>82.00%</w:t>
            </w:r>
          </w:p>
        </w:tc>
      </w:tr>
      <w:tr w14:paraId="69C0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tcPr>
          <w:p w14:paraId="634B69C7">
            <w:pPr>
              <w:spacing w:line="560" w:lineRule="exact"/>
              <w:jc w:val="center"/>
              <w:rPr>
                <w:rFonts w:ascii="仿宋_GB2312" w:hAnsi="宋体" w:eastAsia="仿宋"/>
                <w:sz w:val="32"/>
              </w:rPr>
            </w:pPr>
            <w:r>
              <w:rPr>
                <w:rFonts w:ascii="仿宋_GB2312" w:hAnsi="宋体" w:eastAsia="仿宋"/>
                <w:sz w:val="32"/>
              </w:rPr>
              <w:t>综合管理</w:t>
            </w:r>
          </w:p>
        </w:tc>
        <w:tc>
          <w:tcPr>
            <w:tcW w:w="1191" w:type="pct"/>
            <w:shd w:val="clear" w:color="auto" w:fill="auto"/>
            <w:vAlign w:val="center"/>
          </w:tcPr>
          <w:p w14:paraId="72F16A21">
            <w:pPr>
              <w:spacing w:line="560" w:lineRule="exact"/>
              <w:ind w:firstLine="420"/>
              <w:jc w:val="center"/>
              <w:rPr>
                <w:rFonts w:ascii="仿宋_GB2312" w:hAnsi="宋体" w:eastAsia="仿宋"/>
                <w:sz w:val="32"/>
              </w:rPr>
            </w:pPr>
            <w:r>
              <w:rPr>
                <w:rFonts w:ascii="仿宋_GB2312" w:hAnsi="宋体" w:eastAsia="仿宋"/>
                <w:sz w:val="32"/>
              </w:rPr>
              <w:t>40.00</w:t>
            </w:r>
          </w:p>
        </w:tc>
        <w:tc>
          <w:tcPr>
            <w:tcW w:w="1191" w:type="pct"/>
            <w:shd w:val="clear" w:color="auto" w:fill="auto"/>
            <w:vAlign w:val="center"/>
          </w:tcPr>
          <w:p w14:paraId="14F55A20">
            <w:pPr>
              <w:spacing w:line="560" w:lineRule="exact"/>
              <w:jc w:val="center"/>
              <w:rPr>
                <w:rFonts w:ascii="仿宋_GB2312" w:hAnsi="宋体" w:eastAsia="仿宋"/>
                <w:sz w:val="32"/>
              </w:rPr>
            </w:pPr>
            <w:r>
              <w:rPr>
                <w:rFonts w:ascii="仿宋_GB2312" w:hAnsi="宋体" w:eastAsia="仿宋"/>
                <w:sz w:val="32"/>
              </w:rPr>
              <w:t>30.98</w:t>
            </w:r>
          </w:p>
        </w:tc>
        <w:tc>
          <w:tcPr>
            <w:tcW w:w="1191" w:type="pct"/>
            <w:shd w:val="clear" w:color="auto" w:fill="auto"/>
            <w:vAlign w:val="center"/>
          </w:tcPr>
          <w:p w14:paraId="564766F0">
            <w:pPr>
              <w:spacing w:line="560" w:lineRule="exact"/>
              <w:jc w:val="center"/>
              <w:rPr>
                <w:rFonts w:ascii="仿宋_GB2312" w:hAnsi="宋体" w:eastAsia="仿宋"/>
                <w:sz w:val="32"/>
              </w:rPr>
            </w:pPr>
            <w:r>
              <w:rPr>
                <w:rFonts w:ascii="仿宋_GB2312" w:hAnsi="宋体" w:eastAsia="仿宋"/>
                <w:sz w:val="32"/>
              </w:rPr>
              <w:t>77.44%</w:t>
            </w:r>
          </w:p>
        </w:tc>
      </w:tr>
      <w:tr w14:paraId="69BB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tcPr>
          <w:p w14:paraId="47810932">
            <w:pPr>
              <w:spacing w:line="560" w:lineRule="exact"/>
              <w:jc w:val="center"/>
              <w:rPr>
                <w:rFonts w:ascii="仿宋_GB2312" w:hAnsi="宋体" w:eastAsia="仿宋"/>
                <w:sz w:val="32"/>
              </w:rPr>
            </w:pPr>
            <w:r>
              <w:rPr>
                <w:rFonts w:ascii="仿宋_GB2312" w:hAnsi="宋体" w:eastAsia="仿宋"/>
                <w:sz w:val="32"/>
              </w:rPr>
              <w:t>整体效益</w:t>
            </w:r>
          </w:p>
        </w:tc>
        <w:tc>
          <w:tcPr>
            <w:tcW w:w="1191" w:type="pct"/>
            <w:shd w:val="clear" w:color="auto" w:fill="auto"/>
            <w:vAlign w:val="center"/>
          </w:tcPr>
          <w:p w14:paraId="05CE1FAD">
            <w:pPr>
              <w:spacing w:line="560" w:lineRule="exact"/>
              <w:ind w:firstLine="420"/>
              <w:jc w:val="center"/>
              <w:rPr>
                <w:rFonts w:ascii="仿宋_GB2312" w:hAnsi="宋体" w:eastAsia="仿宋"/>
                <w:sz w:val="32"/>
              </w:rPr>
            </w:pPr>
            <w:r>
              <w:rPr>
                <w:rFonts w:ascii="仿宋_GB2312" w:hAnsi="宋体" w:eastAsia="仿宋"/>
                <w:sz w:val="32"/>
              </w:rPr>
              <w:t>30.00</w:t>
            </w:r>
          </w:p>
        </w:tc>
        <w:tc>
          <w:tcPr>
            <w:tcW w:w="1191" w:type="pct"/>
            <w:shd w:val="clear" w:color="auto" w:fill="auto"/>
            <w:vAlign w:val="center"/>
          </w:tcPr>
          <w:p w14:paraId="5ADCE78C">
            <w:pPr>
              <w:spacing w:line="560" w:lineRule="exact"/>
              <w:jc w:val="center"/>
              <w:rPr>
                <w:rFonts w:ascii="仿宋_GB2312" w:hAnsi="宋体" w:eastAsia="仿宋"/>
                <w:sz w:val="32"/>
              </w:rPr>
            </w:pPr>
            <w:r>
              <w:rPr>
                <w:rFonts w:ascii="仿宋_GB2312" w:hAnsi="宋体" w:eastAsia="仿宋"/>
                <w:sz w:val="32"/>
              </w:rPr>
              <w:t>24.67</w:t>
            </w:r>
          </w:p>
        </w:tc>
        <w:tc>
          <w:tcPr>
            <w:tcW w:w="1191" w:type="pct"/>
            <w:shd w:val="clear" w:color="auto" w:fill="auto"/>
            <w:vAlign w:val="center"/>
          </w:tcPr>
          <w:p w14:paraId="3FEE6BD3">
            <w:pPr>
              <w:spacing w:line="560" w:lineRule="exact"/>
              <w:jc w:val="center"/>
              <w:rPr>
                <w:rFonts w:ascii="仿宋_GB2312" w:hAnsi="宋体" w:eastAsia="仿宋"/>
                <w:sz w:val="32"/>
              </w:rPr>
            </w:pPr>
            <w:r>
              <w:rPr>
                <w:rFonts w:ascii="仿宋_GB2312" w:hAnsi="宋体" w:eastAsia="仿宋"/>
                <w:sz w:val="32"/>
              </w:rPr>
              <w:t>82.23%</w:t>
            </w:r>
          </w:p>
        </w:tc>
      </w:tr>
      <w:tr w14:paraId="73BD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BEBEBE"/>
            <w:vAlign w:val="center"/>
          </w:tcPr>
          <w:p w14:paraId="2D9B82AB">
            <w:pPr>
              <w:spacing w:line="560" w:lineRule="exact"/>
              <w:ind w:firstLine="422"/>
              <w:jc w:val="center"/>
              <w:rPr>
                <w:rFonts w:ascii="仿宋_GB2312" w:hAnsi="宋体" w:eastAsia="仿宋"/>
                <w:bCs/>
                <w:sz w:val="32"/>
              </w:rPr>
            </w:pPr>
            <w:r>
              <w:rPr>
                <w:rFonts w:ascii="仿宋_GB2312" w:hAnsi="宋体" w:eastAsia="仿宋"/>
                <w:bCs/>
                <w:sz w:val="32"/>
              </w:rPr>
              <w:t>合计</w:t>
            </w:r>
          </w:p>
        </w:tc>
        <w:tc>
          <w:tcPr>
            <w:tcW w:w="1191" w:type="pct"/>
            <w:shd w:val="clear" w:color="auto" w:fill="BEBEBE"/>
            <w:vAlign w:val="center"/>
          </w:tcPr>
          <w:p w14:paraId="20B2B0ED">
            <w:pPr>
              <w:spacing w:line="560" w:lineRule="exact"/>
              <w:ind w:firstLine="422"/>
              <w:jc w:val="center"/>
              <w:rPr>
                <w:rFonts w:ascii="仿宋_GB2312" w:hAnsi="宋体" w:eastAsia="仿宋"/>
                <w:bCs/>
                <w:sz w:val="32"/>
              </w:rPr>
            </w:pPr>
            <w:r>
              <w:rPr>
                <w:rFonts w:ascii="仿宋_GB2312" w:hAnsi="宋体" w:eastAsia="仿宋"/>
                <w:bCs/>
                <w:sz w:val="32"/>
              </w:rPr>
              <w:t>100.00</w:t>
            </w:r>
          </w:p>
        </w:tc>
        <w:tc>
          <w:tcPr>
            <w:tcW w:w="1191" w:type="pct"/>
            <w:shd w:val="clear" w:color="auto" w:fill="BEBEBE"/>
            <w:vAlign w:val="center"/>
          </w:tcPr>
          <w:p w14:paraId="238EE119">
            <w:pPr>
              <w:spacing w:line="560" w:lineRule="exact"/>
              <w:jc w:val="center"/>
              <w:rPr>
                <w:rFonts w:ascii="仿宋_GB2312" w:hAnsi="宋体" w:eastAsia="仿宋"/>
                <w:bCs/>
                <w:sz w:val="32"/>
              </w:rPr>
            </w:pPr>
            <w:r>
              <w:rPr>
                <w:rFonts w:ascii="仿宋_GB2312" w:hAnsi="宋体" w:eastAsia="仿宋"/>
                <w:bCs/>
                <w:sz w:val="32"/>
              </w:rPr>
              <w:t>80.37</w:t>
            </w:r>
          </w:p>
        </w:tc>
        <w:tc>
          <w:tcPr>
            <w:tcW w:w="1191" w:type="pct"/>
            <w:shd w:val="clear" w:color="auto" w:fill="BEBEBE"/>
            <w:vAlign w:val="center"/>
          </w:tcPr>
          <w:p w14:paraId="2DF26FE9">
            <w:pPr>
              <w:spacing w:line="560" w:lineRule="exact"/>
              <w:jc w:val="center"/>
              <w:rPr>
                <w:rFonts w:ascii="仿宋_GB2312" w:hAnsi="宋体" w:eastAsia="仿宋"/>
                <w:bCs/>
                <w:sz w:val="32"/>
              </w:rPr>
            </w:pPr>
            <w:r>
              <w:rPr>
                <w:rFonts w:ascii="仿宋_GB2312" w:hAnsi="宋体" w:eastAsia="仿宋"/>
                <w:bCs/>
                <w:sz w:val="32"/>
              </w:rPr>
              <w:t>80.37%</w:t>
            </w:r>
          </w:p>
        </w:tc>
      </w:tr>
    </w:tbl>
    <w:p w14:paraId="7E9F2C52">
      <w:pPr>
        <w:spacing w:line="560" w:lineRule="exact"/>
        <w:ind w:firstLine="643"/>
        <w:rPr>
          <w:rFonts w:hint="eastAsia" w:ascii="楷体_GB2312" w:hAnsi="楷体_GB2312" w:eastAsia="仿宋" w:cs="楷体_GB2312"/>
          <w:bCs/>
          <w:sz w:val="32"/>
          <w:szCs w:val="32"/>
          <w:lang w:bidi="ar"/>
        </w:rPr>
      </w:pPr>
      <w:r>
        <w:rPr>
          <w:rFonts w:ascii="楷体_GB2312" w:hAnsi="楷体_GB2312" w:eastAsia="仿宋" w:cs="楷体_GB2312"/>
          <w:bCs/>
          <w:sz w:val="32"/>
          <w:szCs w:val="32"/>
          <w:lang w:bidi="ar"/>
        </w:rPr>
        <w:t>3</w:t>
      </w:r>
      <w:r>
        <w:rPr>
          <w:rFonts w:hint="eastAsia" w:ascii="楷体_GB2312" w:hAnsi="楷体_GB2312" w:eastAsia="仿宋" w:cs="楷体_GB2312"/>
          <w:bCs/>
          <w:sz w:val="32"/>
          <w:szCs w:val="32"/>
          <w:lang w:bidi="ar"/>
        </w:rPr>
        <w:t>、财政政策</w:t>
      </w:r>
    </w:p>
    <w:p w14:paraId="07A65126">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通过数据采集、归纳、分析、问卷调查等方法对本项目绩效进行客观评价，最终评分为8</w:t>
      </w:r>
      <w:r>
        <w:rPr>
          <w:rFonts w:ascii="仿宋_GB2312" w:hAnsi="宋体" w:eastAsia="仿宋" w:cs="仿宋_GB2312"/>
          <w:sz w:val="32"/>
          <w:szCs w:val="28"/>
          <w:lang w:bidi="ar"/>
        </w:rPr>
        <w:t>8.23</w:t>
      </w:r>
      <w:r>
        <w:rPr>
          <w:rFonts w:hint="eastAsia" w:ascii="仿宋_GB2312" w:hAnsi="宋体" w:eastAsia="仿宋" w:cs="仿宋_GB2312"/>
          <w:sz w:val="32"/>
          <w:szCs w:val="28"/>
          <w:lang w:bidi="ar"/>
        </w:rPr>
        <w:t>。其中，经济性指标权重20分，实得2</w:t>
      </w:r>
      <w:r>
        <w:rPr>
          <w:rFonts w:ascii="仿宋_GB2312" w:hAnsi="宋体" w:eastAsia="仿宋" w:cs="仿宋_GB2312"/>
          <w:sz w:val="32"/>
          <w:szCs w:val="28"/>
          <w:lang w:bidi="ar"/>
        </w:rPr>
        <w:t>0</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100.00</w:t>
      </w:r>
      <w:r>
        <w:rPr>
          <w:rFonts w:hint="eastAsia" w:ascii="仿宋_GB2312" w:hAnsi="宋体" w:eastAsia="仿宋" w:cs="仿宋_GB2312"/>
          <w:sz w:val="32"/>
          <w:szCs w:val="28"/>
          <w:lang w:bidi="ar"/>
        </w:rPr>
        <w:t>%；效率性指标权重</w:t>
      </w:r>
      <w:r>
        <w:rPr>
          <w:rFonts w:ascii="仿宋_GB2312" w:hAnsi="宋体" w:eastAsia="仿宋" w:cs="仿宋_GB2312"/>
          <w:sz w:val="32"/>
          <w:szCs w:val="28"/>
          <w:lang w:bidi="ar"/>
        </w:rPr>
        <w:t>30</w:t>
      </w:r>
      <w:r>
        <w:rPr>
          <w:rFonts w:hint="eastAsia" w:ascii="仿宋_GB2312" w:hAnsi="宋体" w:eastAsia="仿宋" w:cs="仿宋_GB2312"/>
          <w:sz w:val="32"/>
          <w:szCs w:val="28"/>
          <w:lang w:bidi="ar"/>
        </w:rPr>
        <w:t>分，实得</w:t>
      </w:r>
      <w:r>
        <w:rPr>
          <w:rFonts w:ascii="仿宋_GB2312" w:hAnsi="宋体" w:eastAsia="仿宋" w:cs="仿宋_GB2312"/>
          <w:sz w:val="32"/>
          <w:szCs w:val="28"/>
          <w:lang w:bidi="ar"/>
        </w:rPr>
        <w:t>22.16</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73.87</w:t>
      </w:r>
      <w:r>
        <w:rPr>
          <w:rFonts w:hint="eastAsia" w:ascii="仿宋_GB2312" w:hAnsi="宋体" w:eastAsia="仿宋" w:cs="仿宋_GB2312"/>
          <w:sz w:val="32"/>
          <w:szCs w:val="28"/>
          <w:lang w:bidi="ar"/>
        </w:rPr>
        <w:t>%；效益性指标权重</w:t>
      </w:r>
      <w:r>
        <w:rPr>
          <w:rFonts w:ascii="仿宋_GB2312" w:hAnsi="宋体" w:eastAsia="仿宋" w:cs="仿宋_GB2312"/>
          <w:sz w:val="32"/>
          <w:szCs w:val="28"/>
          <w:lang w:bidi="ar"/>
        </w:rPr>
        <w:t>25</w:t>
      </w:r>
      <w:r>
        <w:rPr>
          <w:rFonts w:hint="eastAsia" w:ascii="仿宋_GB2312" w:hAnsi="宋体" w:eastAsia="仿宋" w:cs="仿宋_GB2312"/>
          <w:sz w:val="32"/>
          <w:szCs w:val="28"/>
          <w:lang w:bidi="ar"/>
        </w:rPr>
        <w:t>分，实得2</w:t>
      </w:r>
      <w:r>
        <w:rPr>
          <w:rFonts w:ascii="仿宋_GB2312" w:hAnsi="宋体" w:eastAsia="仿宋" w:cs="仿宋_GB2312"/>
          <w:sz w:val="32"/>
          <w:szCs w:val="28"/>
          <w:lang w:bidi="ar"/>
        </w:rPr>
        <w:t>1.67</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86.68</w:t>
      </w:r>
      <w:r>
        <w:rPr>
          <w:rFonts w:hint="eastAsia" w:ascii="仿宋_GB2312" w:hAnsi="宋体" w:eastAsia="仿宋" w:cs="仿宋_GB2312"/>
          <w:sz w:val="32"/>
          <w:szCs w:val="28"/>
          <w:lang w:bidi="ar"/>
        </w:rPr>
        <w:t>%；公平性指标权重</w:t>
      </w:r>
      <w:r>
        <w:rPr>
          <w:rFonts w:ascii="仿宋_GB2312" w:hAnsi="宋体" w:eastAsia="仿宋" w:cs="仿宋_GB2312"/>
          <w:sz w:val="32"/>
          <w:szCs w:val="28"/>
          <w:lang w:bidi="ar"/>
        </w:rPr>
        <w:t>10</w:t>
      </w:r>
      <w:r>
        <w:rPr>
          <w:rFonts w:hint="eastAsia" w:ascii="仿宋_GB2312" w:hAnsi="宋体" w:eastAsia="仿宋" w:cs="仿宋_GB2312"/>
          <w:sz w:val="32"/>
          <w:szCs w:val="28"/>
          <w:lang w:bidi="ar"/>
        </w:rPr>
        <w:t>分，实得</w:t>
      </w:r>
      <w:r>
        <w:rPr>
          <w:rFonts w:ascii="仿宋_GB2312" w:hAnsi="宋体" w:eastAsia="仿宋" w:cs="仿宋_GB2312"/>
          <w:sz w:val="32"/>
          <w:szCs w:val="28"/>
          <w:lang w:bidi="ar"/>
        </w:rPr>
        <w:t>9.40</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94.00</w:t>
      </w:r>
      <w:r>
        <w:rPr>
          <w:rFonts w:hint="eastAsia" w:ascii="仿宋_GB2312" w:hAnsi="宋体" w:eastAsia="仿宋" w:cs="仿宋_GB2312"/>
          <w:sz w:val="32"/>
          <w:szCs w:val="28"/>
          <w:lang w:bidi="ar"/>
        </w:rPr>
        <w:t>%；可持续性指标权重</w:t>
      </w:r>
      <w:r>
        <w:rPr>
          <w:rFonts w:ascii="仿宋_GB2312" w:hAnsi="宋体" w:eastAsia="仿宋" w:cs="仿宋_GB2312"/>
          <w:sz w:val="32"/>
          <w:szCs w:val="28"/>
          <w:lang w:bidi="ar"/>
        </w:rPr>
        <w:t>15.00</w:t>
      </w:r>
      <w:r>
        <w:rPr>
          <w:rFonts w:hint="eastAsia" w:ascii="仿宋_GB2312" w:hAnsi="宋体" w:eastAsia="仿宋" w:cs="仿宋_GB2312"/>
          <w:sz w:val="32"/>
          <w:szCs w:val="28"/>
          <w:lang w:bidi="ar"/>
        </w:rPr>
        <w:t>分，实得</w:t>
      </w:r>
      <w:r>
        <w:rPr>
          <w:rFonts w:ascii="仿宋_GB2312" w:hAnsi="宋体" w:eastAsia="仿宋" w:cs="仿宋_GB2312"/>
          <w:sz w:val="32"/>
          <w:szCs w:val="28"/>
          <w:lang w:bidi="ar"/>
        </w:rPr>
        <w:t>15.00</w:t>
      </w:r>
      <w:r>
        <w:rPr>
          <w:rFonts w:hint="eastAsia" w:ascii="仿宋_GB2312" w:hAnsi="宋体" w:eastAsia="仿宋" w:cs="仿宋_GB2312"/>
          <w:sz w:val="32"/>
          <w:szCs w:val="28"/>
          <w:lang w:bidi="ar"/>
        </w:rPr>
        <w:t>分，得分率为</w:t>
      </w:r>
      <w:r>
        <w:rPr>
          <w:rFonts w:ascii="仿宋_GB2312" w:hAnsi="宋体" w:eastAsia="仿宋" w:cs="仿宋_GB2312"/>
          <w:sz w:val="32"/>
          <w:szCs w:val="28"/>
          <w:lang w:bidi="ar"/>
        </w:rPr>
        <w:t>100.00</w:t>
      </w:r>
      <w:r>
        <w:rPr>
          <w:rFonts w:hint="eastAsia" w:ascii="仿宋_GB2312" w:hAnsi="宋体" w:eastAsia="仿宋" w:cs="仿宋_GB2312"/>
          <w:sz w:val="32"/>
          <w:szCs w:val="28"/>
          <w:lang w:bidi="ar"/>
        </w:rPr>
        <w:t>%。</w:t>
      </w:r>
    </w:p>
    <w:p w14:paraId="53E11A78">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具体得分情况如下：</w:t>
      </w:r>
    </w:p>
    <w:p w14:paraId="312431CA">
      <w:pPr>
        <w:spacing w:line="560" w:lineRule="exact"/>
        <w:jc w:val="center"/>
        <w:rPr>
          <w:rFonts w:ascii="仿宋_GB2312" w:hAnsi="宋体" w:eastAsia="仿宋" w:cs="仿宋_GB2312"/>
          <w:bCs/>
          <w:sz w:val="32"/>
          <w:lang w:bidi="ar"/>
        </w:rPr>
      </w:pPr>
      <w:r>
        <w:rPr>
          <w:rFonts w:hint="eastAsia" w:ascii="仿宋_GB2312" w:hAnsi="宋体" w:eastAsia="仿宋" w:cs="仿宋_GB2312"/>
          <w:bCs/>
          <w:sz w:val="32"/>
          <w:lang w:bidi="ar"/>
        </w:rPr>
        <w:t>表3 财政政策评分结果汇总表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1"/>
        <w:gridCol w:w="2144"/>
        <w:gridCol w:w="2144"/>
        <w:gridCol w:w="2143"/>
      </w:tblGrid>
      <w:tr w14:paraId="5FB1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D7D7D7"/>
            <w:vAlign w:val="center"/>
          </w:tcPr>
          <w:p w14:paraId="7E9303E5">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指标</w:t>
            </w:r>
          </w:p>
        </w:tc>
        <w:tc>
          <w:tcPr>
            <w:tcW w:w="1191" w:type="pct"/>
            <w:shd w:val="clear" w:color="auto" w:fill="D7D7D7"/>
            <w:vAlign w:val="center"/>
          </w:tcPr>
          <w:p w14:paraId="0174FEE4">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权重</w:t>
            </w:r>
          </w:p>
        </w:tc>
        <w:tc>
          <w:tcPr>
            <w:tcW w:w="1191" w:type="pct"/>
            <w:shd w:val="clear" w:color="auto" w:fill="D7D7D7"/>
            <w:vAlign w:val="center"/>
          </w:tcPr>
          <w:p w14:paraId="2DAFEF01">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得分</w:t>
            </w:r>
          </w:p>
        </w:tc>
        <w:tc>
          <w:tcPr>
            <w:tcW w:w="1191" w:type="pct"/>
            <w:shd w:val="clear" w:color="auto" w:fill="D7D7D7"/>
            <w:vAlign w:val="center"/>
          </w:tcPr>
          <w:p w14:paraId="73E74656">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得分率</w:t>
            </w:r>
          </w:p>
        </w:tc>
      </w:tr>
      <w:tr w14:paraId="2237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2FF4428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经济性</w:t>
            </w:r>
          </w:p>
        </w:tc>
        <w:tc>
          <w:tcPr>
            <w:tcW w:w="1191" w:type="pct"/>
            <w:shd w:val="clear" w:color="auto" w:fill="auto"/>
          </w:tcPr>
          <w:p w14:paraId="42DC65D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20</w:t>
            </w:r>
          </w:p>
        </w:tc>
        <w:tc>
          <w:tcPr>
            <w:tcW w:w="1191" w:type="pct"/>
            <w:shd w:val="clear" w:color="auto" w:fill="auto"/>
          </w:tcPr>
          <w:p w14:paraId="4C5CB23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20.00</w:t>
            </w:r>
          </w:p>
        </w:tc>
        <w:tc>
          <w:tcPr>
            <w:tcW w:w="1191" w:type="pct"/>
            <w:shd w:val="clear" w:color="auto" w:fill="auto"/>
          </w:tcPr>
          <w:p w14:paraId="095C187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100.00%</w:t>
            </w:r>
          </w:p>
        </w:tc>
      </w:tr>
      <w:tr w14:paraId="7C40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25E5362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效率性</w:t>
            </w:r>
          </w:p>
        </w:tc>
        <w:tc>
          <w:tcPr>
            <w:tcW w:w="1191" w:type="pct"/>
            <w:shd w:val="clear" w:color="auto" w:fill="auto"/>
          </w:tcPr>
          <w:p w14:paraId="163AF716">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30</w:t>
            </w:r>
          </w:p>
        </w:tc>
        <w:tc>
          <w:tcPr>
            <w:tcW w:w="1191" w:type="pct"/>
            <w:shd w:val="clear" w:color="auto" w:fill="auto"/>
          </w:tcPr>
          <w:p w14:paraId="7B1285E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22.16</w:t>
            </w:r>
          </w:p>
        </w:tc>
        <w:tc>
          <w:tcPr>
            <w:tcW w:w="1191" w:type="pct"/>
            <w:shd w:val="clear" w:color="auto" w:fill="auto"/>
          </w:tcPr>
          <w:p w14:paraId="13637E9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73.87%</w:t>
            </w:r>
          </w:p>
        </w:tc>
      </w:tr>
      <w:tr w14:paraId="49A8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7C74B7A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效益性</w:t>
            </w:r>
          </w:p>
        </w:tc>
        <w:tc>
          <w:tcPr>
            <w:tcW w:w="1191" w:type="pct"/>
            <w:shd w:val="clear" w:color="auto" w:fill="auto"/>
          </w:tcPr>
          <w:p w14:paraId="4B48345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25</w:t>
            </w:r>
          </w:p>
        </w:tc>
        <w:tc>
          <w:tcPr>
            <w:tcW w:w="1191" w:type="pct"/>
            <w:shd w:val="clear" w:color="auto" w:fill="auto"/>
          </w:tcPr>
          <w:p w14:paraId="73382736">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21.67</w:t>
            </w:r>
          </w:p>
        </w:tc>
        <w:tc>
          <w:tcPr>
            <w:tcW w:w="1191" w:type="pct"/>
            <w:shd w:val="clear" w:color="auto" w:fill="auto"/>
          </w:tcPr>
          <w:p w14:paraId="101371D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86.68%</w:t>
            </w:r>
          </w:p>
        </w:tc>
      </w:tr>
      <w:tr w14:paraId="0EE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1002B24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公平性</w:t>
            </w:r>
          </w:p>
        </w:tc>
        <w:tc>
          <w:tcPr>
            <w:tcW w:w="1191" w:type="pct"/>
            <w:shd w:val="clear" w:color="auto" w:fill="auto"/>
          </w:tcPr>
          <w:p w14:paraId="35E66DE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w:t>
            </w:r>
          </w:p>
        </w:tc>
        <w:tc>
          <w:tcPr>
            <w:tcW w:w="1191" w:type="pct"/>
            <w:shd w:val="clear" w:color="auto" w:fill="auto"/>
          </w:tcPr>
          <w:p w14:paraId="1CBBA8E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9.40</w:t>
            </w:r>
          </w:p>
        </w:tc>
        <w:tc>
          <w:tcPr>
            <w:tcW w:w="1191" w:type="pct"/>
            <w:shd w:val="clear" w:color="auto" w:fill="auto"/>
          </w:tcPr>
          <w:p w14:paraId="34F88E8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94.00%</w:t>
            </w:r>
          </w:p>
        </w:tc>
      </w:tr>
      <w:tr w14:paraId="25DE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auto"/>
            <w:vAlign w:val="center"/>
          </w:tcPr>
          <w:p w14:paraId="1D1EC5C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可持续性</w:t>
            </w:r>
          </w:p>
        </w:tc>
        <w:tc>
          <w:tcPr>
            <w:tcW w:w="1191" w:type="pct"/>
            <w:shd w:val="clear" w:color="auto" w:fill="auto"/>
          </w:tcPr>
          <w:p w14:paraId="39B9FB9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15</w:t>
            </w:r>
          </w:p>
        </w:tc>
        <w:tc>
          <w:tcPr>
            <w:tcW w:w="1191" w:type="pct"/>
            <w:shd w:val="clear" w:color="auto" w:fill="auto"/>
          </w:tcPr>
          <w:p w14:paraId="0BA46F9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15.00</w:t>
            </w:r>
          </w:p>
        </w:tc>
        <w:tc>
          <w:tcPr>
            <w:tcW w:w="1191" w:type="pct"/>
            <w:shd w:val="clear" w:color="auto" w:fill="auto"/>
          </w:tcPr>
          <w:p w14:paraId="48A5F42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100.00%</w:t>
            </w:r>
          </w:p>
        </w:tc>
      </w:tr>
      <w:tr w14:paraId="2E3B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28" w:type="pct"/>
            <w:shd w:val="clear" w:color="auto" w:fill="BEBEBE"/>
            <w:vAlign w:val="center"/>
          </w:tcPr>
          <w:p w14:paraId="03675F80">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合计</w:t>
            </w:r>
          </w:p>
        </w:tc>
        <w:tc>
          <w:tcPr>
            <w:tcW w:w="1191" w:type="pct"/>
            <w:shd w:val="clear" w:color="auto" w:fill="BEBEBE"/>
            <w:vAlign w:val="center"/>
          </w:tcPr>
          <w:p w14:paraId="5429960F">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100.00</w:t>
            </w:r>
          </w:p>
        </w:tc>
        <w:tc>
          <w:tcPr>
            <w:tcW w:w="1191" w:type="pct"/>
            <w:shd w:val="clear" w:color="auto" w:fill="BEBEBE"/>
          </w:tcPr>
          <w:p w14:paraId="4656A5A4">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88.23</w:t>
            </w:r>
          </w:p>
        </w:tc>
        <w:tc>
          <w:tcPr>
            <w:tcW w:w="1191" w:type="pct"/>
            <w:shd w:val="clear" w:color="auto" w:fill="BEBEBE"/>
            <w:vAlign w:val="center"/>
          </w:tcPr>
          <w:p w14:paraId="4269161C">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88.23%</w:t>
            </w:r>
          </w:p>
        </w:tc>
      </w:tr>
    </w:tbl>
    <w:p w14:paraId="58798BA6">
      <w:pPr>
        <w:pStyle w:val="40"/>
        <w:spacing w:before="156" w:after="156" w:line="560" w:lineRule="exact"/>
        <w:ind w:firstLine="640"/>
        <w:rPr>
          <w:rFonts w:hint="eastAsia" w:eastAsia="仿宋"/>
          <w:b w:val="0"/>
          <w:color w:val="auto"/>
          <w:sz w:val="32"/>
        </w:rPr>
      </w:pPr>
      <w:bookmarkStart w:id="22" w:name="_Toc30886"/>
      <w:bookmarkStart w:id="23" w:name="_Toc11389"/>
      <w:r>
        <w:rPr>
          <w:rFonts w:hint="eastAsia" w:eastAsia="仿宋"/>
          <w:b w:val="0"/>
          <w:color w:val="auto"/>
          <w:sz w:val="32"/>
        </w:rPr>
        <w:t>（二）绩效分析</w:t>
      </w:r>
      <w:bookmarkEnd w:id="22"/>
      <w:bookmarkEnd w:id="23"/>
    </w:p>
    <w:p w14:paraId="19338631">
      <w:pPr>
        <w:pStyle w:val="40"/>
        <w:spacing w:before="156" w:after="156" w:line="560" w:lineRule="exact"/>
        <w:ind w:firstLine="640"/>
        <w:rPr>
          <w:rFonts w:eastAsia="仿宋"/>
          <w:b w:val="0"/>
          <w:color w:val="auto"/>
          <w:sz w:val="32"/>
        </w:rPr>
      </w:pPr>
      <w:bookmarkStart w:id="24" w:name="_Toc30274"/>
      <w:r>
        <w:rPr>
          <w:rFonts w:hint="eastAsia" w:eastAsia="仿宋"/>
          <w:b w:val="0"/>
          <w:color w:val="auto"/>
          <w:sz w:val="32"/>
        </w:rPr>
        <w:t>1、项目支出</w:t>
      </w:r>
      <w:bookmarkEnd w:id="24"/>
    </w:p>
    <w:p w14:paraId="40E059C9">
      <w:pPr>
        <w:pStyle w:val="40"/>
        <w:spacing w:before="156" w:after="156" w:line="560" w:lineRule="exact"/>
        <w:ind w:firstLine="640"/>
        <w:rPr>
          <w:rFonts w:hint="eastAsia" w:ascii="仿宋_GB2312" w:hAnsi="仿宋_GB2312" w:eastAsia="仿宋" w:cs="仿宋_GB2312"/>
          <w:b w:val="0"/>
          <w:color w:val="auto"/>
          <w:sz w:val="32"/>
          <w:szCs w:val="28"/>
        </w:rPr>
      </w:pPr>
      <w:bookmarkStart w:id="25" w:name="_Toc1496"/>
      <w:bookmarkStart w:id="26" w:name="_Toc13768"/>
      <w:r>
        <w:rPr>
          <w:rFonts w:hint="eastAsia" w:ascii="仿宋_GB2312" w:hAnsi="仿宋_GB2312" w:eastAsia="仿宋" w:cs="仿宋_GB2312"/>
          <w:b w:val="0"/>
          <w:color w:val="auto"/>
          <w:sz w:val="32"/>
          <w:szCs w:val="28"/>
        </w:rPr>
        <w:t>——项目决策分析</w:t>
      </w:r>
      <w:bookmarkEnd w:id="25"/>
      <w:bookmarkEnd w:id="26"/>
    </w:p>
    <w:p w14:paraId="0ED56795">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该指标</w:t>
      </w:r>
      <w:r>
        <w:rPr>
          <w:rFonts w:ascii="仿宋_GB2312" w:hAnsi="宋体" w:eastAsia="仿宋" w:cs="仿宋_GB2312"/>
          <w:sz w:val="32"/>
          <w:szCs w:val="28"/>
          <w:lang w:bidi="ar"/>
        </w:rPr>
        <w:t>权重为</w:t>
      </w:r>
      <w:r>
        <w:rPr>
          <w:rFonts w:hint="eastAsia" w:ascii="仿宋_GB2312" w:hAnsi="宋体" w:eastAsia="仿宋" w:cs="仿宋_GB2312"/>
          <w:sz w:val="32"/>
          <w:szCs w:val="28"/>
          <w:lang w:bidi="ar"/>
        </w:rPr>
        <w:t>20</w:t>
      </w:r>
      <w:r>
        <w:rPr>
          <w:rFonts w:ascii="仿宋_GB2312" w:hAnsi="宋体" w:eastAsia="仿宋" w:cs="仿宋_GB2312"/>
          <w:sz w:val="32"/>
          <w:szCs w:val="28"/>
          <w:lang w:bidi="ar"/>
        </w:rPr>
        <w:t>分，</w:t>
      </w:r>
      <w:r>
        <w:rPr>
          <w:rFonts w:hint="eastAsia" w:ascii="仿宋_GB2312" w:hAnsi="宋体" w:eastAsia="仿宋" w:cs="仿宋_GB2312"/>
          <w:sz w:val="32"/>
          <w:szCs w:val="28"/>
          <w:lang w:bidi="ar"/>
        </w:rPr>
        <w:t>实得</w:t>
      </w:r>
      <w:r>
        <w:rPr>
          <w:rFonts w:ascii="仿宋_GB2312" w:hAnsi="宋体" w:eastAsia="仿宋" w:cs="仿宋_GB2312"/>
          <w:sz w:val="32"/>
          <w:szCs w:val="28"/>
          <w:lang w:bidi="ar"/>
        </w:rPr>
        <w:t>13.72</w:t>
      </w:r>
      <w:r>
        <w:rPr>
          <w:rFonts w:hint="eastAsia" w:ascii="仿宋_GB2312" w:hAnsi="宋体" w:eastAsia="仿宋" w:cs="仿宋_GB2312"/>
          <w:sz w:val="32"/>
          <w:szCs w:val="28"/>
          <w:lang w:bidi="ar"/>
        </w:rPr>
        <w:t>分，</w:t>
      </w:r>
      <w:r>
        <w:rPr>
          <w:rFonts w:ascii="仿宋_GB2312" w:hAnsi="宋体" w:eastAsia="仿宋" w:cs="仿宋_GB2312"/>
          <w:sz w:val="32"/>
          <w:szCs w:val="28"/>
          <w:lang w:bidi="ar"/>
        </w:rPr>
        <w:t>用于考察项目</w:t>
      </w:r>
      <w:r>
        <w:rPr>
          <w:rFonts w:hint="eastAsia" w:ascii="仿宋_GB2312" w:hAnsi="宋体" w:eastAsia="仿宋" w:cs="仿宋_GB2312"/>
          <w:sz w:val="32"/>
          <w:szCs w:val="28"/>
          <w:lang w:bidi="ar"/>
        </w:rPr>
        <w:t>政策依据是否充分、可行性论证是否充分、目标是否明确、绩效目标设定是否符合实际需求。</w:t>
      </w:r>
    </w:p>
    <w:p w14:paraId="1F67D28D">
      <w:pPr>
        <w:spacing w:line="560" w:lineRule="exact"/>
        <w:ind w:firstLine="560"/>
        <w:rPr>
          <w:rFonts w:ascii="仿宋_GB2312" w:hAnsi="宋体" w:eastAsia="仿宋" w:cs="仿宋_GB2312"/>
          <w:sz w:val="32"/>
          <w:szCs w:val="28"/>
          <w:lang w:bidi="ar"/>
        </w:rPr>
      </w:pPr>
      <w:r>
        <w:rPr>
          <w:rFonts w:ascii="仿宋_GB2312" w:hAnsi="宋体" w:eastAsia="仿宋" w:cs="仿宋_GB2312"/>
          <w:sz w:val="32"/>
          <w:szCs w:val="28"/>
          <w:lang w:bidi="ar"/>
        </w:rPr>
        <w:t>具体评价指标和得分情况如下：</w:t>
      </w:r>
    </w:p>
    <w:p w14:paraId="18DDD7DF">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表5项目决策类指标得分情况汇总表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75B5AC80">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4AAD94F0">
            <w:pPr>
              <w:spacing w:line="560" w:lineRule="exact"/>
              <w:jc w:val="center"/>
              <w:rPr>
                <w:rFonts w:ascii="仿宋_GB2312" w:hAnsi="仿宋_GB2312" w:eastAsia="仿宋" w:cs="仿宋_GB2312"/>
                <w:bCs/>
                <w:sz w:val="32"/>
              </w:rPr>
            </w:pPr>
            <w:bookmarkStart w:id="27" w:name="_Toc30749"/>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17A608EF">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4634EE9F">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43D39374">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38A99F71">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vAlign w:val="center"/>
          </w:tcPr>
          <w:p w14:paraId="4488562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项目决策</w:t>
            </w:r>
          </w:p>
        </w:tc>
        <w:tc>
          <w:tcPr>
            <w:tcW w:w="1379" w:type="pct"/>
            <w:vAlign w:val="center"/>
          </w:tcPr>
          <w:p w14:paraId="3B609133">
            <w:pPr>
              <w:spacing w:line="560" w:lineRule="exact"/>
              <w:jc w:val="center"/>
              <w:rPr>
                <w:rFonts w:ascii="仿宋_GB2312" w:hAnsi="Arial Narrow" w:eastAsia="仿宋"/>
                <w:bCs/>
                <w:sz w:val="32"/>
              </w:rPr>
            </w:pPr>
            <w:r>
              <w:rPr>
                <w:rFonts w:ascii="仿宋_GB2312" w:hAnsi="宋体" w:eastAsia="仿宋" w:cs="仿宋_GB2312"/>
                <w:sz w:val="32"/>
                <w:lang w:bidi="ar"/>
              </w:rPr>
              <w:t>20.00</w:t>
            </w:r>
          </w:p>
        </w:tc>
        <w:tc>
          <w:tcPr>
            <w:tcW w:w="1346" w:type="pct"/>
            <w:vAlign w:val="center"/>
          </w:tcPr>
          <w:p w14:paraId="0413B15B">
            <w:pPr>
              <w:spacing w:line="560" w:lineRule="exact"/>
              <w:jc w:val="center"/>
              <w:rPr>
                <w:rFonts w:ascii="仿宋_GB2312" w:hAnsi="Arial Narrow" w:eastAsia="仿宋"/>
                <w:bCs/>
                <w:sz w:val="32"/>
              </w:rPr>
            </w:pPr>
            <w:r>
              <w:rPr>
                <w:rFonts w:ascii="仿宋_GB2312" w:hAnsi="宋体" w:eastAsia="仿宋" w:cs="仿宋_GB2312"/>
                <w:sz w:val="32"/>
                <w:lang w:bidi="ar"/>
              </w:rPr>
              <w:t>13.72</w:t>
            </w:r>
          </w:p>
        </w:tc>
        <w:tc>
          <w:tcPr>
            <w:tcW w:w="1370" w:type="pct"/>
            <w:vAlign w:val="center"/>
          </w:tcPr>
          <w:p w14:paraId="1F685EA6">
            <w:pPr>
              <w:spacing w:line="560" w:lineRule="exact"/>
              <w:jc w:val="center"/>
              <w:rPr>
                <w:rFonts w:ascii="仿宋_GB2312" w:hAnsi="Arial Narrow" w:eastAsia="仿宋"/>
                <w:bCs/>
                <w:sz w:val="32"/>
              </w:rPr>
            </w:pPr>
            <w:r>
              <w:rPr>
                <w:rFonts w:ascii="仿宋_GB2312" w:hAnsi="宋体" w:eastAsia="仿宋" w:cs="仿宋_GB2312"/>
                <w:sz w:val="32"/>
                <w:lang w:bidi="ar"/>
              </w:rPr>
              <w:t>68.60%</w:t>
            </w:r>
          </w:p>
        </w:tc>
      </w:tr>
    </w:tbl>
    <w:p w14:paraId="1EA31A86">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科学决策方面：</w:t>
      </w:r>
      <w:r>
        <w:rPr>
          <w:rFonts w:hint="eastAsia" w:ascii="仿宋_GB2312" w:hAnsi="宋体" w:eastAsia="仿宋" w:cs="仿宋_GB2312"/>
          <w:sz w:val="32"/>
          <w:szCs w:val="28"/>
          <w:lang w:bidi="ar"/>
        </w:rPr>
        <w:t>共</w:t>
      </w:r>
      <w:r>
        <w:rPr>
          <w:rFonts w:ascii="仿宋_GB2312" w:hAnsi="宋体" w:eastAsia="仿宋" w:cs="仿宋_GB2312"/>
          <w:sz w:val="32"/>
          <w:szCs w:val="28"/>
          <w:lang w:bidi="ar"/>
        </w:rPr>
        <w:t>12</w:t>
      </w:r>
      <w:r>
        <w:rPr>
          <w:rFonts w:hint="eastAsia" w:ascii="仿宋_GB2312" w:hAnsi="宋体" w:eastAsia="仿宋" w:cs="仿宋_GB2312"/>
          <w:sz w:val="32"/>
          <w:szCs w:val="28"/>
          <w:lang w:bidi="ar"/>
        </w:rPr>
        <w:t>个考核项目决策符合中央、省、州决策部署，符合当前经济社会发展需要且可行性论证充分，规划、管理办法、指导意见等制度健全完善。</w:t>
      </w:r>
    </w:p>
    <w:p w14:paraId="4CF78739">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共</w:t>
      </w:r>
      <w:r>
        <w:rPr>
          <w:rFonts w:ascii="仿宋_GB2312" w:hAnsi="宋体" w:eastAsia="仿宋" w:cs="仿宋_GB2312"/>
          <w:sz w:val="32"/>
          <w:szCs w:val="28"/>
          <w:lang w:bidi="ar"/>
        </w:rPr>
        <w:t>11</w:t>
      </w:r>
      <w:r>
        <w:rPr>
          <w:rFonts w:hint="eastAsia" w:ascii="仿宋_GB2312" w:hAnsi="宋体" w:eastAsia="仿宋" w:cs="仿宋_GB2312"/>
          <w:sz w:val="32"/>
          <w:szCs w:val="28"/>
          <w:lang w:bidi="ar"/>
        </w:rPr>
        <w:t>个考核项目未根据本地实际情况制定可行性论证、规划、管理办法、指导意见等制度，如下表：</w:t>
      </w:r>
    </w:p>
    <w:p w14:paraId="093578E9">
      <w:pPr>
        <w:spacing w:line="560" w:lineRule="exact"/>
        <w:jc w:val="center"/>
        <w:rPr>
          <w:rFonts w:ascii="仿宋_GB2312" w:hAnsi="宋体" w:eastAsia="仿宋" w:cs="仿宋_GB2312"/>
          <w:sz w:val="32"/>
          <w:szCs w:val="28"/>
          <w:lang w:bidi="ar"/>
        </w:rPr>
      </w:pPr>
      <w:r>
        <w:rPr>
          <w:rFonts w:hint="eastAsia" w:ascii="仿宋_GB2312" w:hAnsi="宋体" w:eastAsia="仿宋" w:cs="仿宋_GB2312"/>
          <w:bCs/>
          <w:sz w:val="32"/>
          <w:lang w:bidi="ar"/>
        </w:rPr>
        <w:t>科学决策情况表</w:t>
      </w:r>
    </w:p>
    <w:tbl>
      <w:tblPr>
        <w:tblStyle w:val="15"/>
        <w:tblW w:w="0" w:type="auto"/>
        <w:tblInd w:w="0" w:type="dxa"/>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384"/>
        <w:gridCol w:w="7618"/>
      </w:tblGrid>
      <w:tr w14:paraId="3787EA59">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429344F5">
            <w:pPr>
              <w:spacing w:line="560" w:lineRule="exact"/>
              <w:jc w:val="center"/>
              <w:rPr>
                <w:rFonts w:ascii="仿宋_GB2312" w:hAnsi="宋体" w:eastAsia="仿宋" w:cs="仿宋_GB2312"/>
                <w:bCs/>
                <w:sz w:val="32"/>
                <w:lang w:bidi="ar"/>
              </w:rPr>
            </w:pPr>
            <w:bookmarkStart w:id="28" w:name="_Hlk57670609"/>
            <w:r>
              <w:rPr>
                <w:rFonts w:ascii="仿宋_GB2312" w:hAnsi="宋体" w:eastAsia="仿宋" w:cs="仿宋_GB2312"/>
                <w:bCs/>
                <w:sz w:val="32"/>
                <w:lang w:bidi="ar"/>
              </w:rPr>
              <w:t>序号</w:t>
            </w:r>
          </w:p>
        </w:tc>
        <w:tc>
          <w:tcPr>
            <w:tcW w:w="7618" w:type="dxa"/>
            <w:shd w:val="clear" w:color="auto" w:fill="auto"/>
          </w:tcPr>
          <w:p w14:paraId="6385AF02">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项目名称</w:t>
            </w:r>
          </w:p>
        </w:tc>
      </w:tr>
      <w:tr w14:paraId="0DC41432">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0187677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7618" w:type="dxa"/>
            <w:shd w:val="clear" w:color="auto" w:fill="auto"/>
          </w:tcPr>
          <w:p w14:paraId="663602E3">
            <w:pPr>
              <w:spacing w:line="560" w:lineRule="exact"/>
              <w:rPr>
                <w:rFonts w:ascii="仿宋_GB2312" w:hAnsi="宋体" w:eastAsia="仿宋" w:cs="仿宋_GB2312"/>
                <w:sz w:val="32"/>
                <w:lang w:bidi="ar"/>
              </w:rPr>
            </w:pPr>
            <w:r>
              <w:rPr>
                <w:rFonts w:ascii="仿宋_GB2312" w:hAnsi="宋体" w:eastAsia="仿宋" w:cs="仿宋_GB2312"/>
                <w:sz w:val="32"/>
                <w:lang w:bidi="ar"/>
              </w:rPr>
              <w:t>2018年第四批新增地方政府债券资金</w:t>
            </w:r>
          </w:p>
        </w:tc>
      </w:tr>
      <w:tr w14:paraId="3B73AAB9">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278778B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7618" w:type="dxa"/>
            <w:shd w:val="clear" w:color="auto" w:fill="auto"/>
          </w:tcPr>
          <w:p w14:paraId="1B0C49DB">
            <w:pPr>
              <w:spacing w:line="560" w:lineRule="exact"/>
              <w:rPr>
                <w:rFonts w:ascii="仿宋_GB2312" w:hAnsi="宋体" w:eastAsia="仿宋" w:cs="仿宋_GB2312"/>
                <w:sz w:val="32"/>
                <w:lang w:bidi="ar"/>
              </w:rPr>
            </w:pPr>
            <w:r>
              <w:rPr>
                <w:rFonts w:ascii="仿宋_GB2312" w:hAnsi="宋体" w:eastAsia="仿宋" w:cs="仿宋_GB2312"/>
                <w:sz w:val="32"/>
                <w:lang w:bidi="ar"/>
              </w:rPr>
              <w:t>松岗柯盘天街景区标识标牌制作和安装项目</w:t>
            </w:r>
          </w:p>
        </w:tc>
      </w:tr>
      <w:tr w14:paraId="01BBC84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5C809AA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7618" w:type="dxa"/>
            <w:shd w:val="clear" w:color="auto" w:fill="auto"/>
          </w:tcPr>
          <w:p w14:paraId="094C924A">
            <w:pPr>
              <w:spacing w:line="560" w:lineRule="exact"/>
              <w:rPr>
                <w:rFonts w:ascii="仿宋_GB2312" w:hAnsi="宋体" w:eastAsia="仿宋" w:cs="仿宋_GB2312"/>
                <w:sz w:val="32"/>
                <w:lang w:bidi="ar"/>
              </w:rPr>
            </w:pPr>
            <w:r>
              <w:rPr>
                <w:rFonts w:ascii="仿宋_GB2312" w:hAnsi="宋体" w:eastAsia="仿宋" w:cs="仿宋_GB2312"/>
                <w:sz w:val="32"/>
                <w:lang w:bidi="ar"/>
              </w:rPr>
              <w:t>地质灾害综合防治体系建设项目</w:t>
            </w:r>
          </w:p>
        </w:tc>
      </w:tr>
      <w:tr w14:paraId="0835E6C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21F1626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7618" w:type="dxa"/>
            <w:shd w:val="clear" w:color="auto" w:fill="auto"/>
          </w:tcPr>
          <w:p w14:paraId="74B3481D">
            <w:pPr>
              <w:spacing w:line="560" w:lineRule="exact"/>
              <w:rPr>
                <w:rFonts w:ascii="仿宋_GB2312" w:hAnsi="宋体" w:eastAsia="仿宋" w:cs="仿宋_GB2312"/>
                <w:sz w:val="32"/>
                <w:lang w:bidi="ar"/>
              </w:rPr>
            </w:pPr>
            <w:r>
              <w:rPr>
                <w:rFonts w:ascii="仿宋_GB2312" w:hAnsi="宋体" w:eastAsia="仿宋" w:cs="仿宋_GB2312"/>
                <w:sz w:val="32"/>
                <w:lang w:bidi="ar"/>
              </w:rPr>
              <w:t>2019年革命老区转移支付项目</w:t>
            </w:r>
          </w:p>
        </w:tc>
      </w:tr>
      <w:tr w14:paraId="37D5EDE8">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0BFB453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w:t>
            </w:r>
          </w:p>
        </w:tc>
        <w:tc>
          <w:tcPr>
            <w:tcW w:w="7618" w:type="dxa"/>
            <w:shd w:val="clear" w:color="auto" w:fill="auto"/>
          </w:tcPr>
          <w:p w14:paraId="55656C21">
            <w:pPr>
              <w:spacing w:line="560" w:lineRule="exact"/>
              <w:rPr>
                <w:rFonts w:ascii="仿宋_GB2312" w:hAnsi="宋体" w:eastAsia="仿宋" w:cs="仿宋_GB2312"/>
                <w:sz w:val="32"/>
                <w:lang w:bidi="ar"/>
              </w:rPr>
            </w:pPr>
            <w:r>
              <w:rPr>
                <w:rFonts w:ascii="仿宋_GB2312" w:hAnsi="宋体" w:eastAsia="仿宋" w:cs="仿宋_GB2312"/>
                <w:sz w:val="32"/>
                <w:lang w:bidi="ar"/>
              </w:rPr>
              <w:t>第八届嘉绒锅庄文化旅游节项目</w:t>
            </w:r>
          </w:p>
        </w:tc>
      </w:tr>
      <w:tr w14:paraId="6200034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708AD83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6</w:t>
            </w:r>
          </w:p>
        </w:tc>
        <w:tc>
          <w:tcPr>
            <w:tcW w:w="7618" w:type="dxa"/>
            <w:shd w:val="clear" w:color="auto" w:fill="auto"/>
          </w:tcPr>
          <w:p w14:paraId="0A21CC26">
            <w:pPr>
              <w:tabs>
                <w:tab w:val="left" w:pos="2989"/>
              </w:tabs>
              <w:spacing w:line="560" w:lineRule="exact"/>
              <w:rPr>
                <w:rFonts w:ascii="仿宋_GB2312" w:hAnsi="宋体" w:eastAsia="仿宋" w:cs="仿宋_GB2312"/>
                <w:sz w:val="32"/>
                <w:lang w:bidi="ar"/>
              </w:rPr>
            </w:pPr>
            <w:r>
              <w:rPr>
                <w:rFonts w:ascii="仿宋_GB2312" w:hAnsi="宋体" w:eastAsia="仿宋" w:cs="仿宋_GB2312"/>
                <w:sz w:val="32"/>
                <w:lang w:bidi="ar"/>
              </w:rPr>
              <w:t>党坝乡地拉秋村跨河大桥建设项目</w:t>
            </w:r>
          </w:p>
        </w:tc>
      </w:tr>
      <w:tr w14:paraId="25280BC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3DEA0C4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w:t>
            </w:r>
          </w:p>
        </w:tc>
        <w:tc>
          <w:tcPr>
            <w:tcW w:w="7618" w:type="dxa"/>
            <w:shd w:val="clear" w:color="auto" w:fill="auto"/>
          </w:tcPr>
          <w:p w14:paraId="4F423A9B">
            <w:pPr>
              <w:spacing w:line="560" w:lineRule="exact"/>
              <w:rPr>
                <w:rFonts w:ascii="仿宋_GB2312" w:hAnsi="宋体" w:eastAsia="仿宋" w:cs="仿宋_GB2312"/>
                <w:sz w:val="32"/>
                <w:lang w:bidi="ar"/>
              </w:rPr>
            </w:pPr>
            <w:r>
              <w:rPr>
                <w:rFonts w:ascii="仿宋_GB2312" w:hAnsi="宋体" w:eastAsia="仿宋" w:cs="仿宋_GB2312"/>
                <w:sz w:val="32"/>
                <w:lang w:bidi="ar"/>
              </w:rPr>
              <w:t>松岗村旅游综合服务设施项目</w:t>
            </w:r>
          </w:p>
        </w:tc>
      </w:tr>
      <w:tr w14:paraId="236315D6">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6408205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w:t>
            </w:r>
          </w:p>
        </w:tc>
        <w:tc>
          <w:tcPr>
            <w:tcW w:w="7618" w:type="dxa"/>
            <w:shd w:val="clear" w:color="auto" w:fill="auto"/>
          </w:tcPr>
          <w:p w14:paraId="5333A741">
            <w:pPr>
              <w:spacing w:line="560" w:lineRule="exact"/>
              <w:rPr>
                <w:rFonts w:ascii="仿宋_GB2312" w:hAnsi="宋体" w:eastAsia="仿宋" w:cs="仿宋_GB2312"/>
                <w:sz w:val="32"/>
                <w:lang w:bidi="ar"/>
              </w:rPr>
            </w:pPr>
            <w:r>
              <w:rPr>
                <w:rFonts w:ascii="仿宋_GB2312" w:hAnsi="宋体" w:eastAsia="仿宋" w:cs="仿宋_GB2312"/>
                <w:sz w:val="32"/>
                <w:lang w:bidi="ar"/>
              </w:rPr>
              <w:t>夜景照明工程项目</w:t>
            </w:r>
          </w:p>
        </w:tc>
      </w:tr>
      <w:tr w14:paraId="0404D8F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2F12BCB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w:t>
            </w:r>
          </w:p>
        </w:tc>
        <w:tc>
          <w:tcPr>
            <w:tcW w:w="7618" w:type="dxa"/>
            <w:shd w:val="clear" w:color="auto" w:fill="auto"/>
          </w:tcPr>
          <w:p w14:paraId="0CB90DDF">
            <w:pPr>
              <w:spacing w:line="560" w:lineRule="exact"/>
              <w:rPr>
                <w:rFonts w:ascii="仿宋_GB2312" w:hAnsi="宋体" w:eastAsia="仿宋" w:cs="仿宋_GB2312"/>
                <w:sz w:val="32"/>
                <w:lang w:bidi="ar"/>
              </w:rPr>
            </w:pPr>
            <w:r>
              <w:rPr>
                <w:rFonts w:ascii="仿宋_GB2312" w:hAnsi="宋体" w:eastAsia="仿宋" w:cs="仿宋_GB2312"/>
                <w:sz w:val="32"/>
                <w:lang w:bidi="ar"/>
              </w:rPr>
              <w:t>松岗天街配套基础设施建设项目</w:t>
            </w:r>
          </w:p>
        </w:tc>
      </w:tr>
      <w:tr w14:paraId="1B19123D">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245C8A8B">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w:t>
            </w:r>
          </w:p>
        </w:tc>
        <w:tc>
          <w:tcPr>
            <w:tcW w:w="7618" w:type="dxa"/>
            <w:shd w:val="clear" w:color="auto" w:fill="auto"/>
          </w:tcPr>
          <w:p w14:paraId="47625AF6">
            <w:pPr>
              <w:spacing w:line="560" w:lineRule="exact"/>
              <w:rPr>
                <w:rFonts w:ascii="仿宋_GB2312" w:hAnsi="宋体" w:eastAsia="仿宋" w:cs="仿宋_GB2312"/>
                <w:sz w:val="32"/>
                <w:lang w:bidi="ar"/>
              </w:rPr>
            </w:pPr>
            <w:r>
              <w:rPr>
                <w:rFonts w:ascii="仿宋_GB2312" w:hAnsi="宋体" w:eastAsia="仿宋" w:cs="仿宋_GB2312"/>
                <w:sz w:val="32"/>
                <w:lang w:bidi="ar"/>
              </w:rPr>
              <w:t>2019年乡村振兴项目</w:t>
            </w:r>
          </w:p>
        </w:tc>
      </w:tr>
      <w:tr w14:paraId="48904632">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7EFAC986">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11</w:t>
            </w:r>
          </w:p>
        </w:tc>
        <w:tc>
          <w:tcPr>
            <w:tcW w:w="7618" w:type="dxa"/>
            <w:shd w:val="clear" w:color="auto" w:fill="auto"/>
          </w:tcPr>
          <w:p w14:paraId="560C261C">
            <w:pPr>
              <w:spacing w:line="560" w:lineRule="exact"/>
              <w:rPr>
                <w:rFonts w:ascii="仿宋_GB2312" w:hAnsi="宋体" w:eastAsia="仿宋" w:cs="仿宋_GB2312"/>
                <w:sz w:val="32"/>
                <w:lang w:bidi="ar"/>
              </w:rPr>
            </w:pPr>
            <w:r>
              <w:rPr>
                <w:rFonts w:ascii="仿宋_GB2312" w:hAnsi="宋体" w:eastAsia="仿宋" w:cs="仿宋_GB2312"/>
                <w:sz w:val="32"/>
                <w:lang w:bidi="ar"/>
              </w:rPr>
              <w:t>重要道路绿化及城区绿化提升项目</w:t>
            </w:r>
          </w:p>
        </w:tc>
      </w:tr>
      <w:bookmarkEnd w:id="28"/>
    </w:tbl>
    <w:p w14:paraId="1A2324F3">
      <w:pPr>
        <w:spacing w:line="560" w:lineRule="exact"/>
        <w:jc w:val="center"/>
        <w:rPr>
          <w:rFonts w:hint="eastAsia" w:ascii="仿宋_GB2312" w:hAnsi="宋体" w:eastAsia="仿宋" w:cs="仿宋_GB2312"/>
          <w:sz w:val="32"/>
          <w:lang w:bidi="ar"/>
        </w:rPr>
      </w:pPr>
    </w:p>
    <w:p w14:paraId="45BBBCF3">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绩效目标方面：</w:t>
      </w:r>
      <w:r>
        <w:rPr>
          <w:rFonts w:hint="eastAsia" w:ascii="仿宋_GB2312" w:hAnsi="宋体" w:eastAsia="仿宋" w:cs="仿宋_GB2312"/>
          <w:sz w:val="32"/>
          <w:szCs w:val="28"/>
          <w:lang w:bidi="ar"/>
        </w:rPr>
        <w:t>共</w:t>
      </w:r>
      <w:r>
        <w:rPr>
          <w:rFonts w:ascii="仿宋_GB2312" w:hAnsi="宋体" w:eastAsia="仿宋" w:cs="仿宋_GB2312"/>
          <w:sz w:val="32"/>
          <w:szCs w:val="28"/>
          <w:lang w:bidi="ar"/>
        </w:rPr>
        <w:t>5</w:t>
      </w:r>
      <w:r>
        <w:rPr>
          <w:rFonts w:hint="eastAsia" w:ascii="仿宋_GB2312" w:hAnsi="宋体" w:eastAsia="仿宋" w:cs="仿宋_GB2312"/>
          <w:sz w:val="32"/>
          <w:szCs w:val="28"/>
          <w:lang w:bidi="ar"/>
        </w:rPr>
        <w:t>个考核项目绩效目标明确，目标设定符合实际需求。</w:t>
      </w:r>
    </w:p>
    <w:p w14:paraId="14CE046A">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共</w:t>
      </w:r>
      <w:r>
        <w:rPr>
          <w:rFonts w:ascii="仿宋_GB2312" w:hAnsi="宋体" w:eastAsia="仿宋" w:cs="仿宋_GB2312"/>
          <w:sz w:val="32"/>
          <w:szCs w:val="28"/>
          <w:lang w:bidi="ar"/>
        </w:rPr>
        <w:t>18</w:t>
      </w:r>
      <w:r>
        <w:rPr>
          <w:rFonts w:hint="eastAsia" w:ascii="仿宋_GB2312" w:hAnsi="宋体" w:eastAsia="仿宋" w:cs="仿宋_GB2312"/>
          <w:sz w:val="32"/>
          <w:szCs w:val="28"/>
          <w:lang w:bidi="ar"/>
        </w:rPr>
        <w:t>个考核项目存在未进行前期可行性论证、未设定绩效目标或设置不明确。详见下表：</w:t>
      </w:r>
    </w:p>
    <w:p w14:paraId="7E8F0DDA">
      <w:pPr>
        <w:spacing w:line="560" w:lineRule="exact"/>
        <w:jc w:val="center"/>
        <w:rPr>
          <w:rFonts w:hint="eastAsia" w:ascii="仿宋_GB2312" w:hAnsi="宋体" w:eastAsia="仿宋" w:cs="仿宋_GB2312"/>
          <w:sz w:val="32"/>
          <w:szCs w:val="28"/>
          <w:lang w:bidi="ar"/>
        </w:rPr>
      </w:pPr>
      <w:r>
        <w:rPr>
          <w:rFonts w:hint="eastAsia" w:ascii="仿宋_GB2312" w:hAnsi="宋体" w:eastAsia="仿宋" w:cs="仿宋_GB2312"/>
          <w:bCs/>
          <w:sz w:val="32"/>
          <w:lang w:bidi="ar"/>
        </w:rPr>
        <w:t>绩效目标情况表</w:t>
      </w:r>
    </w:p>
    <w:tbl>
      <w:tblPr>
        <w:tblStyle w:val="15"/>
        <w:tblW w:w="0" w:type="auto"/>
        <w:tblInd w:w="0" w:type="dxa"/>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384"/>
        <w:gridCol w:w="7618"/>
      </w:tblGrid>
      <w:tr w14:paraId="0EC8042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blHeader/>
        </w:trPr>
        <w:tc>
          <w:tcPr>
            <w:tcW w:w="1384" w:type="dxa"/>
            <w:shd w:val="clear" w:color="auto" w:fill="auto"/>
          </w:tcPr>
          <w:p w14:paraId="5CE46946">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7618" w:type="dxa"/>
            <w:shd w:val="clear" w:color="auto" w:fill="auto"/>
          </w:tcPr>
          <w:p w14:paraId="31BEC798">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项目名称</w:t>
            </w:r>
          </w:p>
        </w:tc>
      </w:tr>
      <w:tr w14:paraId="2B2CE95E">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450A6D1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7618" w:type="dxa"/>
            <w:shd w:val="clear" w:color="auto" w:fill="auto"/>
          </w:tcPr>
          <w:p w14:paraId="3BBD61CF">
            <w:pPr>
              <w:spacing w:line="560" w:lineRule="exact"/>
              <w:rPr>
                <w:rFonts w:ascii="仿宋_GB2312" w:hAnsi="宋体" w:eastAsia="仿宋" w:cs="仿宋_GB2312"/>
                <w:sz w:val="32"/>
                <w:lang w:bidi="ar"/>
              </w:rPr>
            </w:pPr>
            <w:r>
              <w:rPr>
                <w:rFonts w:ascii="仿宋_GB2312" w:hAnsi="宋体" w:eastAsia="仿宋" w:cs="仿宋_GB2312"/>
                <w:sz w:val="32"/>
                <w:lang w:bidi="ar"/>
              </w:rPr>
              <w:t>2018年第四批新增地方政府债券资金</w:t>
            </w:r>
          </w:p>
        </w:tc>
      </w:tr>
      <w:tr w14:paraId="764D677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7C3B7C1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7618" w:type="dxa"/>
            <w:shd w:val="clear" w:color="auto" w:fill="auto"/>
          </w:tcPr>
          <w:p w14:paraId="78CCABD8">
            <w:pPr>
              <w:spacing w:line="560" w:lineRule="exact"/>
              <w:rPr>
                <w:rFonts w:ascii="仿宋_GB2312" w:hAnsi="宋体" w:eastAsia="仿宋" w:cs="仿宋_GB2312"/>
                <w:sz w:val="32"/>
                <w:lang w:bidi="ar"/>
              </w:rPr>
            </w:pPr>
            <w:r>
              <w:rPr>
                <w:rFonts w:ascii="仿宋_GB2312" w:hAnsi="宋体" w:eastAsia="仿宋" w:cs="仿宋_GB2312"/>
                <w:sz w:val="32"/>
                <w:lang w:bidi="ar"/>
              </w:rPr>
              <w:t>松岗柯盘天街景区标识标牌制作和安装项目</w:t>
            </w:r>
          </w:p>
        </w:tc>
      </w:tr>
      <w:tr w14:paraId="37A9F14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5A84BCC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7618" w:type="dxa"/>
            <w:shd w:val="clear" w:color="auto" w:fill="auto"/>
          </w:tcPr>
          <w:p w14:paraId="3C678634">
            <w:pPr>
              <w:spacing w:line="560" w:lineRule="exact"/>
              <w:rPr>
                <w:rFonts w:ascii="仿宋_GB2312" w:hAnsi="宋体" w:eastAsia="仿宋" w:cs="仿宋_GB2312"/>
                <w:sz w:val="32"/>
                <w:lang w:bidi="ar"/>
              </w:rPr>
            </w:pPr>
            <w:r>
              <w:rPr>
                <w:rFonts w:ascii="仿宋_GB2312" w:hAnsi="宋体" w:eastAsia="仿宋" w:cs="仿宋_GB2312"/>
                <w:sz w:val="32"/>
                <w:lang w:bidi="ar"/>
              </w:rPr>
              <w:t>地质灾害综合防治体系建设项目</w:t>
            </w:r>
          </w:p>
        </w:tc>
      </w:tr>
      <w:tr w14:paraId="39DFED4D">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059040C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7618" w:type="dxa"/>
            <w:shd w:val="clear" w:color="auto" w:fill="auto"/>
          </w:tcPr>
          <w:p w14:paraId="791A94A1">
            <w:pPr>
              <w:spacing w:line="560" w:lineRule="exact"/>
              <w:rPr>
                <w:rFonts w:ascii="仿宋_GB2312" w:hAnsi="宋体" w:eastAsia="仿宋" w:cs="仿宋_GB2312"/>
                <w:sz w:val="32"/>
                <w:lang w:bidi="ar"/>
              </w:rPr>
            </w:pPr>
            <w:r>
              <w:rPr>
                <w:rFonts w:ascii="仿宋_GB2312" w:hAnsi="宋体" w:eastAsia="仿宋" w:cs="仿宋_GB2312"/>
                <w:sz w:val="32"/>
                <w:lang w:bidi="ar"/>
              </w:rPr>
              <w:t>2019年革命老区转移支付项目</w:t>
            </w:r>
          </w:p>
        </w:tc>
      </w:tr>
      <w:tr w14:paraId="3F687B39">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53D78CC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w:t>
            </w:r>
          </w:p>
        </w:tc>
        <w:tc>
          <w:tcPr>
            <w:tcW w:w="7618" w:type="dxa"/>
            <w:shd w:val="clear" w:color="auto" w:fill="auto"/>
          </w:tcPr>
          <w:p w14:paraId="0289A2D4">
            <w:pPr>
              <w:spacing w:line="560" w:lineRule="exact"/>
              <w:rPr>
                <w:rFonts w:ascii="仿宋_GB2312" w:hAnsi="宋体" w:eastAsia="仿宋" w:cs="仿宋_GB2312"/>
                <w:sz w:val="32"/>
                <w:lang w:bidi="ar"/>
              </w:rPr>
            </w:pPr>
            <w:r>
              <w:rPr>
                <w:rFonts w:ascii="仿宋_GB2312" w:hAnsi="宋体" w:eastAsia="仿宋" w:cs="仿宋_GB2312"/>
                <w:sz w:val="32"/>
                <w:lang w:bidi="ar"/>
              </w:rPr>
              <w:t>第八届嘉绒锅庄文化旅游节项目</w:t>
            </w:r>
          </w:p>
        </w:tc>
      </w:tr>
      <w:tr w14:paraId="5400150B">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07CC006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6</w:t>
            </w:r>
          </w:p>
        </w:tc>
        <w:tc>
          <w:tcPr>
            <w:tcW w:w="7618" w:type="dxa"/>
            <w:shd w:val="clear" w:color="auto" w:fill="auto"/>
          </w:tcPr>
          <w:p w14:paraId="7455DD7E">
            <w:pPr>
              <w:spacing w:line="560" w:lineRule="exact"/>
              <w:rPr>
                <w:rFonts w:ascii="仿宋_GB2312" w:hAnsi="宋体" w:eastAsia="仿宋" w:cs="仿宋_GB2312"/>
                <w:sz w:val="32"/>
                <w:lang w:bidi="ar"/>
              </w:rPr>
            </w:pPr>
            <w:r>
              <w:rPr>
                <w:rFonts w:ascii="仿宋_GB2312" w:hAnsi="宋体" w:eastAsia="仿宋" w:cs="仿宋_GB2312"/>
                <w:sz w:val="32"/>
                <w:lang w:bidi="ar"/>
              </w:rPr>
              <w:t>建档立卡贫困人口基本医疗保险参保项目</w:t>
            </w:r>
          </w:p>
        </w:tc>
      </w:tr>
      <w:tr w14:paraId="7E85404E">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2DB865A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w:t>
            </w:r>
          </w:p>
        </w:tc>
        <w:tc>
          <w:tcPr>
            <w:tcW w:w="7618" w:type="dxa"/>
            <w:shd w:val="clear" w:color="auto" w:fill="auto"/>
          </w:tcPr>
          <w:p w14:paraId="23FA9EB4">
            <w:pPr>
              <w:tabs>
                <w:tab w:val="left" w:pos="2989"/>
              </w:tabs>
              <w:spacing w:line="560" w:lineRule="exact"/>
              <w:rPr>
                <w:rFonts w:ascii="仿宋_GB2312" w:hAnsi="宋体" w:eastAsia="仿宋" w:cs="仿宋_GB2312"/>
                <w:sz w:val="32"/>
                <w:lang w:bidi="ar"/>
              </w:rPr>
            </w:pPr>
            <w:r>
              <w:rPr>
                <w:rFonts w:ascii="仿宋_GB2312" w:hAnsi="宋体" w:eastAsia="仿宋" w:cs="仿宋_GB2312"/>
                <w:sz w:val="32"/>
                <w:lang w:bidi="ar"/>
              </w:rPr>
              <w:t>党坝乡地拉秋村跨河大桥建设项目</w:t>
            </w:r>
          </w:p>
        </w:tc>
      </w:tr>
      <w:tr w14:paraId="24A9A73D">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7330A0F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w:t>
            </w:r>
          </w:p>
        </w:tc>
        <w:tc>
          <w:tcPr>
            <w:tcW w:w="7618" w:type="dxa"/>
            <w:shd w:val="clear" w:color="auto" w:fill="auto"/>
          </w:tcPr>
          <w:p w14:paraId="641C7CB6">
            <w:pPr>
              <w:spacing w:line="560" w:lineRule="exact"/>
              <w:rPr>
                <w:rFonts w:ascii="仿宋_GB2312" w:hAnsi="宋体" w:eastAsia="仿宋" w:cs="仿宋_GB2312"/>
                <w:sz w:val="32"/>
                <w:lang w:bidi="ar"/>
              </w:rPr>
            </w:pPr>
            <w:r>
              <w:rPr>
                <w:rFonts w:ascii="仿宋_GB2312" w:hAnsi="宋体" w:eastAsia="仿宋" w:cs="仿宋_GB2312"/>
                <w:sz w:val="32"/>
                <w:lang w:bidi="ar"/>
              </w:rPr>
              <w:t>2018-2019年粮食低温储备库建设项目</w:t>
            </w:r>
          </w:p>
        </w:tc>
      </w:tr>
      <w:tr w14:paraId="71C42D11">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34C8E5C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w:t>
            </w:r>
          </w:p>
        </w:tc>
        <w:tc>
          <w:tcPr>
            <w:tcW w:w="7618" w:type="dxa"/>
            <w:shd w:val="clear" w:color="auto" w:fill="auto"/>
          </w:tcPr>
          <w:p w14:paraId="6A953A33">
            <w:pPr>
              <w:spacing w:line="560" w:lineRule="exact"/>
              <w:rPr>
                <w:rFonts w:ascii="仿宋_GB2312" w:hAnsi="宋体" w:eastAsia="仿宋" w:cs="仿宋_GB2312"/>
                <w:sz w:val="32"/>
                <w:lang w:bidi="ar"/>
              </w:rPr>
            </w:pPr>
            <w:r>
              <w:rPr>
                <w:rFonts w:ascii="仿宋_GB2312" w:hAnsi="宋体" w:eastAsia="仿宋" w:cs="仿宋_GB2312"/>
                <w:sz w:val="32"/>
                <w:lang w:bidi="ar"/>
              </w:rPr>
              <w:t>马尔康市城市设计项目</w:t>
            </w:r>
          </w:p>
        </w:tc>
      </w:tr>
      <w:tr w14:paraId="741EFEA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4A434D5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w:t>
            </w:r>
          </w:p>
        </w:tc>
        <w:tc>
          <w:tcPr>
            <w:tcW w:w="7618" w:type="dxa"/>
            <w:shd w:val="clear" w:color="auto" w:fill="auto"/>
          </w:tcPr>
          <w:p w14:paraId="7F62D845">
            <w:pPr>
              <w:spacing w:line="560" w:lineRule="exact"/>
              <w:rPr>
                <w:rFonts w:ascii="仿宋_GB2312" w:hAnsi="宋体" w:eastAsia="仿宋" w:cs="仿宋_GB2312"/>
                <w:sz w:val="32"/>
                <w:lang w:bidi="ar"/>
              </w:rPr>
            </w:pPr>
            <w:r>
              <w:rPr>
                <w:rFonts w:ascii="仿宋_GB2312" w:hAnsi="宋体" w:eastAsia="仿宋" w:cs="仿宋_GB2312"/>
                <w:sz w:val="32"/>
                <w:lang w:bidi="ar"/>
              </w:rPr>
              <w:t>马尔康市第四小学会议室办公设备及学生生活设备项目</w:t>
            </w:r>
          </w:p>
        </w:tc>
      </w:tr>
      <w:tr w14:paraId="5204F571">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39FB682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11</w:t>
            </w:r>
          </w:p>
        </w:tc>
        <w:tc>
          <w:tcPr>
            <w:tcW w:w="7618" w:type="dxa"/>
            <w:shd w:val="clear" w:color="auto" w:fill="auto"/>
          </w:tcPr>
          <w:p w14:paraId="6B964440">
            <w:pPr>
              <w:spacing w:line="560" w:lineRule="exact"/>
              <w:rPr>
                <w:rFonts w:ascii="仿宋_GB2312" w:hAnsi="宋体" w:eastAsia="仿宋" w:cs="仿宋_GB2312"/>
                <w:sz w:val="32"/>
                <w:lang w:bidi="ar"/>
              </w:rPr>
            </w:pPr>
            <w:r>
              <w:rPr>
                <w:rFonts w:ascii="仿宋_GB2312" w:hAnsi="宋体" w:eastAsia="仿宋" w:cs="仿宋_GB2312"/>
                <w:sz w:val="32"/>
                <w:lang w:bidi="ar"/>
              </w:rPr>
              <w:t>马尔康市人民医院太阳能热水系统及采暖改造采购项目</w:t>
            </w:r>
          </w:p>
        </w:tc>
      </w:tr>
      <w:tr w14:paraId="0BE5504C">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5260435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12</w:t>
            </w:r>
          </w:p>
        </w:tc>
        <w:tc>
          <w:tcPr>
            <w:tcW w:w="7618" w:type="dxa"/>
            <w:shd w:val="clear" w:color="auto" w:fill="auto"/>
          </w:tcPr>
          <w:p w14:paraId="66EC6E9A">
            <w:pPr>
              <w:spacing w:line="560" w:lineRule="exact"/>
              <w:rPr>
                <w:rFonts w:ascii="仿宋_GB2312" w:hAnsi="宋体" w:eastAsia="仿宋" w:cs="仿宋_GB2312"/>
                <w:sz w:val="32"/>
                <w:lang w:bidi="ar"/>
              </w:rPr>
            </w:pPr>
            <w:r>
              <w:rPr>
                <w:rFonts w:ascii="仿宋_GB2312" w:hAnsi="宋体" w:eastAsia="仿宋" w:cs="仿宋_GB2312"/>
                <w:sz w:val="32"/>
                <w:lang w:bidi="ar"/>
              </w:rPr>
              <w:t>中共马尔康市委宣传部马尔康市融媒体中心建设项目</w:t>
            </w:r>
          </w:p>
        </w:tc>
      </w:tr>
      <w:tr w14:paraId="758D53F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177DE35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13</w:t>
            </w:r>
          </w:p>
        </w:tc>
        <w:tc>
          <w:tcPr>
            <w:tcW w:w="7618" w:type="dxa"/>
            <w:shd w:val="clear" w:color="auto" w:fill="auto"/>
          </w:tcPr>
          <w:p w14:paraId="1C615543">
            <w:pPr>
              <w:spacing w:line="560" w:lineRule="exact"/>
              <w:rPr>
                <w:rFonts w:ascii="仿宋_GB2312" w:hAnsi="宋体" w:eastAsia="仿宋" w:cs="仿宋_GB2312"/>
                <w:sz w:val="32"/>
                <w:lang w:bidi="ar"/>
              </w:rPr>
            </w:pPr>
            <w:r>
              <w:rPr>
                <w:rFonts w:ascii="仿宋_GB2312" w:hAnsi="宋体" w:eastAsia="仿宋" w:cs="仿宋_GB2312"/>
                <w:sz w:val="32"/>
                <w:lang w:bidi="ar"/>
              </w:rPr>
              <w:t>松岗村旅游综合服务设施项目</w:t>
            </w:r>
          </w:p>
        </w:tc>
      </w:tr>
      <w:tr w14:paraId="602961B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69B9B47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14</w:t>
            </w:r>
          </w:p>
        </w:tc>
        <w:tc>
          <w:tcPr>
            <w:tcW w:w="7618" w:type="dxa"/>
            <w:shd w:val="clear" w:color="auto" w:fill="auto"/>
          </w:tcPr>
          <w:p w14:paraId="301E8FF9">
            <w:pPr>
              <w:spacing w:line="560" w:lineRule="exact"/>
              <w:rPr>
                <w:rFonts w:ascii="仿宋_GB2312" w:hAnsi="宋体" w:eastAsia="仿宋" w:cs="仿宋_GB2312"/>
                <w:sz w:val="32"/>
                <w:lang w:bidi="ar"/>
              </w:rPr>
            </w:pPr>
            <w:r>
              <w:rPr>
                <w:rFonts w:ascii="仿宋_GB2312" w:hAnsi="宋体" w:eastAsia="仿宋" w:cs="仿宋_GB2312"/>
                <w:sz w:val="32"/>
                <w:lang w:bidi="ar"/>
              </w:rPr>
              <w:t>2019年农村教师周转宿舍建设省级补助资金项目</w:t>
            </w:r>
          </w:p>
        </w:tc>
      </w:tr>
      <w:tr w14:paraId="154E2D3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1FE4C78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15</w:t>
            </w:r>
          </w:p>
        </w:tc>
        <w:tc>
          <w:tcPr>
            <w:tcW w:w="7618" w:type="dxa"/>
            <w:shd w:val="clear" w:color="auto" w:fill="auto"/>
          </w:tcPr>
          <w:p w14:paraId="0D035657">
            <w:pPr>
              <w:spacing w:line="560" w:lineRule="exact"/>
              <w:rPr>
                <w:rFonts w:ascii="仿宋_GB2312" w:hAnsi="宋体" w:eastAsia="仿宋" w:cs="仿宋_GB2312"/>
                <w:sz w:val="32"/>
                <w:lang w:bidi="ar"/>
              </w:rPr>
            </w:pPr>
            <w:r>
              <w:rPr>
                <w:rFonts w:ascii="仿宋_GB2312" w:hAnsi="宋体" w:eastAsia="仿宋" w:cs="仿宋_GB2312"/>
                <w:sz w:val="32"/>
                <w:lang w:bidi="ar"/>
              </w:rPr>
              <w:t>夜景照明工程项目</w:t>
            </w:r>
          </w:p>
        </w:tc>
      </w:tr>
      <w:tr w14:paraId="22EF265A">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5CD57E6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16</w:t>
            </w:r>
          </w:p>
        </w:tc>
        <w:tc>
          <w:tcPr>
            <w:tcW w:w="7618" w:type="dxa"/>
            <w:shd w:val="clear" w:color="auto" w:fill="auto"/>
          </w:tcPr>
          <w:p w14:paraId="77A2F017">
            <w:pPr>
              <w:spacing w:line="560" w:lineRule="exact"/>
              <w:rPr>
                <w:rFonts w:ascii="仿宋_GB2312" w:hAnsi="宋体" w:eastAsia="仿宋" w:cs="仿宋_GB2312"/>
                <w:sz w:val="32"/>
                <w:lang w:bidi="ar"/>
              </w:rPr>
            </w:pPr>
            <w:r>
              <w:rPr>
                <w:rFonts w:ascii="仿宋_GB2312" w:hAnsi="宋体" w:eastAsia="仿宋" w:cs="仿宋_GB2312"/>
                <w:sz w:val="32"/>
                <w:lang w:bidi="ar"/>
              </w:rPr>
              <w:t>松岗天街配套基础设施建设项目</w:t>
            </w:r>
          </w:p>
        </w:tc>
      </w:tr>
      <w:tr w14:paraId="4EE943FB">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3E9CDD6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17</w:t>
            </w:r>
          </w:p>
        </w:tc>
        <w:tc>
          <w:tcPr>
            <w:tcW w:w="7618" w:type="dxa"/>
            <w:shd w:val="clear" w:color="auto" w:fill="auto"/>
          </w:tcPr>
          <w:p w14:paraId="145E95C5">
            <w:pPr>
              <w:spacing w:line="560" w:lineRule="exact"/>
              <w:rPr>
                <w:rFonts w:ascii="仿宋_GB2312" w:hAnsi="宋体" w:eastAsia="仿宋" w:cs="仿宋_GB2312"/>
                <w:sz w:val="32"/>
                <w:lang w:bidi="ar"/>
              </w:rPr>
            </w:pPr>
            <w:r>
              <w:rPr>
                <w:rFonts w:ascii="仿宋_GB2312" w:hAnsi="宋体" w:eastAsia="仿宋" w:cs="仿宋_GB2312"/>
                <w:sz w:val="32"/>
                <w:lang w:bidi="ar"/>
              </w:rPr>
              <w:t>2019年乡村振兴项目</w:t>
            </w:r>
          </w:p>
        </w:tc>
      </w:tr>
      <w:tr w14:paraId="3EDA015D">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384" w:type="dxa"/>
            <w:shd w:val="clear" w:color="auto" w:fill="auto"/>
          </w:tcPr>
          <w:p w14:paraId="334DDDD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18</w:t>
            </w:r>
          </w:p>
        </w:tc>
        <w:tc>
          <w:tcPr>
            <w:tcW w:w="7618" w:type="dxa"/>
            <w:shd w:val="clear" w:color="auto" w:fill="auto"/>
          </w:tcPr>
          <w:p w14:paraId="61D4FF33">
            <w:pPr>
              <w:spacing w:line="560" w:lineRule="exact"/>
              <w:rPr>
                <w:rFonts w:ascii="仿宋_GB2312" w:hAnsi="宋体" w:eastAsia="仿宋" w:cs="仿宋_GB2312"/>
                <w:sz w:val="32"/>
                <w:lang w:bidi="ar"/>
              </w:rPr>
            </w:pPr>
            <w:r>
              <w:rPr>
                <w:rFonts w:ascii="仿宋_GB2312" w:hAnsi="宋体" w:eastAsia="仿宋" w:cs="仿宋_GB2312"/>
                <w:sz w:val="32"/>
                <w:lang w:bidi="ar"/>
              </w:rPr>
              <w:t>重要道路绿化及城区绿化提升项目</w:t>
            </w:r>
          </w:p>
        </w:tc>
      </w:tr>
    </w:tbl>
    <w:p w14:paraId="426D3CD4">
      <w:pPr>
        <w:pStyle w:val="40"/>
        <w:spacing w:before="156" w:after="156" w:line="560" w:lineRule="exact"/>
        <w:ind w:firstLine="640"/>
        <w:rPr>
          <w:rFonts w:ascii="仿宋_GB2312" w:hAnsi="仿宋_GB2312" w:eastAsia="仿宋" w:cs="仿宋_GB2312"/>
          <w:b w:val="0"/>
          <w:color w:val="auto"/>
          <w:sz w:val="32"/>
          <w:szCs w:val="28"/>
        </w:rPr>
      </w:pPr>
      <w:bookmarkStart w:id="29" w:name="_Toc6177"/>
      <w:r>
        <w:rPr>
          <w:rFonts w:hint="eastAsia" w:ascii="仿宋_GB2312" w:hAnsi="仿宋_GB2312" w:eastAsia="仿宋" w:cs="仿宋_GB2312"/>
          <w:b w:val="0"/>
          <w:color w:val="auto"/>
          <w:sz w:val="32"/>
          <w:szCs w:val="28"/>
        </w:rPr>
        <w:t>——项目管理分析</w:t>
      </w:r>
      <w:bookmarkEnd w:id="27"/>
      <w:bookmarkEnd w:id="29"/>
    </w:p>
    <w:p w14:paraId="1E70C940">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该指标</w:t>
      </w:r>
      <w:r>
        <w:rPr>
          <w:rFonts w:ascii="仿宋_GB2312" w:hAnsi="宋体" w:eastAsia="仿宋" w:cs="仿宋_GB2312"/>
          <w:sz w:val="32"/>
          <w:szCs w:val="28"/>
          <w:lang w:bidi="ar"/>
        </w:rPr>
        <w:t>权重为</w:t>
      </w:r>
      <w:r>
        <w:rPr>
          <w:rFonts w:hint="eastAsia" w:ascii="仿宋_GB2312" w:hAnsi="宋体" w:eastAsia="仿宋" w:cs="仿宋_GB2312"/>
          <w:sz w:val="32"/>
          <w:szCs w:val="28"/>
          <w:lang w:bidi="ar"/>
        </w:rPr>
        <w:t>10.00</w:t>
      </w:r>
      <w:r>
        <w:rPr>
          <w:rFonts w:ascii="仿宋_GB2312" w:hAnsi="宋体" w:eastAsia="仿宋" w:cs="仿宋_GB2312"/>
          <w:sz w:val="32"/>
          <w:szCs w:val="28"/>
          <w:lang w:bidi="ar"/>
        </w:rPr>
        <w:t>分</w:t>
      </w:r>
      <w:r>
        <w:rPr>
          <w:rFonts w:hint="eastAsia" w:ascii="仿宋_GB2312" w:hAnsi="宋体" w:eastAsia="仿宋" w:cs="仿宋_GB2312"/>
          <w:sz w:val="32"/>
          <w:szCs w:val="28"/>
          <w:lang w:bidi="ar"/>
        </w:rPr>
        <w:t>，实得</w:t>
      </w:r>
      <w:r>
        <w:rPr>
          <w:rFonts w:ascii="仿宋_GB2312" w:hAnsi="宋体" w:eastAsia="仿宋" w:cs="仿宋_GB2312"/>
          <w:sz w:val="32"/>
          <w:szCs w:val="28"/>
          <w:lang w:bidi="ar"/>
        </w:rPr>
        <w:t>7.30</w:t>
      </w:r>
      <w:r>
        <w:rPr>
          <w:rFonts w:hint="eastAsia" w:ascii="仿宋_GB2312" w:hAnsi="宋体" w:eastAsia="仿宋" w:cs="仿宋_GB2312"/>
          <w:sz w:val="32"/>
          <w:szCs w:val="28"/>
          <w:lang w:bidi="ar"/>
        </w:rPr>
        <w:t>分</w:t>
      </w:r>
      <w:r>
        <w:rPr>
          <w:rFonts w:ascii="仿宋_GB2312" w:hAnsi="宋体" w:eastAsia="仿宋" w:cs="仿宋_GB2312"/>
          <w:sz w:val="32"/>
          <w:szCs w:val="28"/>
          <w:lang w:bidi="ar"/>
        </w:rPr>
        <w:t>，用于考察项目</w:t>
      </w:r>
      <w:r>
        <w:rPr>
          <w:rFonts w:hint="eastAsia" w:ascii="仿宋_GB2312" w:hAnsi="宋体" w:eastAsia="仿宋" w:cs="仿宋_GB2312"/>
          <w:sz w:val="32"/>
          <w:szCs w:val="28"/>
          <w:lang w:bidi="ar"/>
        </w:rPr>
        <w:t>资金分配管理是否科学、资金使用是否规范、管理制度是否健全，管理过程是否科学规范。</w:t>
      </w:r>
    </w:p>
    <w:p w14:paraId="127EF4D6">
      <w:pPr>
        <w:spacing w:line="560" w:lineRule="exact"/>
        <w:ind w:firstLine="560"/>
        <w:rPr>
          <w:rFonts w:ascii="仿宋_GB2312" w:hAnsi="宋体" w:eastAsia="仿宋" w:cs="仿宋_GB2312"/>
          <w:sz w:val="32"/>
          <w:szCs w:val="28"/>
          <w:lang w:bidi="ar"/>
        </w:rPr>
      </w:pPr>
      <w:r>
        <w:rPr>
          <w:rFonts w:ascii="仿宋_GB2312" w:hAnsi="宋体" w:eastAsia="仿宋" w:cs="仿宋_GB2312"/>
          <w:sz w:val="32"/>
          <w:szCs w:val="28"/>
          <w:lang w:bidi="ar"/>
        </w:rPr>
        <w:t>具体评价指标和得分情况如下：</w:t>
      </w:r>
    </w:p>
    <w:p w14:paraId="01469CBE">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项目管理类指标得分情况汇总表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300C603F">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597ADF52">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372D54A9">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37B15EEB">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10269EC7">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6029D276">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vAlign w:val="center"/>
          </w:tcPr>
          <w:p w14:paraId="48D6E906">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项目管理</w:t>
            </w:r>
          </w:p>
        </w:tc>
        <w:tc>
          <w:tcPr>
            <w:tcW w:w="1379" w:type="pct"/>
            <w:vAlign w:val="center"/>
          </w:tcPr>
          <w:p w14:paraId="2BD7484E">
            <w:pPr>
              <w:spacing w:line="560" w:lineRule="exact"/>
              <w:jc w:val="center"/>
              <w:rPr>
                <w:rFonts w:ascii="仿宋_GB2312" w:hAnsi="Arial Narrow" w:eastAsia="仿宋"/>
                <w:bCs/>
                <w:sz w:val="32"/>
              </w:rPr>
            </w:pPr>
            <w:r>
              <w:rPr>
                <w:rFonts w:ascii="仿宋_GB2312" w:hAnsi="宋体" w:eastAsia="仿宋" w:cs="仿宋_GB2312"/>
                <w:sz w:val="32"/>
                <w:lang w:bidi="ar"/>
              </w:rPr>
              <w:t>10.00</w:t>
            </w:r>
          </w:p>
        </w:tc>
        <w:tc>
          <w:tcPr>
            <w:tcW w:w="1346" w:type="pct"/>
            <w:vAlign w:val="center"/>
          </w:tcPr>
          <w:p w14:paraId="2A064C62">
            <w:pPr>
              <w:spacing w:line="560" w:lineRule="exact"/>
              <w:jc w:val="center"/>
              <w:rPr>
                <w:rFonts w:ascii="仿宋_GB2312" w:hAnsi="Arial Narrow" w:eastAsia="仿宋"/>
                <w:bCs/>
                <w:sz w:val="32"/>
              </w:rPr>
            </w:pPr>
            <w:r>
              <w:rPr>
                <w:rFonts w:ascii="仿宋_GB2312" w:hAnsi="宋体" w:eastAsia="仿宋" w:cs="仿宋_GB2312"/>
                <w:sz w:val="32"/>
                <w:lang w:bidi="ar"/>
              </w:rPr>
              <w:t>7.30</w:t>
            </w:r>
          </w:p>
        </w:tc>
        <w:tc>
          <w:tcPr>
            <w:tcW w:w="1370" w:type="pct"/>
            <w:vAlign w:val="center"/>
          </w:tcPr>
          <w:p w14:paraId="3C4466A9">
            <w:pPr>
              <w:spacing w:line="560" w:lineRule="exact"/>
              <w:jc w:val="center"/>
              <w:rPr>
                <w:rFonts w:ascii="仿宋_GB2312" w:hAnsi="Arial Narrow" w:eastAsia="仿宋"/>
                <w:bCs/>
                <w:sz w:val="32"/>
              </w:rPr>
            </w:pPr>
            <w:r>
              <w:rPr>
                <w:rFonts w:ascii="仿宋_GB2312" w:hAnsi="宋体" w:eastAsia="仿宋" w:cs="仿宋_GB2312"/>
                <w:sz w:val="32"/>
                <w:lang w:bidi="ar"/>
              </w:rPr>
              <w:t>73.00%</w:t>
            </w:r>
          </w:p>
        </w:tc>
      </w:tr>
    </w:tbl>
    <w:p w14:paraId="05D44905">
      <w:pPr>
        <w:spacing w:line="560" w:lineRule="exact"/>
        <w:ind w:firstLine="562"/>
        <w:rPr>
          <w:rFonts w:hint="eastAsia" w:ascii="仿宋_GB2312" w:hAnsi="宋体" w:eastAsia="仿宋" w:cs="仿宋_GB2312"/>
          <w:sz w:val="32"/>
          <w:szCs w:val="28"/>
          <w:lang w:bidi="ar"/>
        </w:rPr>
      </w:pPr>
      <w:bookmarkStart w:id="30" w:name="_Toc22000"/>
      <w:r>
        <w:rPr>
          <w:rFonts w:hint="eastAsia" w:ascii="仿宋_GB2312" w:hAnsi="宋体" w:eastAsia="仿宋" w:cs="仿宋_GB2312"/>
          <w:bCs/>
          <w:sz w:val="32"/>
          <w:szCs w:val="28"/>
          <w:lang w:bidi="ar"/>
        </w:rPr>
        <w:t>资金管理方面：</w:t>
      </w:r>
      <w:r>
        <w:rPr>
          <w:rFonts w:hint="eastAsia" w:ascii="仿宋_GB2312" w:hAnsi="宋体" w:eastAsia="仿宋" w:cs="仿宋_GB2312"/>
          <w:sz w:val="32"/>
          <w:szCs w:val="28"/>
          <w:lang w:bidi="ar"/>
        </w:rPr>
        <w:t>共2</w:t>
      </w:r>
      <w:r>
        <w:rPr>
          <w:rFonts w:ascii="仿宋_GB2312" w:hAnsi="宋体" w:eastAsia="仿宋" w:cs="仿宋_GB2312"/>
          <w:sz w:val="32"/>
          <w:szCs w:val="28"/>
          <w:lang w:bidi="ar"/>
        </w:rPr>
        <w:t>2</w:t>
      </w:r>
      <w:r>
        <w:rPr>
          <w:rFonts w:hint="eastAsia" w:ascii="仿宋_GB2312" w:hAnsi="宋体" w:eastAsia="仿宋" w:cs="仿宋_GB2312"/>
          <w:sz w:val="32"/>
          <w:szCs w:val="28"/>
          <w:lang w:bidi="ar"/>
        </w:rPr>
        <w:t>个考核项目资金为本单位使用，不涉及分配；1个项目（重要道路绿化及城区绿化提升项目）资金分配不合理。</w:t>
      </w:r>
    </w:p>
    <w:p w14:paraId="05D01E2D">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共</w:t>
      </w:r>
      <w:r>
        <w:rPr>
          <w:rFonts w:ascii="仿宋_GB2312" w:hAnsi="宋体" w:eastAsia="仿宋" w:cs="仿宋_GB2312"/>
          <w:sz w:val="32"/>
          <w:szCs w:val="28"/>
          <w:lang w:bidi="ar"/>
        </w:rPr>
        <w:t>18</w:t>
      </w:r>
      <w:r>
        <w:rPr>
          <w:rFonts w:hint="eastAsia" w:ascii="仿宋_GB2312" w:hAnsi="宋体" w:eastAsia="仿宋" w:cs="仿宋_GB2312"/>
          <w:sz w:val="32"/>
          <w:szCs w:val="28"/>
          <w:lang w:bidi="ar"/>
        </w:rPr>
        <w:t>个考核项目资金使用符合规定，拨付手续齐全；</w:t>
      </w:r>
      <w:r>
        <w:rPr>
          <w:rFonts w:ascii="仿宋_GB2312" w:hAnsi="宋体" w:eastAsia="仿宋" w:cs="仿宋_GB2312"/>
          <w:sz w:val="32"/>
          <w:szCs w:val="28"/>
          <w:lang w:bidi="ar"/>
        </w:rPr>
        <w:t>5</w:t>
      </w:r>
      <w:r>
        <w:rPr>
          <w:rFonts w:hint="eastAsia" w:ascii="仿宋_GB2312" w:hAnsi="宋体" w:eastAsia="仿宋" w:cs="仿宋_GB2312"/>
          <w:sz w:val="32"/>
          <w:szCs w:val="28"/>
          <w:lang w:bidi="ar"/>
        </w:rPr>
        <w:t>个考核项目资金使用不太规范，详见下表：</w:t>
      </w:r>
    </w:p>
    <w:p w14:paraId="52D97A17">
      <w:pPr>
        <w:spacing w:line="560" w:lineRule="exact"/>
        <w:jc w:val="center"/>
        <w:rPr>
          <w:rFonts w:ascii="仿宋_GB2312" w:hAnsi="宋体" w:eastAsia="仿宋" w:cs="仿宋_GB2312"/>
          <w:sz w:val="32"/>
          <w:szCs w:val="28"/>
          <w:lang w:bidi="ar"/>
        </w:rPr>
      </w:pPr>
      <w:bookmarkStart w:id="31" w:name="_Hlk57761927"/>
      <w:r>
        <w:rPr>
          <w:rFonts w:hint="eastAsia" w:ascii="仿宋_GB2312" w:hAnsi="宋体" w:eastAsia="仿宋" w:cs="仿宋_GB2312"/>
          <w:bCs/>
          <w:sz w:val="32"/>
          <w:lang w:bidi="ar"/>
        </w:rPr>
        <w:t>资金管理情况表</w:t>
      </w:r>
    </w:p>
    <w:bookmarkEnd w:id="31"/>
    <w:tbl>
      <w:tblPr>
        <w:tblStyle w:val="15"/>
        <w:tblW w:w="0" w:type="auto"/>
        <w:tblInd w:w="0" w:type="dxa"/>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891"/>
        <w:gridCol w:w="4297"/>
        <w:gridCol w:w="3814"/>
      </w:tblGrid>
      <w:tr w14:paraId="1EB37656">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blHeader/>
        </w:trPr>
        <w:tc>
          <w:tcPr>
            <w:tcW w:w="891" w:type="dxa"/>
            <w:shd w:val="clear" w:color="auto" w:fill="auto"/>
          </w:tcPr>
          <w:p w14:paraId="71549DF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4297" w:type="dxa"/>
            <w:shd w:val="clear" w:color="auto" w:fill="auto"/>
          </w:tcPr>
          <w:p w14:paraId="5048E79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项目名称</w:t>
            </w:r>
          </w:p>
        </w:tc>
        <w:tc>
          <w:tcPr>
            <w:tcW w:w="3814" w:type="dxa"/>
            <w:shd w:val="clear" w:color="auto" w:fill="auto"/>
          </w:tcPr>
          <w:p w14:paraId="36653814">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问题</w:t>
            </w:r>
          </w:p>
        </w:tc>
      </w:tr>
      <w:tr w14:paraId="66C24519">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E2077D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4297" w:type="dxa"/>
            <w:shd w:val="clear" w:color="auto" w:fill="auto"/>
          </w:tcPr>
          <w:p w14:paraId="002F90B6">
            <w:pPr>
              <w:spacing w:line="560" w:lineRule="exact"/>
              <w:rPr>
                <w:rFonts w:ascii="仿宋_GB2312" w:hAnsi="宋体" w:eastAsia="仿宋" w:cs="仿宋_GB2312"/>
                <w:sz w:val="32"/>
                <w:lang w:bidi="ar"/>
              </w:rPr>
            </w:pPr>
            <w:r>
              <w:rPr>
                <w:rFonts w:ascii="仿宋_GB2312" w:hAnsi="宋体" w:eastAsia="仿宋" w:cs="仿宋_GB2312"/>
                <w:sz w:val="32"/>
                <w:lang w:bidi="ar"/>
              </w:rPr>
              <w:t>2018年第四批新增地方政府债券资金</w:t>
            </w:r>
          </w:p>
        </w:tc>
        <w:tc>
          <w:tcPr>
            <w:tcW w:w="3814" w:type="dxa"/>
            <w:shd w:val="clear" w:color="auto" w:fill="auto"/>
          </w:tcPr>
          <w:p w14:paraId="7CAAED5C">
            <w:pPr>
              <w:spacing w:line="560" w:lineRule="exact"/>
              <w:rPr>
                <w:rFonts w:ascii="仿宋_GB2312" w:hAnsi="宋体" w:eastAsia="仿宋" w:cs="仿宋_GB2312"/>
                <w:sz w:val="32"/>
                <w:lang w:bidi="ar"/>
              </w:rPr>
            </w:pPr>
            <w:r>
              <w:rPr>
                <w:rFonts w:ascii="仿宋_GB2312" w:hAnsi="宋体" w:eastAsia="仿宋" w:cs="仿宋_GB2312"/>
                <w:sz w:val="32"/>
                <w:lang w:bidi="ar"/>
              </w:rPr>
              <w:t>存在其他项目挤占该项目资金</w:t>
            </w:r>
          </w:p>
        </w:tc>
      </w:tr>
      <w:tr w14:paraId="413B6772">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3A8B17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4297" w:type="dxa"/>
            <w:shd w:val="clear" w:color="auto" w:fill="auto"/>
          </w:tcPr>
          <w:p w14:paraId="37713151">
            <w:pPr>
              <w:spacing w:line="560" w:lineRule="exact"/>
              <w:rPr>
                <w:rFonts w:ascii="仿宋_GB2312" w:hAnsi="宋体" w:eastAsia="仿宋" w:cs="仿宋_GB2312"/>
                <w:sz w:val="32"/>
                <w:lang w:bidi="ar"/>
              </w:rPr>
            </w:pPr>
            <w:r>
              <w:rPr>
                <w:rFonts w:ascii="仿宋_GB2312" w:hAnsi="宋体" w:eastAsia="仿宋" w:cs="仿宋_GB2312"/>
                <w:sz w:val="32"/>
                <w:lang w:bidi="ar"/>
              </w:rPr>
              <w:t>阿底村防洪堤项目</w:t>
            </w:r>
          </w:p>
        </w:tc>
        <w:tc>
          <w:tcPr>
            <w:tcW w:w="3814" w:type="dxa"/>
            <w:shd w:val="clear" w:color="auto" w:fill="auto"/>
          </w:tcPr>
          <w:p w14:paraId="1B8F4E09">
            <w:pPr>
              <w:spacing w:line="560" w:lineRule="exact"/>
              <w:rPr>
                <w:rFonts w:ascii="仿宋_GB2312" w:hAnsi="宋体" w:eastAsia="仿宋" w:cs="仿宋_GB2312"/>
                <w:sz w:val="32"/>
                <w:lang w:bidi="ar"/>
              </w:rPr>
            </w:pPr>
            <w:r>
              <w:rPr>
                <w:rFonts w:ascii="仿宋_GB2312" w:hAnsi="宋体" w:eastAsia="仿宋" w:cs="仿宋_GB2312"/>
                <w:sz w:val="32"/>
                <w:lang w:bidi="ar"/>
              </w:rPr>
              <w:t>部分审批程序和手续不全</w:t>
            </w:r>
          </w:p>
        </w:tc>
      </w:tr>
      <w:tr w14:paraId="4B8382A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4968257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4297" w:type="dxa"/>
            <w:shd w:val="clear" w:color="auto" w:fill="auto"/>
            <w:vAlign w:val="center"/>
          </w:tcPr>
          <w:p w14:paraId="526E5FD9">
            <w:pPr>
              <w:spacing w:line="560" w:lineRule="exact"/>
              <w:rPr>
                <w:rFonts w:ascii="仿宋_GB2312" w:hAnsi="宋体" w:eastAsia="仿宋" w:cs="仿宋_GB2312"/>
                <w:sz w:val="32"/>
                <w:lang w:bidi="ar"/>
              </w:rPr>
            </w:pPr>
            <w:r>
              <w:rPr>
                <w:rFonts w:ascii="仿宋_GB2312" w:hAnsi="宋体" w:eastAsia="仿宋" w:cs="仿宋_GB2312"/>
                <w:sz w:val="32"/>
                <w:lang w:bidi="ar"/>
              </w:rPr>
              <w:t>第八届嘉绒锅庄文化旅游节项目</w:t>
            </w:r>
          </w:p>
        </w:tc>
        <w:tc>
          <w:tcPr>
            <w:tcW w:w="3814" w:type="dxa"/>
            <w:shd w:val="clear" w:color="auto" w:fill="auto"/>
          </w:tcPr>
          <w:p w14:paraId="13D73EE7">
            <w:pPr>
              <w:spacing w:line="560" w:lineRule="exact"/>
              <w:rPr>
                <w:rFonts w:ascii="仿宋_GB2312" w:hAnsi="宋体" w:eastAsia="仿宋" w:cs="仿宋_GB2312"/>
                <w:sz w:val="32"/>
                <w:lang w:bidi="ar"/>
              </w:rPr>
            </w:pPr>
            <w:r>
              <w:rPr>
                <w:rFonts w:ascii="仿宋_GB2312" w:hAnsi="宋体" w:eastAsia="仿宋" w:cs="仿宋_GB2312"/>
                <w:sz w:val="32"/>
                <w:lang w:bidi="ar"/>
              </w:rPr>
              <w:t>存在部分审批程序和手续不全、发票开具不规范、验收手续不全、合同签订不规范的情况</w:t>
            </w:r>
          </w:p>
        </w:tc>
      </w:tr>
      <w:tr w14:paraId="3C908066">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00713A1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4297" w:type="dxa"/>
            <w:shd w:val="clear" w:color="auto" w:fill="auto"/>
          </w:tcPr>
          <w:p w14:paraId="2FF721DA">
            <w:pPr>
              <w:spacing w:line="560" w:lineRule="exact"/>
              <w:rPr>
                <w:rFonts w:ascii="仿宋_GB2312" w:hAnsi="宋体" w:eastAsia="仿宋" w:cs="仿宋_GB2312"/>
                <w:sz w:val="32"/>
                <w:lang w:bidi="ar"/>
              </w:rPr>
            </w:pPr>
            <w:r>
              <w:rPr>
                <w:rFonts w:ascii="仿宋_GB2312" w:hAnsi="宋体" w:eastAsia="仿宋" w:cs="仿宋_GB2312"/>
                <w:sz w:val="32"/>
                <w:lang w:bidi="ar"/>
              </w:rPr>
              <w:t>建档立卡贫困人口基本医疗保险参保项目</w:t>
            </w:r>
          </w:p>
        </w:tc>
        <w:tc>
          <w:tcPr>
            <w:tcW w:w="3814" w:type="dxa"/>
            <w:shd w:val="clear" w:color="auto" w:fill="auto"/>
          </w:tcPr>
          <w:p w14:paraId="1FC18EC7">
            <w:pPr>
              <w:spacing w:line="560" w:lineRule="exact"/>
              <w:rPr>
                <w:rFonts w:ascii="仿宋_GB2312" w:hAnsi="宋体" w:eastAsia="仿宋" w:cs="仿宋_GB2312"/>
                <w:sz w:val="32"/>
                <w:lang w:bidi="ar"/>
              </w:rPr>
            </w:pPr>
            <w:r>
              <w:rPr>
                <w:rFonts w:ascii="仿宋_GB2312" w:hAnsi="宋体" w:eastAsia="仿宋" w:cs="仿宋_GB2312"/>
                <w:sz w:val="32"/>
                <w:lang w:bidi="ar"/>
              </w:rPr>
              <w:t>资金使用率较低</w:t>
            </w:r>
          </w:p>
        </w:tc>
      </w:tr>
      <w:tr w14:paraId="218855FD">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7CB3F0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w:t>
            </w:r>
          </w:p>
        </w:tc>
        <w:tc>
          <w:tcPr>
            <w:tcW w:w="4297" w:type="dxa"/>
            <w:shd w:val="clear" w:color="auto" w:fill="auto"/>
          </w:tcPr>
          <w:p w14:paraId="67F143F1">
            <w:pPr>
              <w:spacing w:line="560" w:lineRule="exact"/>
              <w:rPr>
                <w:rFonts w:ascii="仿宋_GB2312" w:hAnsi="宋体" w:eastAsia="仿宋" w:cs="仿宋_GB2312"/>
                <w:sz w:val="32"/>
                <w:lang w:bidi="ar"/>
              </w:rPr>
            </w:pPr>
            <w:r>
              <w:rPr>
                <w:rFonts w:ascii="仿宋_GB2312" w:hAnsi="宋体" w:eastAsia="仿宋" w:cs="仿宋_GB2312"/>
                <w:sz w:val="32"/>
                <w:lang w:bidi="ar"/>
              </w:rPr>
              <w:t>松岗天街配套基础设施建设项目</w:t>
            </w:r>
          </w:p>
        </w:tc>
        <w:tc>
          <w:tcPr>
            <w:tcW w:w="3814" w:type="dxa"/>
            <w:shd w:val="clear" w:color="auto" w:fill="auto"/>
          </w:tcPr>
          <w:p w14:paraId="3C1F719D">
            <w:pPr>
              <w:spacing w:line="560" w:lineRule="exact"/>
              <w:rPr>
                <w:rFonts w:ascii="仿宋_GB2312" w:hAnsi="宋体" w:eastAsia="仿宋" w:cs="仿宋_GB2312"/>
                <w:sz w:val="32"/>
                <w:lang w:bidi="ar"/>
              </w:rPr>
            </w:pPr>
            <w:r>
              <w:rPr>
                <w:rFonts w:ascii="仿宋_GB2312" w:hAnsi="宋体" w:eastAsia="仿宋" w:cs="仿宋_GB2312"/>
                <w:sz w:val="32"/>
                <w:lang w:bidi="ar"/>
              </w:rPr>
              <w:t>资金使用审批不完善</w:t>
            </w:r>
          </w:p>
        </w:tc>
      </w:tr>
    </w:tbl>
    <w:p w14:paraId="3096C7DC">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项目执行方面：</w:t>
      </w:r>
      <w:r>
        <w:rPr>
          <w:rFonts w:hint="eastAsia" w:ascii="仿宋_GB2312" w:hAnsi="宋体" w:eastAsia="仿宋" w:cs="仿宋_GB2312"/>
          <w:sz w:val="32"/>
          <w:szCs w:val="28"/>
          <w:lang w:bidi="ar"/>
        </w:rPr>
        <w:t>共2</w:t>
      </w:r>
      <w:r>
        <w:rPr>
          <w:rFonts w:ascii="仿宋_GB2312" w:hAnsi="宋体" w:eastAsia="仿宋" w:cs="仿宋_GB2312"/>
          <w:sz w:val="32"/>
          <w:szCs w:val="28"/>
          <w:lang w:bidi="ar"/>
        </w:rPr>
        <w:t>3</w:t>
      </w:r>
      <w:r>
        <w:rPr>
          <w:rFonts w:hint="eastAsia" w:ascii="仿宋_GB2312" w:hAnsi="宋体" w:eastAsia="仿宋" w:cs="仿宋_GB2312"/>
          <w:sz w:val="32"/>
          <w:szCs w:val="28"/>
          <w:lang w:bidi="ar"/>
        </w:rPr>
        <w:t>个考核项目开展了审核工作，</w:t>
      </w:r>
      <w:r>
        <w:rPr>
          <w:rFonts w:ascii="仿宋_GB2312" w:hAnsi="宋体" w:eastAsia="仿宋" w:cs="仿宋_GB2312"/>
          <w:sz w:val="32"/>
          <w:szCs w:val="28"/>
          <w:lang w:bidi="ar"/>
        </w:rPr>
        <w:t>7</w:t>
      </w:r>
      <w:r>
        <w:rPr>
          <w:rFonts w:hint="eastAsia" w:ascii="仿宋_GB2312" w:hAnsi="宋体" w:eastAsia="仿宋" w:cs="仿宋_GB2312"/>
          <w:sz w:val="32"/>
          <w:szCs w:val="28"/>
          <w:lang w:bidi="ar"/>
        </w:rPr>
        <w:t>个考核项目管理制度健全，管理过程科学规范。1</w:t>
      </w:r>
      <w:r>
        <w:rPr>
          <w:rFonts w:ascii="仿宋_GB2312" w:hAnsi="宋体" w:eastAsia="仿宋" w:cs="仿宋_GB2312"/>
          <w:sz w:val="32"/>
          <w:szCs w:val="28"/>
          <w:lang w:bidi="ar"/>
        </w:rPr>
        <w:t>6</w:t>
      </w:r>
      <w:r>
        <w:rPr>
          <w:rFonts w:hint="eastAsia" w:ascii="仿宋_GB2312" w:hAnsi="宋体" w:eastAsia="仿宋" w:cs="仿宋_GB2312"/>
          <w:sz w:val="32"/>
          <w:szCs w:val="28"/>
          <w:lang w:bidi="ar"/>
        </w:rPr>
        <w:t>个考核项目执行不太规范，详见下表：</w:t>
      </w:r>
    </w:p>
    <w:p w14:paraId="3E4A8856">
      <w:pPr>
        <w:spacing w:line="560" w:lineRule="exact"/>
        <w:jc w:val="center"/>
        <w:rPr>
          <w:rFonts w:ascii="仿宋_GB2312" w:hAnsi="宋体" w:eastAsia="仿宋" w:cs="仿宋_GB2312"/>
          <w:sz w:val="32"/>
          <w:szCs w:val="28"/>
          <w:lang w:bidi="ar"/>
        </w:rPr>
      </w:pPr>
      <w:r>
        <w:rPr>
          <w:rFonts w:hint="eastAsia" w:ascii="仿宋_GB2312" w:hAnsi="宋体" w:eastAsia="仿宋" w:cs="仿宋_GB2312"/>
          <w:bCs/>
          <w:sz w:val="32"/>
          <w:lang w:bidi="ar"/>
        </w:rPr>
        <w:t>项目执行情况表</w:t>
      </w:r>
    </w:p>
    <w:tbl>
      <w:tblPr>
        <w:tblStyle w:val="15"/>
        <w:tblW w:w="0" w:type="auto"/>
        <w:tblInd w:w="0" w:type="dxa"/>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891"/>
        <w:gridCol w:w="4297"/>
        <w:gridCol w:w="3814"/>
      </w:tblGrid>
      <w:tr w14:paraId="075E318A">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blHeader/>
        </w:trPr>
        <w:tc>
          <w:tcPr>
            <w:tcW w:w="891" w:type="dxa"/>
            <w:shd w:val="clear" w:color="auto" w:fill="auto"/>
          </w:tcPr>
          <w:p w14:paraId="5BB19237">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4297" w:type="dxa"/>
            <w:shd w:val="clear" w:color="auto" w:fill="auto"/>
          </w:tcPr>
          <w:p w14:paraId="489C1A92">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项目名称</w:t>
            </w:r>
          </w:p>
        </w:tc>
        <w:tc>
          <w:tcPr>
            <w:tcW w:w="3814" w:type="dxa"/>
            <w:shd w:val="clear" w:color="auto" w:fill="auto"/>
          </w:tcPr>
          <w:p w14:paraId="2766EB57">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问题</w:t>
            </w:r>
          </w:p>
        </w:tc>
      </w:tr>
      <w:tr w14:paraId="288D4CA7">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3E59A8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4297" w:type="dxa"/>
            <w:shd w:val="clear" w:color="auto" w:fill="auto"/>
          </w:tcPr>
          <w:p w14:paraId="4E9D89D2">
            <w:pPr>
              <w:spacing w:line="560" w:lineRule="exact"/>
              <w:rPr>
                <w:rFonts w:ascii="仿宋_GB2312" w:hAnsi="宋体" w:eastAsia="仿宋" w:cs="仿宋_GB2312"/>
                <w:sz w:val="32"/>
                <w:lang w:bidi="ar"/>
              </w:rPr>
            </w:pPr>
            <w:r>
              <w:rPr>
                <w:rFonts w:ascii="仿宋_GB2312" w:hAnsi="宋体" w:eastAsia="仿宋" w:cs="仿宋_GB2312"/>
                <w:sz w:val="32"/>
                <w:lang w:bidi="ar"/>
              </w:rPr>
              <w:t>2018年第四批新增地方政府债券资金</w:t>
            </w:r>
          </w:p>
        </w:tc>
        <w:tc>
          <w:tcPr>
            <w:tcW w:w="3814" w:type="dxa"/>
            <w:shd w:val="clear" w:color="auto" w:fill="auto"/>
          </w:tcPr>
          <w:p w14:paraId="0E7CF3E7">
            <w:pPr>
              <w:spacing w:line="560" w:lineRule="exact"/>
              <w:rPr>
                <w:rFonts w:ascii="仿宋_GB2312" w:hAnsi="宋体" w:eastAsia="仿宋" w:cs="仿宋_GB2312"/>
                <w:sz w:val="32"/>
                <w:lang w:bidi="ar"/>
              </w:rPr>
            </w:pPr>
            <w:r>
              <w:rPr>
                <w:rFonts w:ascii="仿宋_GB2312" w:hAnsi="宋体" w:eastAsia="仿宋" w:cs="仿宋_GB2312"/>
                <w:sz w:val="32"/>
                <w:lang w:bidi="ar"/>
              </w:rPr>
              <w:t>合同在中标通知书发出之前签订、验收手续不全</w:t>
            </w:r>
          </w:p>
        </w:tc>
      </w:tr>
      <w:tr w14:paraId="3B951D6F">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35651DD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4297" w:type="dxa"/>
            <w:shd w:val="clear" w:color="auto" w:fill="auto"/>
          </w:tcPr>
          <w:p w14:paraId="13C73071">
            <w:pPr>
              <w:spacing w:line="560" w:lineRule="exact"/>
              <w:rPr>
                <w:rFonts w:ascii="仿宋_GB2312" w:hAnsi="宋体" w:eastAsia="仿宋" w:cs="仿宋_GB2312"/>
                <w:sz w:val="32"/>
                <w:lang w:bidi="ar"/>
              </w:rPr>
            </w:pPr>
            <w:r>
              <w:rPr>
                <w:rFonts w:ascii="仿宋_GB2312" w:hAnsi="宋体" w:eastAsia="仿宋" w:cs="仿宋_GB2312"/>
                <w:sz w:val="32"/>
                <w:lang w:bidi="ar"/>
              </w:rPr>
              <w:t>松岗柯盘天街景区标识标牌制作和安装项目</w:t>
            </w:r>
          </w:p>
        </w:tc>
        <w:tc>
          <w:tcPr>
            <w:tcW w:w="3814" w:type="dxa"/>
            <w:shd w:val="clear" w:color="auto" w:fill="auto"/>
          </w:tcPr>
          <w:p w14:paraId="4B63F2E3">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未制定相关制度、管理办法</w:t>
            </w:r>
          </w:p>
        </w:tc>
      </w:tr>
      <w:tr w14:paraId="6D3EF861">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6DAA115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4297" w:type="dxa"/>
            <w:shd w:val="clear" w:color="auto" w:fill="auto"/>
          </w:tcPr>
          <w:p w14:paraId="09315DB8">
            <w:pPr>
              <w:spacing w:line="560" w:lineRule="exact"/>
              <w:rPr>
                <w:rFonts w:ascii="仿宋_GB2312" w:hAnsi="宋体" w:eastAsia="仿宋" w:cs="仿宋_GB2312"/>
                <w:sz w:val="32"/>
                <w:lang w:bidi="ar"/>
              </w:rPr>
            </w:pPr>
            <w:r>
              <w:rPr>
                <w:rFonts w:ascii="仿宋_GB2312" w:hAnsi="宋体" w:eastAsia="仿宋" w:cs="仿宋_GB2312"/>
                <w:sz w:val="32"/>
                <w:lang w:bidi="ar"/>
              </w:rPr>
              <w:t>2019年中央专项彩票公益金支出贫困革命老区脱贫攻坚资金建设项目</w:t>
            </w:r>
          </w:p>
        </w:tc>
        <w:tc>
          <w:tcPr>
            <w:tcW w:w="3814" w:type="dxa"/>
            <w:shd w:val="clear" w:color="auto" w:fill="auto"/>
          </w:tcPr>
          <w:p w14:paraId="3D43DA0E">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未制定相关制度、管理办法</w:t>
            </w:r>
          </w:p>
        </w:tc>
      </w:tr>
      <w:tr w14:paraId="066FECA2">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5B12684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4297" w:type="dxa"/>
            <w:shd w:val="clear" w:color="auto" w:fill="auto"/>
          </w:tcPr>
          <w:p w14:paraId="74B917C8">
            <w:pPr>
              <w:spacing w:line="560" w:lineRule="exact"/>
              <w:rPr>
                <w:rFonts w:ascii="仿宋_GB2312" w:hAnsi="宋体" w:eastAsia="仿宋" w:cs="仿宋_GB2312"/>
                <w:sz w:val="32"/>
                <w:lang w:bidi="ar"/>
              </w:rPr>
            </w:pPr>
            <w:r>
              <w:rPr>
                <w:rFonts w:ascii="仿宋_GB2312" w:hAnsi="宋体" w:eastAsia="仿宋" w:cs="仿宋_GB2312"/>
                <w:sz w:val="32"/>
                <w:lang w:bidi="ar"/>
              </w:rPr>
              <w:t>草原防灭火项目</w:t>
            </w:r>
          </w:p>
        </w:tc>
        <w:tc>
          <w:tcPr>
            <w:tcW w:w="3814" w:type="dxa"/>
            <w:shd w:val="clear" w:color="auto" w:fill="auto"/>
          </w:tcPr>
          <w:p w14:paraId="0653C0E0">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未制定相关制度、管理办法</w:t>
            </w:r>
          </w:p>
        </w:tc>
      </w:tr>
      <w:tr w14:paraId="5F1805E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4C554E7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w:t>
            </w:r>
          </w:p>
        </w:tc>
        <w:tc>
          <w:tcPr>
            <w:tcW w:w="4297" w:type="dxa"/>
            <w:shd w:val="clear" w:color="auto" w:fill="auto"/>
          </w:tcPr>
          <w:p w14:paraId="52D8C834">
            <w:pPr>
              <w:spacing w:line="560" w:lineRule="exact"/>
              <w:rPr>
                <w:rFonts w:ascii="仿宋_GB2312" w:hAnsi="宋体" w:eastAsia="仿宋" w:cs="仿宋_GB2312"/>
                <w:sz w:val="32"/>
                <w:lang w:bidi="ar"/>
              </w:rPr>
            </w:pPr>
            <w:r>
              <w:rPr>
                <w:rFonts w:ascii="仿宋_GB2312" w:hAnsi="宋体" w:eastAsia="仿宋" w:cs="仿宋_GB2312"/>
                <w:sz w:val="32"/>
                <w:lang w:bidi="ar"/>
              </w:rPr>
              <w:t>地质灾害综合防治体系建设项目</w:t>
            </w:r>
          </w:p>
        </w:tc>
        <w:tc>
          <w:tcPr>
            <w:tcW w:w="3814" w:type="dxa"/>
            <w:shd w:val="clear" w:color="auto" w:fill="auto"/>
          </w:tcPr>
          <w:p w14:paraId="7E90B77B">
            <w:pPr>
              <w:spacing w:line="560" w:lineRule="exact"/>
              <w:rPr>
                <w:rFonts w:ascii="仿宋_GB2312" w:hAnsi="宋体" w:eastAsia="仿宋" w:cs="仿宋_GB2312"/>
                <w:sz w:val="32"/>
                <w:lang w:bidi="ar"/>
              </w:rPr>
            </w:pPr>
            <w:r>
              <w:rPr>
                <w:rFonts w:ascii="仿宋_GB2312" w:hAnsi="宋体" w:eastAsia="仿宋" w:cs="仿宋_GB2312"/>
                <w:sz w:val="32"/>
                <w:lang w:bidi="ar"/>
              </w:rPr>
              <w:t>合同签订不规范</w:t>
            </w:r>
          </w:p>
        </w:tc>
      </w:tr>
      <w:tr w14:paraId="7869919D">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67D5E48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6</w:t>
            </w:r>
          </w:p>
        </w:tc>
        <w:tc>
          <w:tcPr>
            <w:tcW w:w="4297" w:type="dxa"/>
            <w:shd w:val="clear" w:color="auto" w:fill="auto"/>
          </w:tcPr>
          <w:p w14:paraId="237ECC13">
            <w:pPr>
              <w:spacing w:line="560" w:lineRule="exact"/>
              <w:rPr>
                <w:rFonts w:ascii="仿宋_GB2312" w:hAnsi="宋体" w:eastAsia="仿宋" w:cs="仿宋_GB2312"/>
                <w:sz w:val="32"/>
                <w:lang w:bidi="ar"/>
              </w:rPr>
            </w:pPr>
            <w:r>
              <w:rPr>
                <w:rFonts w:ascii="仿宋_GB2312" w:hAnsi="宋体" w:eastAsia="仿宋" w:cs="仿宋_GB2312"/>
                <w:sz w:val="32"/>
                <w:lang w:bidi="ar"/>
              </w:rPr>
              <w:t>2019年革命老区转移支付项目</w:t>
            </w:r>
          </w:p>
        </w:tc>
        <w:tc>
          <w:tcPr>
            <w:tcW w:w="3814" w:type="dxa"/>
            <w:shd w:val="clear" w:color="auto" w:fill="auto"/>
          </w:tcPr>
          <w:p w14:paraId="2186BB50">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未制定相关制度、管理办法</w:t>
            </w:r>
          </w:p>
        </w:tc>
      </w:tr>
      <w:tr w14:paraId="4F36FAD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5CF50D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w:t>
            </w:r>
          </w:p>
        </w:tc>
        <w:tc>
          <w:tcPr>
            <w:tcW w:w="4297" w:type="dxa"/>
            <w:shd w:val="clear" w:color="auto" w:fill="auto"/>
          </w:tcPr>
          <w:p w14:paraId="082661FF">
            <w:pPr>
              <w:tabs>
                <w:tab w:val="left" w:pos="2989"/>
              </w:tabs>
              <w:spacing w:line="560" w:lineRule="exact"/>
              <w:rPr>
                <w:rFonts w:ascii="仿宋_GB2312" w:hAnsi="宋体" w:eastAsia="仿宋" w:cs="仿宋_GB2312"/>
                <w:sz w:val="32"/>
                <w:lang w:bidi="ar"/>
              </w:rPr>
            </w:pPr>
            <w:r>
              <w:rPr>
                <w:rFonts w:ascii="仿宋_GB2312" w:hAnsi="宋体" w:eastAsia="仿宋" w:cs="仿宋_GB2312"/>
                <w:sz w:val="32"/>
                <w:lang w:bidi="ar"/>
              </w:rPr>
              <w:t>党坝乡地拉秋村跨河大桥建设项目</w:t>
            </w:r>
          </w:p>
        </w:tc>
        <w:tc>
          <w:tcPr>
            <w:tcW w:w="3814" w:type="dxa"/>
            <w:shd w:val="clear" w:color="auto" w:fill="auto"/>
          </w:tcPr>
          <w:p w14:paraId="246568D4">
            <w:pPr>
              <w:tabs>
                <w:tab w:val="left" w:pos="2989"/>
              </w:tabs>
              <w:spacing w:line="560" w:lineRule="exact"/>
              <w:rPr>
                <w:rFonts w:ascii="仿宋_GB2312" w:hAnsi="宋体" w:eastAsia="仿宋" w:cs="仿宋_GB2312"/>
                <w:sz w:val="32"/>
                <w:lang w:bidi="ar"/>
              </w:rPr>
            </w:pPr>
            <w:r>
              <w:rPr>
                <w:rFonts w:ascii="仿宋_GB2312" w:hAnsi="宋体" w:eastAsia="仿宋" w:cs="仿宋_GB2312"/>
                <w:sz w:val="32"/>
                <w:lang w:bidi="ar"/>
              </w:rPr>
              <w:t>未制定相关制度、管理办法</w:t>
            </w:r>
          </w:p>
        </w:tc>
      </w:tr>
      <w:tr w14:paraId="67A078D7">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205B236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w:t>
            </w:r>
          </w:p>
        </w:tc>
        <w:tc>
          <w:tcPr>
            <w:tcW w:w="4297" w:type="dxa"/>
            <w:shd w:val="clear" w:color="auto" w:fill="auto"/>
          </w:tcPr>
          <w:p w14:paraId="3AF38F0C">
            <w:pPr>
              <w:spacing w:line="560" w:lineRule="exact"/>
              <w:rPr>
                <w:rFonts w:ascii="仿宋_GB2312" w:hAnsi="宋体" w:eastAsia="仿宋" w:cs="仿宋_GB2312"/>
                <w:sz w:val="32"/>
                <w:lang w:bidi="ar"/>
              </w:rPr>
            </w:pPr>
            <w:r>
              <w:rPr>
                <w:rFonts w:ascii="仿宋_GB2312" w:hAnsi="宋体" w:eastAsia="仿宋" w:cs="仿宋_GB2312"/>
                <w:sz w:val="32"/>
                <w:lang w:bidi="ar"/>
              </w:rPr>
              <w:t>2018-2019年粮食低温储备库建设项目</w:t>
            </w:r>
          </w:p>
        </w:tc>
        <w:tc>
          <w:tcPr>
            <w:tcW w:w="3814" w:type="dxa"/>
            <w:shd w:val="clear" w:color="auto" w:fill="auto"/>
          </w:tcPr>
          <w:p w14:paraId="3EE7B1FD">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未制定相关制度、管理办法</w:t>
            </w:r>
          </w:p>
        </w:tc>
      </w:tr>
      <w:tr w14:paraId="6572BC02">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192FE9DC">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w:t>
            </w:r>
          </w:p>
        </w:tc>
        <w:tc>
          <w:tcPr>
            <w:tcW w:w="4297" w:type="dxa"/>
            <w:shd w:val="clear" w:color="auto" w:fill="auto"/>
          </w:tcPr>
          <w:p w14:paraId="7238A14E">
            <w:pPr>
              <w:spacing w:line="560" w:lineRule="exact"/>
              <w:rPr>
                <w:rFonts w:ascii="仿宋_GB2312" w:hAnsi="宋体" w:eastAsia="仿宋" w:cs="仿宋_GB2312"/>
                <w:sz w:val="32"/>
                <w:lang w:bidi="ar"/>
              </w:rPr>
            </w:pPr>
            <w:r>
              <w:rPr>
                <w:rFonts w:ascii="仿宋_GB2312" w:hAnsi="宋体" w:eastAsia="仿宋" w:cs="仿宋_GB2312"/>
                <w:sz w:val="32"/>
                <w:lang w:bidi="ar"/>
              </w:rPr>
              <w:t>马尔康市城市设计项目</w:t>
            </w:r>
          </w:p>
        </w:tc>
        <w:tc>
          <w:tcPr>
            <w:tcW w:w="3814" w:type="dxa"/>
            <w:shd w:val="clear" w:color="auto" w:fill="auto"/>
          </w:tcPr>
          <w:p w14:paraId="1D10177B">
            <w:pPr>
              <w:spacing w:line="560" w:lineRule="exact"/>
              <w:rPr>
                <w:rFonts w:ascii="仿宋_GB2312" w:hAnsi="宋体" w:eastAsia="仿宋" w:cs="仿宋_GB2312"/>
                <w:sz w:val="32"/>
                <w:lang w:bidi="ar"/>
              </w:rPr>
            </w:pPr>
            <w:r>
              <w:rPr>
                <w:rFonts w:ascii="仿宋_GB2312" w:hAnsi="宋体" w:eastAsia="仿宋" w:cs="仿宋_GB2312"/>
                <w:sz w:val="32"/>
                <w:lang w:bidi="ar"/>
              </w:rPr>
              <w:t>未在规定时间内签订合同</w:t>
            </w:r>
          </w:p>
        </w:tc>
      </w:tr>
      <w:tr w14:paraId="01A73A43">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3487DB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w:t>
            </w:r>
          </w:p>
        </w:tc>
        <w:tc>
          <w:tcPr>
            <w:tcW w:w="4297" w:type="dxa"/>
            <w:shd w:val="clear" w:color="auto" w:fill="auto"/>
          </w:tcPr>
          <w:p w14:paraId="2534AC1D">
            <w:pPr>
              <w:spacing w:line="560" w:lineRule="exact"/>
              <w:rPr>
                <w:rFonts w:ascii="仿宋_GB2312" w:hAnsi="宋体" w:eastAsia="仿宋" w:cs="仿宋_GB2312"/>
                <w:sz w:val="32"/>
                <w:lang w:bidi="ar"/>
              </w:rPr>
            </w:pPr>
            <w:r>
              <w:rPr>
                <w:rFonts w:ascii="仿宋_GB2312" w:hAnsi="宋体" w:eastAsia="仿宋" w:cs="仿宋_GB2312"/>
                <w:sz w:val="32"/>
                <w:lang w:bidi="ar"/>
              </w:rPr>
              <w:t>马尔康市第四小学会议室办公设备及学生生活设备项目</w:t>
            </w:r>
          </w:p>
        </w:tc>
        <w:tc>
          <w:tcPr>
            <w:tcW w:w="3814" w:type="dxa"/>
            <w:shd w:val="clear" w:color="auto" w:fill="auto"/>
          </w:tcPr>
          <w:p w14:paraId="0BEE1AC7">
            <w:pPr>
              <w:spacing w:line="560" w:lineRule="exact"/>
              <w:rPr>
                <w:rFonts w:ascii="仿宋_GB2312" w:hAnsi="宋体" w:eastAsia="仿宋" w:cs="仿宋_GB2312"/>
                <w:sz w:val="32"/>
                <w:lang w:bidi="ar"/>
              </w:rPr>
            </w:pPr>
            <w:r>
              <w:rPr>
                <w:rFonts w:ascii="仿宋_GB2312" w:hAnsi="宋体" w:eastAsia="仿宋" w:cs="仿宋_GB2312"/>
                <w:sz w:val="32"/>
                <w:lang w:bidi="ar"/>
              </w:rPr>
              <w:t>未按询价文件约定时间签订合同及完成验收</w:t>
            </w:r>
          </w:p>
        </w:tc>
      </w:tr>
      <w:tr w14:paraId="573BABB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568B93A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11</w:t>
            </w:r>
          </w:p>
        </w:tc>
        <w:tc>
          <w:tcPr>
            <w:tcW w:w="4297" w:type="dxa"/>
            <w:shd w:val="clear" w:color="auto" w:fill="auto"/>
          </w:tcPr>
          <w:p w14:paraId="7A7375C1">
            <w:pPr>
              <w:spacing w:line="560" w:lineRule="exact"/>
              <w:rPr>
                <w:rFonts w:ascii="仿宋_GB2312" w:hAnsi="宋体" w:eastAsia="仿宋" w:cs="仿宋_GB2312"/>
                <w:sz w:val="32"/>
                <w:lang w:bidi="ar"/>
              </w:rPr>
            </w:pPr>
            <w:r>
              <w:rPr>
                <w:rFonts w:ascii="仿宋_GB2312" w:hAnsi="宋体" w:eastAsia="仿宋" w:cs="仿宋_GB2312"/>
                <w:sz w:val="32"/>
                <w:lang w:bidi="ar"/>
              </w:rPr>
              <w:t>农牧林产品加工物流园区产业扶持项目</w:t>
            </w:r>
          </w:p>
        </w:tc>
        <w:tc>
          <w:tcPr>
            <w:tcW w:w="3814" w:type="dxa"/>
            <w:shd w:val="clear" w:color="auto" w:fill="auto"/>
          </w:tcPr>
          <w:p w14:paraId="0869F71D">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未制定相关制度、管理办法</w:t>
            </w:r>
          </w:p>
        </w:tc>
      </w:tr>
      <w:tr w14:paraId="1A9F1D7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5276E25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12</w:t>
            </w:r>
          </w:p>
        </w:tc>
        <w:tc>
          <w:tcPr>
            <w:tcW w:w="4297" w:type="dxa"/>
            <w:shd w:val="clear" w:color="auto" w:fill="auto"/>
          </w:tcPr>
          <w:p w14:paraId="2CFED5C6">
            <w:pPr>
              <w:spacing w:line="560" w:lineRule="exact"/>
              <w:rPr>
                <w:rFonts w:ascii="仿宋_GB2312" w:hAnsi="宋体" w:eastAsia="仿宋" w:cs="仿宋_GB2312"/>
                <w:sz w:val="32"/>
                <w:lang w:bidi="ar"/>
              </w:rPr>
            </w:pPr>
            <w:r>
              <w:rPr>
                <w:rFonts w:ascii="仿宋_GB2312" w:hAnsi="宋体" w:eastAsia="仿宋" w:cs="仿宋_GB2312"/>
                <w:sz w:val="32"/>
                <w:lang w:bidi="ar"/>
              </w:rPr>
              <w:t>马尔康市第四小学会议室办公设备及学生生活设备项目</w:t>
            </w:r>
          </w:p>
        </w:tc>
        <w:tc>
          <w:tcPr>
            <w:tcW w:w="3814" w:type="dxa"/>
            <w:shd w:val="clear" w:color="auto" w:fill="auto"/>
          </w:tcPr>
          <w:p w14:paraId="10B74171">
            <w:pPr>
              <w:spacing w:line="560" w:lineRule="exact"/>
              <w:rPr>
                <w:rFonts w:ascii="仿宋_GB2312" w:hAnsi="宋体" w:eastAsia="仿宋" w:cs="仿宋_GB2312"/>
                <w:sz w:val="32"/>
                <w:lang w:bidi="ar"/>
              </w:rPr>
            </w:pPr>
            <w:r>
              <w:rPr>
                <w:rFonts w:ascii="仿宋_GB2312" w:hAnsi="宋体" w:eastAsia="仿宋" w:cs="仿宋_GB2312"/>
                <w:sz w:val="32"/>
                <w:lang w:bidi="ar"/>
              </w:rPr>
              <w:t>未按立项文件批复建设工期实施项目</w:t>
            </w:r>
          </w:p>
        </w:tc>
      </w:tr>
      <w:tr w14:paraId="1444E59F">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292E3CC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13</w:t>
            </w:r>
          </w:p>
        </w:tc>
        <w:tc>
          <w:tcPr>
            <w:tcW w:w="4297" w:type="dxa"/>
            <w:shd w:val="clear" w:color="auto" w:fill="auto"/>
          </w:tcPr>
          <w:p w14:paraId="7981299E">
            <w:pPr>
              <w:spacing w:line="560" w:lineRule="exact"/>
              <w:rPr>
                <w:rFonts w:ascii="仿宋_GB2312" w:hAnsi="宋体" w:eastAsia="仿宋" w:cs="仿宋_GB2312"/>
                <w:sz w:val="32"/>
                <w:lang w:bidi="ar"/>
              </w:rPr>
            </w:pPr>
            <w:r>
              <w:rPr>
                <w:rFonts w:ascii="仿宋_GB2312" w:hAnsi="宋体" w:eastAsia="仿宋" w:cs="仿宋_GB2312"/>
                <w:sz w:val="32"/>
                <w:lang w:bidi="ar"/>
              </w:rPr>
              <w:t>中共马尔康市委宣传部马尔康市融媒体中心建设项目</w:t>
            </w:r>
          </w:p>
        </w:tc>
        <w:tc>
          <w:tcPr>
            <w:tcW w:w="3814" w:type="dxa"/>
            <w:shd w:val="clear" w:color="auto" w:fill="auto"/>
          </w:tcPr>
          <w:p w14:paraId="22C342D2">
            <w:pPr>
              <w:spacing w:line="560" w:lineRule="exact"/>
              <w:rPr>
                <w:rFonts w:ascii="仿宋_GB2312" w:hAnsi="宋体" w:eastAsia="仿宋" w:cs="仿宋_GB2312"/>
                <w:sz w:val="32"/>
                <w:lang w:bidi="ar"/>
              </w:rPr>
            </w:pPr>
            <w:r>
              <w:rPr>
                <w:rFonts w:ascii="仿宋_GB2312" w:hAnsi="宋体" w:eastAsia="仿宋" w:cs="仿宋_GB2312"/>
                <w:sz w:val="32"/>
                <w:lang w:bidi="ar"/>
              </w:rPr>
              <w:t>合同签订不规范、合同内容前后矛盾</w:t>
            </w:r>
          </w:p>
        </w:tc>
      </w:tr>
      <w:tr w14:paraId="04D709EC">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2C96DF3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14</w:t>
            </w:r>
          </w:p>
        </w:tc>
        <w:tc>
          <w:tcPr>
            <w:tcW w:w="4297" w:type="dxa"/>
            <w:shd w:val="clear" w:color="auto" w:fill="auto"/>
          </w:tcPr>
          <w:p w14:paraId="58759FB5">
            <w:pPr>
              <w:spacing w:line="560" w:lineRule="exact"/>
              <w:rPr>
                <w:rFonts w:ascii="仿宋_GB2312" w:hAnsi="宋体" w:eastAsia="仿宋" w:cs="仿宋_GB2312"/>
                <w:sz w:val="32"/>
                <w:lang w:bidi="ar"/>
              </w:rPr>
            </w:pPr>
            <w:r>
              <w:rPr>
                <w:rFonts w:ascii="仿宋_GB2312" w:hAnsi="宋体" w:eastAsia="仿宋" w:cs="仿宋_GB2312"/>
                <w:sz w:val="32"/>
                <w:lang w:bidi="ar"/>
              </w:rPr>
              <w:t>松岗村旅游综合服务设施项目</w:t>
            </w:r>
          </w:p>
        </w:tc>
        <w:tc>
          <w:tcPr>
            <w:tcW w:w="3814" w:type="dxa"/>
            <w:shd w:val="clear" w:color="auto" w:fill="auto"/>
          </w:tcPr>
          <w:p w14:paraId="704BA002">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未制定相关制度、管理办法</w:t>
            </w:r>
          </w:p>
        </w:tc>
      </w:tr>
      <w:tr w14:paraId="5CD851E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69404FB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15</w:t>
            </w:r>
          </w:p>
        </w:tc>
        <w:tc>
          <w:tcPr>
            <w:tcW w:w="4297" w:type="dxa"/>
            <w:shd w:val="clear" w:color="auto" w:fill="auto"/>
          </w:tcPr>
          <w:p w14:paraId="7AE8899B">
            <w:pPr>
              <w:spacing w:line="560" w:lineRule="exact"/>
              <w:rPr>
                <w:rFonts w:ascii="仿宋_GB2312" w:hAnsi="宋体" w:eastAsia="仿宋" w:cs="仿宋_GB2312"/>
                <w:sz w:val="32"/>
                <w:lang w:bidi="ar"/>
              </w:rPr>
            </w:pPr>
            <w:r>
              <w:rPr>
                <w:rFonts w:ascii="仿宋_GB2312" w:hAnsi="宋体" w:eastAsia="仿宋" w:cs="仿宋_GB2312"/>
                <w:sz w:val="32"/>
                <w:lang w:bidi="ar"/>
              </w:rPr>
              <w:t>2019年农村教师周转宿舍建设省级补助资金项目</w:t>
            </w:r>
          </w:p>
        </w:tc>
        <w:tc>
          <w:tcPr>
            <w:tcW w:w="3814" w:type="dxa"/>
            <w:shd w:val="clear" w:color="auto" w:fill="auto"/>
          </w:tcPr>
          <w:p w14:paraId="5AB24ADD">
            <w:pPr>
              <w:spacing w:line="560" w:lineRule="exact"/>
              <w:rPr>
                <w:rFonts w:ascii="仿宋_GB2312" w:hAnsi="宋体" w:eastAsia="仿宋" w:cs="仿宋_GB2312"/>
                <w:sz w:val="32"/>
                <w:lang w:bidi="ar"/>
              </w:rPr>
            </w:pPr>
            <w:r>
              <w:rPr>
                <w:rFonts w:ascii="仿宋_GB2312" w:hAnsi="宋体" w:eastAsia="仿宋" w:cs="仿宋_GB2312"/>
                <w:sz w:val="32"/>
                <w:lang w:bidi="ar"/>
              </w:rPr>
              <w:t>未按立项文件要求公开招标、合同开始设计日期早于中标通知书时间</w:t>
            </w:r>
          </w:p>
        </w:tc>
      </w:tr>
      <w:tr w14:paraId="682368E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320B2E0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16</w:t>
            </w:r>
          </w:p>
        </w:tc>
        <w:tc>
          <w:tcPr>
            <w:tcW w:w="4297" w:type="dxa"/>
            <w:shd w:val="clear" w:color="auto" w:fill="auto"/>
          </w:tcPr>
          <w:p w14:paraId="63668282">
            <w:pPr>
              <w:spacing w:line="560" w:lineRule="exact"/>
              <w:rPr>
                <w:rFonts w:ascii="仿宋_GB2312" w:hAnsi="宋体" w:eastAsia="仿宋" w:cs="仿宋_GB2312"/>
                <w:sz w:val="32"/>
                <w:lang w:bidi="ar"/>
              </w:rPr>
            </w:pPr>
            <w:r>
              <w:rPr>
                <w:rFonts w:ascii="仿宋_GB2312" w:hAnsi="宋体" w:eastAsia="仿宋" w:cs="仿宋_GB2312"/>
                <w:sz w:val="32"/>
                <w:lang w:bidi="ar"/>
              </w:rPr>
              <w:t>夜景照明工程项目</w:t>
            </w:r>
          </w:p>
        </w:tc>
        <w:tc>
          <w:tcPr>
            <w:tcW w:w="3814" w:type="dxa"/>
            <w:shd w:val="clear" w:color="auto" w:fill="auto"/>
          </w:tcPr>
          <w:p w14:paraId="482CEA86">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未制定相关制度、管理办法</w:t>
            </w:r>
          </w:p>
        </w:tc>
      </w:tr>
    </w:tbl>
    <w:p w14:paraId="4492B440">
      <w:pPr>
        <w:pStyle w:val="40"/>
        <w:spacing w:before="156" w:after="156" w:line="560" w:lineRule="exact"/>
        <w:ind w:firstLine="640"/>
        <w:rPr>
          <w:rFonts w:hint="eastAsia" w:ascii="仿宋_GB2312" w:hAnsi="仿宋_GB2312" w:eastAsia="仿宋" w:cs="仿宋_GB2312"/>
          <w:b w:val="0"/>
          <w:color w:val="auto"/>
          <w:sz w:val="32"/>
          <w:szCs w:val="28"/>
        </w:rPr>
      </w:pPr>
      <w:bookmarkStart w:id="32" w:name="_Toc26631"/>
      <w:r>
        <w:rPr>
          <w:rFonts w:hint="eastAsia" w:ascii="仿宋_GB2312" w:hAnsi="仿宋_GB2312" w:eastAsia="仿宋" w:cs="仿宋_GB2312"/>
          <w:b w:val="0"/>
          <w:color w:val="auto"/>
          <w:sz w:val="32"/>
          <w:szCs w:val="28"/>
        </w:rPr>
        <w:t>——产出及效果分析</w:t>
      </w:r>
      <w:bookmarkEnd w:id="30"/>
      <w:bookmarkEnd w:id="32"/>
    </w:p>
    <w:p w14:paraId="2E64F01E">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该指标</w:t>
      </w:r>
      <w:r>
        <w:rPr>
          <w:rFonts w:ascii="仿宋_GB2312" w:hAnsi="宋体" w:eastAsia="仿宋" w:cs="仿宋_GB2312"/>
          <w:sz w:val="32"/>
          <w:szCs w:val="28"/>
          <w:lang w:bidi="ar"/>
        </w:rPr>
        <w:t>权重为</w:t>
      </w:r>
      <w:r>
        <w:rPr>
          <w:rFonts w:hint="eastAsia" w:ascii="仿宋_GB2312" w:hAnsi="宋体" w:eastAsia="仿宋" w:cs="仿宋_GB2312"/>
          <w:sz w:val="32"/>
          <w:szCs w:val="28"/>
          <w:lang w:bidi="ar"/>
        </w:rPr>
        <w:t>70.00</w:t>
      </w:r>
      <w:r>
        <w:rPr>
          <w:rFonts w:ascii="仿宋_GB2312" w:hAnsi="宋体" w:eastAsia="仿宋" w:cs="仿宋_GB2312"/>
          <w:sz w:val="32"/>
          <w:szCs w:val="28"/>
          <w:lang w:bidi="ar"/>
        </w:rPr>
        <w:t>分</w:t>
      </w:r>
      <w:r>
        <w:rPr>
          <w:rFonts w:hint="eastAsia" w:ascii="仿宋_GB2312" w:hAnsi="宋体" w:eastAsia="仿宋" w:cs="仿宋_GB2312"/>
          <w:sz w:val="32"/>
          <w:szCs w:val="28"/>
          <w:lang w:bidi="ar"/>
        </w:rPr>
        <w:t>，实得</w:t>
      </w:r>
      <w:r>
        <w:rPr>
          <w:rFonts w:ascii="仿宋_GB2312" w:hAnsi="宋体" w:eastAsia="仿宋" w:cs="仿宋_GB2312"/>
          <w:sz w:val="32"/>
          <w:szCs w:val="28"/>
          <w:lang w:bidi="ar"/>
        </w:rPr>
        <w:t>57.48</w:t>
      </w:r>
      <w:r>
        <w:rPr>
          <w:rFonts w:hint="eastAsia" w:ascii="仿宋_GB2312" w:hAnsi="宋体" w:eastAsia="仿宋" w:cs="仿宋_GB2312"/>
          <w:sz w:val="32"/>
          <w:szCs w:val="28"/>
          <w:lang w:bidi="ar"/>
        </w:rPr>
        <w:t>分</w:t>
      </w:r>
      <w:r>
        <w:rPr>
          <w:rFonts w:ascii="仿宋_GB2312" w:hAnsi="宋体" w:eastAsia="仿宋" w:cs="仿宋_GB2312"/>
          <w:sz w:val="32"/>
          <w:szCs w:val="28"/>
          <w:lang w:bidi="ar"/>
        </w:rPr>
        <w:t>，用于考察项目</w:t>
      </w:r>
      <w:r>
        <w:rPr>
          <w:rFonts w:hint="eastAsia" w:ascii="仿宋_GB2312" w:hAnsi="宋体" w:eastAsia="仿宋" w:cs="仿宋_GB2312"/>
          <w:sz w:val="32"/>
          <w:szCs w:val="28"/>
          <w:lang w:bidi="ar"/>
        </w:rPr>
        <w:t>完成情况、效益产出情况、受益对象满意度。</w:t>
      </w:r>
    </w:p>
    <w:p w14:paraId="7CE8B964">
      <w:pPr>
        <w:spacing w:line="560" w:lineRule="exact"/>
        <w:ind w:firstLine="560"/>
        <w:rPr>
          <w:rFonts w:ascii="仿宋_GB2312" w:hAnsi="宋体" w:eastAsia="仿宋" w:cs="仿宋_GB2312"/>
          <w:sz w:val="32"/>
          <w:szCs w:val="28"/>
          <w:lang w:bidi="ar"/>
        </w:rPr>
      </w:pPr>
      <w:r>
        <w:rPr>
          <w:rFonts w:ascii="仿宋_GB2312" w:hAnsi="宋体" w:eastAsia="仿宋" w:cs="仿宋_GB2312"/>
          <w:sz w:val="32"/>
          <w:szCs w:val="28"/>
          <w:lang w:bidi="ar"/>
        </w:rPr>
        <w:t>具体评价指标和得分情况如下：</w:t>
      </w:r>
    </w:p>
    <w:p w14:paraId="22215891">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表9项目效果类指标得分情况汇总表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4CAE5BE5">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2DC45387">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2EF8E888">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204A3234">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6C8A1467">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07D0A6D9">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vAlign w:val="center"/>
          </w:tcPr>
          <w:p w14:paraId="0DC1414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项目效果</w:t>
            </w:r>
          </w:p>
        </w:tc>
        <w:tc>
          <w:tcPr>
            <w:tcW w:w="1379" w:type="pct"/>
            <w:vAlign w:val="center"/>
          </w:tcPr>
          <w:p w14:paraId="2EF91DF0">
            <w:pPr>
              <w:spacing w:line="560" w:lineRule="exact"/>
              <w:jc w:val="center"/>
              <w:rPr>
                <w:rFonts w:ascii="仿宋_GB2312" w:hAnsi="Arial Narrow" w:eastAsia="仿宋"/>
                <w:bCs/>
                <w:sz w:val="32"/>
              </w:rPr>
            </w:pPr>
            <w:r>
              <w:rPr>
                <w:rFonts w:ascii="仿宋_GB2312" w:hAnsi="宋体" w:eastAsia="仿宋" w:cs="仿宋_GB2312"/>
                <w:sz w:val="32"/>
                <w:lang w:bidi="ar"/>
              </w:rPr>
              <w:t>70.00</w:t>
            </w:r>
          </w:p>
        </w:tc>
        <w:tc>
          <w:tcPr>
            <w:tcW w:w="1346" w:type="pct"/>
            <w:vAlign w:val="center"/>
          </w:tcPr>
          <w:p w14:paraId="0038C39E">
            <w:pPr>
              <w:spacing w:line="560" w:lineRule="exact"/>
              <w:jc w:val="center"/>
              <w:rPr>
                <w:rFonts w:ascii="仿宋_GB2312" w:hAnsi="Arial Narrow" w:eastAsia="仿宋"/>
                <w:bCs/>
                <w:sz w:val="32"/>
              </w:rPr>
            </w:pPr>
            <w:r>
              <w:rPr>
                <w:rFonts w:ascii="仿宋_GB2312" w:hAnsi="宋体" w:eastAsia="仿宋" w:cs="仿宋_GB2312"/>
                <w:sz w:val="32"/>
                <w:lang w:bidi="ar"/>
              </w:rPr>
              <w:t>57.48</w:t>
            </w:r>
          </w:p>
        </w:tc>
        <w:tc>
          <w:tcPr>
            <w:tcW w:w="1370" w:type="pct"/>
            <w:vAlign w:val="center"/>
          </w:tcPr>
          <w:p w14:paraId="7BB14152">
            <w:pPr>
              <w:spacing w:line="560" w:lineRule="exact"/>
              <w:jc w:val="center"/>
              <w:rPr>
                <w:rFonts w:ascii="仿宋_GB2312" w:hAnsi="Arial Narrow" w:eastAsia="仿宋"/>
                <w:bCs/>
                <w:sz w:val="32"/>
              </w:rPr>
            </w:pPr>
            <w:r>
              <w:rPr>
                <w:rFonts w:ascii="仿宋_GB2312" w:hAnsi="宋体" w:eastAsia="仿宋" w:cs="仿宋_GB2312"/>
                <w:sz w:val="32"/>
                <w:lang w:bidi="ar"/>
              </w:rPr>
              <w:t>82.11%</w:t>
            </w:r>
          </w:p>
        </w:tc>
      </w:tr>
    </w:tbl>
    <w:p w14:paraId="47BCD51C">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项目完成方面：</w:t>
      </w:r>
    </w:p>
    <w:p w14:paraId="1FEEC9B2">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共</w:t>
      </w:r>
      <w:r>
        <w:rPr>
          <w:rFonts w:ascii="仿宋_GB2312" w:hAnsi="宋体" w:eastAsia="仿宋" w:cs="仿宋_GB2312"/>
          <w:sz w:val="32"/>
          <w:szCs w:val="28"/>
          <w:lang w:bidi="ar"/>
        </w:rPr>
        <w:t>11</w:t>
      </w:r>
      <w:r>
        <w:rPr>
          <w:rFonts w:hint="eastAsia" w:ascii="仿宋_GB2312" w:hAnsi="宋体" w:eastAsia="仿宋" w:cs="仿宋_GB2312"/>
          <w:sz w:val="32"/>
          <w:szCs w:val="28"/>
          <w:lang w:bidi="ar"/>
        </w:rPr>
        <w:t>个考核项目实际完成任务量达到绩效目标设定任务量，1</w:t>
      </w:r>
      <w:r>
        <w:rPr>
          <w:rFonts w:ascii="仿宋_GB2312" w:hAnsi="宋体" w:eastAsia="仿宋" w:cs="仿宋_GB2312"/>
          <w:sz w:val="32"/>
          <w:szCs w:val="28"/>
          <w:lang w:bidi="ar"/>
        </w:rPr>
        <w:t>2</w:t>
      </w:r>
      <w:r>
        <w:rPr>
          <w:rFonts w:hint="eastAsia" w:ascii="仿宋_GB2312" w:hAnsi="宋体" w:eastAsia="仿宋" w:cs="仿宋_GB2312"/>
          <w:sz w:val="32"/>
          <w:szCs w:val="28"/>
          <w:lang w:bidi="ar"/>
        </w:rPr>
        <w:t>个考核项目实际完成任务量未达到绩效目标设定任务量，详见下表：</w:t>
      </w:r>
    </w:p>
    <w:p w14:paraId="0A2171CB">
      <w:pPr>
        <w:spacing w:line="560" w:lineRule="exact"/>
        <w:ind w:firstLine="482"/>
        <w:jc w:val="center"/>
        <w:rPr>
          <w:rFonts w:hint="eastAsia" w:ascii="仿宋_GB2312" w:hAnsi="宋体" w:eastAsia="仿宋" w:cs="仿宋_GB2312"/>
          <w:sz w:val="32"/>
          <w:szCs w:val="28"/>
          <w:lang w:bidi="ar"/>
        </w:rPr>
      </w:pPr>
      <w:r>
        <w:rPr>
          <w:rFonts w:hint="eastAsia" w:ascii="仿宋_GB2312" w:hAnsi="宋体" w:eastAsia="仿宋" w:cs="仿宋_GB2312"/>
          <w:bCs/>
          <w:sz w:val="32"/>
          <w:lang w:bidi="ar"/>
        </w:rPr>
        <w:t>项目完成数量情况表</w:t>
      </w:r>
    </w:p>
    <w:tbl>
      <w:tblPr>
        <w:tblStyle w:val="15"/>
        <w:tblW w:w="0" w:type="auto"/>
        <w:tblInd w:w="0" w:type="dxa"/>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891"/>
        <w:gridCol w:w="4297"/>
        <w:gridCol w:w="3814"/>
      </w:tblGrid>
      <w:tr w14:paraId="1B612D11">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blHeader/>
        </w:trPr>
        <w:tc>
          <w:tcPr>
            <w:tcW w:w="891" w:type="dxa"/>
            <w:shd w:val="clear" w:color="auto" w:fill="auto"/>
          </w:tcPr>
          <w:p w14:paraId="1A4DCBCA">
            <w:pPr>
              <w:spacing w:line="560" w:lineRule="exact"/>
              <w:jc w:val="center"/>
              <w:rPr>
                <w:rFonts w:ascii="仿宋_GB2312" w:hAnsi="宋体" w:eastAsia="仿宋" w:cs="仿宋_GB2312"/>
                <w:bCs/>
                <w:sz w:val="32"/>
                <w:lang w:bidi="ar"/>
              </w:rPr>
            </w:pPr>
            <w:bookmarkStart w:id="33" w:name="_Hlk57716411"/>
            <w:r>
              <w:rPr>
                <w:rFonts w:ascii="仿宋_GB2312" w:hAnsi="宋体" w:eastAsia="仿宋" w:cs="仿宋_GB2312"/>
                <w:bCs/>
                <w:sz w:val="32"/>
                <w:lang w:bidi="ar"/>
              </w:rPr>
              <w:t>序号</w:t>
            </w:r>
          </w:p>
        </w:tc>
        <w:tc>
          <w:tcPr>
            <w:tcW w:w="4297" w:type="dxa"/>
            <w:shd w:val="clear" w:color="auto" w:fill="auto"/>
          </w:tcPr>
          <w:p w14:paraId="0776667B">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项目名称</w:t>
            </w:r>
          </w:p>
        </w:tc>
        <w:tc>
          <w:tcPr>
            <w:tcW w:w="3814" w:type="dxa"/>
            <w:shd w:val="clear" w:color="auto" w:fill="auto"/>
          </w:tcPr>
          <w:p w14:paraId="37444AAE">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问题</w:t>
            </w:r>
          </w:p>
        </w:tc>
      </w:tr>
      <w:tr w14:paraId="167AA6F7">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45E3CADB">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4297" w:type="dxa"/>
            <w:shd w:val="clear" w:color="auto" w:fill="auto"/>
          </w:tcPr>
          <w:p w14:paraId="7DA71914">
            <w:pPr>
              <w:spacing w:line="560" w:lineRule="exact"/>
              <w:rPr>
                <w:rFonts w:ascii="仿宋_GB2312" w:hAnsi="宋体" w:eastAsia="仿宋" w:cs="仿宋_GB2312"/>
                <w:sz w:val="32"/>
                <w:lang w:bidi="ar"/>
              </w:rPr>
            </w:pPr>
            <w:r>
              <w:rPr>
                <w:rFonts w:ascii="仿宋_GB2312" w:hAnsi="宋体" w:eastAsia="仿宋" w:cs="仿宋_GB2312"/>
                <w:sz w:val="32"/>
                <w:lang w:bidi="ar"/>
              </w:rPr>
              <w:t>松岗柯盘天街景区标识标牌制作和安装项目</w:t>
            </w:r>
          </w:p>
        </w:tc>
        <w:tc>
          <w:tcPr>
            <w:tcW w:w="3814" w:type="dxa"/>
            <w:shd w:val="clear" w:color="auto" w:fill="auto"/>
          </w:tcPr>
          <w:p w14:paraId="3AFEF621">
            <w:pPr>
              <w:spacing w:line="560" w:lineRule="exact"/>
              <w:rPr>
                <w:rFonts w:ascii="仿宋_GB2312" w:hAnsi="宋体" w:eastAsia="仿宋" w:cs="仿宋_GB2312"/>
                <w:sz w:val="32"/>
                <w:lang w:bidi="ar"/>
              </w:rPr>
            </w:pPr>
            <w:r>
              <w:rPr>
                <w:rFonts w:ascii="仿宋_GB2312" w:hAnsi="宋体" w:eastAsia="仿宋" w:cs="仿宋_GB2312"/>
                <w:sz w:val="32"/>
                <w:lang w:bidi="ar"/>
              </w:rPr>
              <w:t>项目主要建设内容为景区基础设施（标识标牌设计制作及安装）、新建步游道5000米及厕所1座，实际完成标识标牌设计制作及安装，步游道及厕所尚未实施</w:t>
            </w:r>
          </w:p>
        </w:tc>
      </w:tr>
      <w:tr w14:paraId="1287541E">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58EBB62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4297" w:type="dxa"/>
            <w:shd w:val="clear" w:color="auto" w:fill="auto"/>
          </w:tcPr>
          <w:p w14:paraId="4BDA6FBD">
            <w:pPr>
              <w:spacing w:line="560" w:lineRule="exact"/>
              <w:rPr>
                <w:rFonts w:ascii="仿宋_GB2312" w:hAnsi="宋体" w:eastAsia="仿宋" w:cs="仿宋_GB2312"/>
                <w:sz w:val="32"/>
                <w:lang w:bidi="ar"/>
              </w:rPr>
            </w:pPr>
            <w:r>
              <w:rPr>
                <w:rFonts w:ascii="仿宋_GB2312" w:hAnsi="宋体" w:eastAsia="仿宋" w:cs="仿宋_GB2312"/>
                <w:sz w:val="32"/>
                <w:lang w:bidi="ar"/>
              </w:rPr>
              <w:t>2019年中央专项彩票公益金支出贫困革命老区脱贫攻坚资金建设项目</w:t>
            </w:r>
          </w:p>
        </w:tc>
        <w:tc>
          <w:tcPr>
            <w:tcW w:w="3814" w:type="dxa"/>
            <w:shd w:val="clear" w:color="auto" w:fill="auto"/>
          </w:tcPr>
          <w:p w14:paraId="61149477">
            <w:pPr>
              <w:spacing w:line="560" w:lineRule="exact"/>
              <w:rPr>
                <w:rFonts w:ascii="仿宋_GB2312" w:hAnsi="宋体" w:eastAsia="仿宋" w:cs="仿宋_GB2312"/>
                <w:sz w:val="32"/>
                <w:lang w:bidi="ar"/>
              </w:rPr>
            </w:pPr>
            <w:r>
              <w:rPr>
                <w:rFonts w:ascii="仿宋_GB2312" w:hAnsi="宋体" w:eastAsia="仿宋" w:cs="仿宋_GB2312"/>
                <w:sz w:val="32"/>
                <w:lang w:bidi="ar"/>
              </w:rPr>
              <w:t>项目未完工</w:t>
            </w:r>
          </w:p>
        </w:tc>
      </w:tr>
      <w:tr w14:paraId="066474CF">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3AE61C9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4297" w:type="dxa"/>
            <w:shd w:val="clear" w:color="auto" w:fill="auto"/>
          </w:tcPr>
          <w:p w14:paraId="0D07C3F1">
            <w:pPr>
              <w:spacing w:line="560" w:lineRule="exact"/>
              <w:rPr>
                <w:rFonts w:ascii="仿宋_GB2312" w:hAnsi="宋体" w:eastAsia="仿宋" w:cs="仿宋_GB2312"/>
                <w:sz w:val="32"/>
                <w:lang w:bidi="ar"/>
              </w:rPr>
            </w:pPr>
            <w:r>
              <w:rPr>
                <w:rFonts w:ascii="仿宋_GB2312" w:hAnsi="宋体" w:eastAsia="仿宋" w:cs="仿宋_GB2312"/>
                <w:sz w:val="32"/>
                <w:lang w:bidi="ar"/>
              </w:rPr>
              <w:t>地质灾害综合防治体系建设项目</w:t>
            </w:r>
          </w:p>
        </w:tc>
        <w:tc>
          <w:tcPr>
            <w:tcW w:w="3814" w:type="dxa"/>
            <w:shd w:val="clear" w:color="auto" w:fill="auto"/>
          </w:tcPr>
          <w:p w14:paraId="55183DA9">
            <w:pPr>
              <w:spacing w:line="560" w:lineRule="exact"/>
              <w:rPr>
                <w:rFonts w:ascii="仿宋_GB2312" w:hAnsi="宋体" w:eastAsia="仿宋" w:cs="仿宋_GB2312"/>
                <w:sz w:val="32"/>
                <w:lang w:bidi="ar"/>
              </w:rPr>
            </w:pPr>
            <w:r>
              <w:rPr>
                <w:rFonts w:ascii="仿宋_GB2312" w:hAnsi="宋体" w:eastAsia="仿宋" w:cs="仿宋_GB2312"/>
                <w:sz w:val="32"/>
                <w:lang w:bidi="ar"/>
              </w:rPr>
              <w:t>5个子项目数量未完成</w:t>
            </w:r>
          </w:p>
        </w:tc>
      </w:tr>
      <w:tr w14:paraId="02930EEE">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35A1E4E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4297" w:type="dxa"/>
            <w:shd w:val="clear" w:color="auto" w:fill="auto"/>
          </w:tcPr>
          <w:p w14:paraId="3AE82630">
            <w:pPr>
              <w:spacing w:line="560" w:lineRule="exact"/>
              <w:rPr>
                <w:rFonts w:ascii="仿宋_GB2312" w:hAnsi="宋体" w:eastAsia="仿宋" w:cs="仿宋_GB2312"/>
                <w:sz w:val="32"/>
                <w:lang w:bidi="ar"/>
              </w:rPr>
            </w:pPr>
            <w:r>
              <w:rPr>
                <w:rFonts w:ascii="仿宋_GB2312" w:hAnsi="宋体" w:eastAsia="仿宋" w:cs="仿宋_GB2312"/>
                <w:sz w:val="32"/>
                <w:lang w:bidi="ar"/>
              </w:rPr>
              <w:t>2019年革命老区转移支付项目</w:t>
            </w:r>
          </w:p>
        </w:tc>
        <w:tc>
          <w:tcPr>
            <w:tcW w:w="3814" w:type="dxa"/>
            <w:shd w:val="clear" w:color="auto" w:fill="auto"/>
          </w:tcPr>
          <w:p w14:paraId="4568DEBA">
            <w:pPr>
              <w:spacing w:line="560" w:lineRule="exact"/>
              <w:rPr>
                <w:rFonts w:ascii="仿宋_GB2312" w:hAnsi="宋体" w:eastAsia="仿宋" w:cs="仿宋_GB2312"/>
                <w:sz w:val="32"/>
                <w:lang w:bidi="ar"/>
              </w:rPr>
            </w:pPr>
            <w:r>
              <w:rPr>
                <w:rFonts w:ascii="仿宋_GB2312" w:hAnsi="宋体" w:eastAsia="仿宋" w:cs="仿宋_GB2312"/>
                <w:sz w:val="32"/>
                <w:lang w:bidi="ar"/>
              </w:rPr>
              <w:t>西索村活动室建设项目项目未完工或民族教育基地设施设备采购、西索村民居大桥建设、西索村导视牌、展示牌安装、政府背面、西索村二组绿化尚未实施</w:t>
            </w:r>
          </w:p>
        </w:tc>
      </w:tr>
      <w:tr w14:paraId="648A1AEE">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1493BBA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w:t>
            </w:r>
          </w:p>
        </w:tc>
        <w:tc>
          <w:tcPr>
            <w:tcW w:w="4297" w:type="dxa"/>
            <w:shd w:val="clear" w:color="auto" w:fill="auto"/>
          </w:tcPr>
          <w:p w14:paraId="402B8C26">
            <w:pPr>
              <w:spacing w:line="560" w:lineRule="exact"/>
              <w:rPr>
                <w:rFonts w:ascii="仿宋_GB2312" w:hAnsi="宋体" w:eastAsia="仿宋" w:cs="仿宋_GB2312"/>
                <w:sz w:val="32"/>
                <w:lang w:bidi="ar"/>
              </w:rPr>
            </w:pPr>
            <w:r>
              <w:rPr>
                <w:rFonts w:ascii="仿宋_GB2312" w:hAnsi="宋体" w:eastAsia="仿宋" w:cs="仿宋_GB2312"/>
                <w:sz w:val="32"/>
                <w:lang w:bidi="ar"/>
              </w:rPr>
              <w:t>看守拘留所建设项目</w:t>
            </w:r>
          </w:p>
        </w:tc>
        <w:tc>
          <w:tcPr>
            <w:tcW w:w="3814" w:type="dxa"/>
            <w:shd w:val="clear" w:color="auto" w:fill="auto"/>
          </w:tcPr>
          <w:p w14:paraId="717AADCA">
            <w:pPr>
              <w:spacing w:line="560" w:lineRule="exact"/>
              <w:rPr>
                <w:rFonts w:ascii="仿宋_GB2312" w:hAnsi="宋体" w:eastAsia="仿宋" w:cs="仿宋_GB2312"/>
                <w:sz w:val="32"/>
                <w:lang w:bidi="ar"/>
              </w:rPr>
            </w:pPr>
            <w:r>
              <w:rPr>
                <w:rFonts w:ascii="仿宋_GB2312" w:hAnsi="宋体" w:eastAsia="仿宋" w:cs="仿宋_GB2312"/>
                <w:sz w:val="32"/>
                <w:lang w:bidi="ar"/>
              </w:rPr>
              <w:t>看守所、拘留所项目尚未完工</w:t>
            </w:r>
          </w:p>
        </w:tc>
      </w:tr>
      <w:tr w14:paraId="4281D64C">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51DB7FE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6</w:t>
            </w:r>
          </w:p>
        </w:tc>
        <w:tc>
          <w:tcPr>
            <w:tcW w:w="4297" w:type="dxa"/>
            <w:shd w:val="clear" w:color="auto" w:fill="auto"/>
          </w:tcPr>
          <w:p w14:paraId="1FF0BC4E">
            <w:pPr>
              <w:spacing w:line="560" w:lineRule="exact"/>
              <w:rPr>
                <w:rFonts w:ascii="仿宋_GB2312" w:hAnsi="宋体" w:eastAsia="仿宋" w:cs="仿宋_GB2312"/>
                <w:sz w:val="32"/>
                <w:lang w:bidi="ar"/>
              </w:rPr>
            </w:pPr>
            <w:r>
              <w:rPr>
                <w:rFonts w:ascii="仿宋_GB2312" w:hAnsi="宋体" w:eastAsia="仿宋" w:cs="仿宋_GB2312"/>
                <w:sz w:val="32"/>
                <w:lang w:bidi="ar"/>
              </w:rPr>
              <w:t>2018-2019年粮食低温储备库建设项目</w:t>
            </w:r>
          </w:p>
        </w:tc>
        <w:tc>
          <w:tcPr>
            <w:tcW w:w="3814" w:type="dxa"/>
            <w:shd w:val="clear" w:color="auto" w:fill="auto"/>
          </w:tcPr>
          <w:p w14:paraId="6FFFD640">
            <w:pPr>
              <w:spacing w:line="560" w:lineRule="exact"/>
              <w:rPr>
                <w:rFonts w:ascii="仿宋_GB2312" w:hAnsi="宋体" w:eastAsia="仿宋" w:cs="仿宋_GB2312"/>
                <w:sz w:val="32"/>
                <w:lang w:bidi="ar"/>
              </w:rPr>
            </w:pPr>
            <w:r>
              <w:rPr>
                <w:rFonts w:ascii="仿宋_GB2312" w:hAnsi="宋体" w:eastAsia="仿宋" w:cs="仿宋_GB2312"/>
                <w:sz w:val="32"/>
                <w:lang w:bidi="ar"/>
              </w:rPr>
              <w:t>本项目需安装LF10D低温机组9台、变压器1台，实际已完成安装LF10D低温机组9台</w:t>
            </w:r>
          </w:p>
        </w:tc>
      </w:tr>
      <w:tr w14:paraId="4E7BC38F">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D1DD71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w:t>
            </w:r>
          </w:p>
        </w:tc>
        <w:tc>
          <w:tcPr>
            <w:tcW w:w="4297" w:type="dxa"/>
            <w:shd w:val="clear" w:color="auto" w:fill="auto"/>
          </w:tcPr>
          <w:p w14:paraId="58FD317B">
            <w:pPr>
              <w:spacing w:line="560" w:lineRule="exact"/>
              <w:rPr>
                <w:rFonts w:ascii="仿宋_GB2312" w:hAnsi="宋体" w:eastAsia="仿宋" w:cs="仿宋_GB2312"/>
                <w:sz w:val="32"/>
                <w:lang w:bidi="ar"/>
              </w:rPr>
            </w:pPr>
            <w:r>
              <w:rPr>
                <w:rFonts w:ascii="仿宋_GB2312" w:hAnsi="宋体" w:eastAsia="仿宋" w:cs="仿宋_GB2312"/>
                <w:sz w:val="32"/>
                <w:lang w:bidi="ar"/>
              </w:rPr>
              <w:t>马尔康市城市设计项目</w:t>
            </w:r>
          </w:p>
        </w:tc>
        <w:tc>
          <w:tcPr>
            <w:tcW w:w="3814" w:type="dxa"/>
            <w:shd w:val="clear" w:color="auto" w:fill="auto"/>
          </w:tcPr>
          <w:p w14:paraId="7326A6BA">
            <w:pPr>
              <w:spacing w:line="560" w:lineRule="exact"/>
              <w:rPr>
                <w:rFonts w:ascii="仿宋_GB2312" w:hAnsi="宋体" w:eastAsia="仿宋" w:cs="仿宋_GB2312"/>
                <w:sz w:val="32"/>
                <w:lang w:bidi="ar"/>
              </w:rPr>
            </w:pPr>
            <w:r>
              <w:rPr>
                <w:rFonts w:ascii="仿宋_GB2312" w:hAnsi="宋体" w:eastAsia="仿宋" w:cs="仿宋_GB2312"/>
                <w:sz w:val="32"/>
                <w:lang w:bidi="ar"/>
              </w:rPr>
              <w:t>完成调研阶段、初步方案阶段，评审方案阶段、最终成果阶段未完成</w:t>
            </w:r>
          </w:p>
        </w:tc>
      </w:tr>
      <w:tr w14:paraId="2EF03CB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186A2EE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w:t>
            </w:r>
          </w:p>
        </w:tc>
        <w:tc>
          <w:tcPr>
            <w:tcW w:w="4297" w:type="dxa"/>
            <w:shd w:val="clear" w:color="auto" w:fill="auto"/>
          </w:tcPr>
          <w:p w14:paraId="25A38DDD">
            <w:pPr>
              <w:spacing w:line="560" w:lineRule="exact"/>
              <w:rPr>
                <w:rFonts w:ascii="仿宋_GB2312" w:hAnsi="宋体" w:eastAsia="仿宋" w:cs="仿宋_GB2312"/>
                <w:sz w:val="32"/>
                <w:lang w:bidi="ar"/>
              </w:rPr>
            </w:pPr>
            <w:r>
              <w:rPr>
                <w:rFonts w:ascii="仿宋_GB2312" w:hAnsi="宋体" w:eastAsia="仿宋" w:cs="仿宋_GB2312"/>
                <w:sz w:val="32"/>
                <w:lang w:bidi="ar"/>
              </w:rPr>
              <w:t>热水系统（太阳能）项目</w:t>
            </w:r>
          </w:p>
        </w:tc>
        <w:tc>
          <w:tcPr>
            <w:tcW w:w="3814" w:type="dxa"/>
            <w:shd w:val="clear" w:color="auto" w:fill="auto"/>
          </w:tcPr>
          <w:p w14:paraId="0ABEC655">
            <w:pPr>
              <w:spacing w:line="560" w:lineRule="exact"/>
              <w:rPr>
                <w:rFonts w:ascii="仿宋_GB2312" w:hAnsi="宋体" w:eastAsia="仿宋" w:cs="仿宋_GB2312"/>
                <w:sz w:val="32"/>
                <w:lang w:bidi="ar"/>
              </w:rPr>
            </w:pPr>
            <w:r>
              <w:rPr>
                <w:rFonts w:ascii="仿宋_GB2312" w:hAnsi="宋体" w:eastAsia="仿宋" w:cs="仿宋_GB2312"/>
                <w:sz w:val="32"/>
                <w:lang w:bidi="ar"/>
              </w:rPr>
              <w:t>项目未完成。</w:t>
            </w:r>
          </w:p>
        </w:tc>
      </w:tr>
      <w:tr w14:paraId="30D75828">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2ED20F4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w:t>
            </w:r>
          </w:p>
        </w:tc>
        <w:tc>
          <w:tcPr>
            <w:tcW w:w="4297" w:type="dxa"/>
            <w:shd w:val="clear" w:color="auto" w:fill="auto"/>
          </w:tcPr>
          <w:p w14:paraId="77DC459A">
            <w:pPr>
              <w:spacing w:line="560" w:lineRule="exact"/>
              <w:rPr>
                <w:rFonts w:ascii="仿宋_GB2312" w:hAnsi="宋体" w:eastAsia="仿宋" w:cs="仿宋_GB2312"/>
                <w:sz w:val="32"/>
                <w:lang w:bidi="ar"/>
              </w:rPr>
            </w:pPr>
            <w:r>
              <w:rPr>
                <w:rFonts w:ascii="仿宋_GB2312" w:hAnsi="宋体" w:eastAsia="仿宋" w:cs="仿宋_GB2312"/>
                <w:sz w:val="32"/>
                <w:lang w:bidi="ar"/>
              </w:rPr>
              <w:t>中共马尔康市委宣传部马尔康市融媒体中心建设项目</w:t>
            </w:r>
          </w:p>
        </w:tc>
        <w:tc>
          <w:tcPr>
            <w:tcW w:w="3814" w:type="dxa"/>
            <w:shd w:val="clear" w:color="auto" w:fill="auto"/>
          </w:tcPr>
          <w:p w14:paraId="3668357E">
            <w:pPr>
              <w:spacing w:line="560" w:lineRule="exact"/>
              <w:rPr>
                <w:rFonts w:ascii="仿宋_GB2312" w:hAnsi="宋体" w:eastAsia="仿宋" w:cs="仿宋_GB2312"/>
                <w:sz w:val="32"/>
                <w:lang w:bidi="ar"/>
              </w:rPr>
            </w:pPr>
            <w:r>
              <w:rPr>
                <w:rFonts w:ascii="仿宋_GB2312" w:hAnsi="宋体" w:eastAsia="仿宋" w:cs="仿宋_GB2312"/>
                <w:sz w:val="32"/>
                <w:lang w:bidi="ar"/>
              </w:rPr>
              <w:t>2019年未通过验收，系指挥墙建设未完成、醉美马尔康APP功能模块有待完善</w:t>
            </w:r>
          </w:p>
        </w:tc>
      </w:tr>
      <w:tr w14:paraId="3E43385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0BA9A52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w:t>
            </w:r>
          </w:p>
        </w:tc>
        <w:tc>
          <w:tcPr>
            <w:tcW w:w="4297" w:type="dxa"/>
            <w:shd w:val="clear" w:color="auto" w:fill="auto"/>
          </w:tcPr>
          <w:p w14:paraId="65EF5C1D">
            <w:pPr>
              <w:spacing w:line="560" w:lineRule="exact"/>
              <w:rPr>
                <w:rFonts w:ascii="仿宋_GB2312" w:hAnsi="宋体" w:eastAsia="仿宋" w:cs="仿宋_GB2312"/>
                <w:sz w:val="32"/>
                <w:lang w:bidi="ar"/>
              </w:rPr>
            </w:pPr>
            <w:r>
              <w:rPr>
                <w:rFonts w:ascii="仿宋_GB2312" w:hAnsi="宋体" w:eastAsia="仿宋" w:cs="仿宋_GB2312"/>
                <w:sz w:val="32"/>
                <w:lang w:bidi="ar"/>
              </w:rPr>
              <w:t>松岗天街配套基础设施建设项目</w:t>
            </w:r>
          </w:p>
        </w:tc>
        <w:tc>
          <w:tcPr>
            <w:tcW w:w="3814" w:type="dxa"/>
            <w:shd w:val="clear" w:color="auto" w:fill="auto"/>
          </w:tcPr>
          <w:p w14:paraId="46F869F8">
            <w:pPr>
              <w:spacing w:line="560" w:lineRule="exact"/>
              <w:rPr>
                <w:rFonts w:ascii="仿宋_GB2312" w:hAnsi="宋体" w:eastAsia="仿宋" w:cs="仿宋_GB2312"/>
                <w:sz w:val="32"/>
                <w:lang w:bidi="ar"/>
              </w:rPr>
            </w:pPr>
            <w:r>
              <w:rPr>
                <w:rFonts w:ascii="仿宋_GB2312" w:hAnsi="宋体" w:eastAsia="仿宋" w:cs="仿宋_GB2312"/>
                <w:sz w:val="32"/>
                <w:lang w:bidi="ar"/>
              </w:rPr>
              <w:t>部分项目数量未完成，其中：停车场植草砖预计完成2000</w:t>
            </w:r>
            <w:r>
              <w:rPr>
                <w:rFonts w:ascii="Segoe UI Symbol" w:hAnsi="Segoe UI Symbol" w:eastAsia="仿宋" w:cs="Segoe UI Symbol"/>
                <w:sz w:val="32"/>
                <w:lang w:bidi="ar"/>
              </w:rPr>
              <w:t>㎡</w:t>
            </w:r>
            <w:r>
              <w:rPr>
                <w:rFonts w:ascii="宋体" w:hAnsi="宋体" w:eastAsia="仿宋" w:cs="宋体"/>
                <w:sz w:val="32"/>
                <w:lang w:bidi="ar"/>
              </w:rPr>
              <w:t>，实际完成1200㎡；景区道路预计完成180米，实际完成135米；土方回填预计完成15000m³，实际完成1200m³；景区栏杆预计完成400米，实际完成371米</w:t>
            </w:r>
          </w:p>
        </w:tc>
      </w:tr>
      <w:tr w14:paraId="21615EB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3C7AE9D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11</w:t>
            </w:r>
          </w:p>
        </w:tc>
        <w:tc>
          <w:tcPr>
            <w:tcW w:w="4297" w:type="dxa"/>
            <w:shd w:val="clear" w:color="auto" w:fill="auto"/>
          </w:tcPr>
          <w:p w14:paraId="2ACE1C79">
            <w:pPr>
              <w:spacing w:line="560" w:lineRule="exact"/>
              <w:rPr>
                <w:rFonts w:ascii="仿宋_GB2312" w:hAnsi="宋体" w:eastAsia="仿宋" w:cs="仿宋_GB2312"/>
                <w:sz w:val="32"/>
                <w:lang w:bidi="ar"/>
              </w:rPr>
            </w:pPr>
            <w:r>
              <w:rPr>
                <w:rFonts w:ascii="仿宋_GB2312" w:hAnsi="宋体" w:eastAsia="仿宋" w:cs="仿宋_GB2312"/>
                <w:sz w:val="32"/>
                <w:lang w:bidi="ar"/>
              </w:rPr>
              <w:t>乡村振兴项目</w:t>
            </w:r>
          </w:p>
        </w:tc>
        <w:tc>
          <w:tcPr>
            <w:tcW w:w="3814" w:type="dxa"/>
            <w:shd w:val="clear" w:color="auto" w:fill="auto"/>
          </w:tcPr>
          <w:p w14:paraId="63E342A9">
            <w:pPr>
              <w:spacing w:line="560" w:lineRule="exact"/>
              <w:rPr>
                <w:rFonts w:ascii="仿宋_GB2312" w:hAnsi="宋体" w:eastAsia="仿宋" w:cs="仿宋_GB2312"/>
                <w:sz w:val="32"/>
                <w:lang w:bidi="ar"/>
              </w:rPr>
            </w:pPr>
            <w:r>
              <w:rPr>
                <w:rFonts w:ascii="仿宋_GB2312" w:hAnsi="宋体" w:eastAsia="仿宋" w:cs="仿宋_GB2312"/>
                <w:sz w:val="32"/>
                <w:lang w:bidi="ar"/>
              </w:rPr>
              <w:t>验收意见无对工程量的验收，无法比对实施方案批复内容与实际完工内容是否相符</w:t>
            </w:r>
          </w:p>
        </w:tc>
      </w:tr>
      <w:tr w14:paraId="0BEB3D38">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37C557D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12</w:t>
            </w:r>
          </w:p>
        </w:tc>
        <w:tc>
          <w:tcPr>
            <w:tcW w:w="4297" w:type="dxa"/>
            <w:shd w:val="clear" w:color="auto" w:fill="auto"/>
          </w:tcPr>
          <w:p w14:paraId="2D921A12">
            <w:pPr>
              <w:spacing w:line="560" w:lineRule="exact"/>
              <w:rPr>
                <w:rFonts w:ascii="仿宋_GB2312" w:hAnsi="宋体" w:eastAsia="仿宋" w:cs="仿宋_GB2312"/>
                <w:sz w:val="32"/>
                <w:lang w:bidi="ar"/>
              </w:rPr>
            </w:pPr>
            <w:r>
              <w:rPr>
                <w:rFonts w:ascii="仿宋_GB2312" w:hAnsi="宋体" w:eastAsia="仿宋" w:cs="仿宋_GB2312"/>
                <w:sz w:val="32"/>
                <w:lang w:bidi="ar"/>
              </w:rPr>
              <w:t>重要道路绿化设计及城区绿化提升项目</w:t>
            </w:r>
          </w:p>
        </w:tc>
        <w:tc>
          <w:tcPr>
            <w:tcW w:w="3814" w:type="dxa"/>
            <w:shd w:val="clear" w:color="auto" w:fill="auto"/>
          </w:tcPr>
          <w:p w14:paraId="181C4711">
            <w:pPr>
              <w:spacing w:line="560" w:lineRule="exact"/>
              <w:rPr>
                <w:rFonts w:ascii="仿宋_GB2312" w:hAnsi="宋体" w:eastAsia="仿宋" w:cs="仿宋_GB2312"/>
                <w:sz w:val="32"/>
                <w:lang w:bidi="ar"/>
              </w:rPr>
            </w:pPr>
            <w:r>
              <w:rPr>
                <w:rFonts w:ascii="仿宋_GB2312" w:hAnsi="宋体" w:eastAsia="仿宋" w:cs="仿宋_GB2312"/>
                <w:sz w:val="32"/>
                <w:lang w:bidi="ar"/>
              </w:rPr>
              <w:t>未提供实际完成数量数据，无法判断完成数量情况</w:t>
            </w:r>
          </w:p>
        </w:tc>
      </w:tr>
      <w:bookmarkEnd w:id="33"/>
    </w:tbl>
    <w:p w14:paraId="2151A4E3">
      <w:pPr>
        <w:spacing w:line="560" w:lineRule="exact"/>
        <w:ind w:firstLine="560"/>
        <w:rPr>
          <w:rFonts w:hint="eastAsia" w:ascii="仿宋_GB2312" w:hAnsi="宋体" w:eastAsia="仿宋" w:cs="仿宋_GB2312"/>
          <w:bCs/>
          <w:sz w:val="32"/>
          <w:lang w:bidi="ar"/>
        </w:rPr>
      </w:pPr>
      <w:r>
        <w:rPr>
          <w:rFonts w:ascii="仿宋_GB2312" w:hAnsi="宋体" w:eastAsia="仿宋" w:cs="仿宋_GB2312"/>
          <w:sz w:val="32"/>
          <w:szCs w:val="28"/>
          <w:lang w:bidi="ar"/>
        </w:rPr>
        <w:t>1</w:t>
      </w:r>
      <w:r>
        <w:rPr>
          <w:rFonts w:hint="eastAsia" w:ascii="仿宋_GB2312" w:hAnsi="宋体" w:eastAsia="仿宋" w:cs="仿宋_GB2312"/>
          <w:sz w:val="32"/>
          <w:szCs w:val="28"/>
          <w:lang w:bidi="ar"/>
        </w:rPr>
        <w:t>2个考核项目符合绩效目标设定的验收标准，达到行业基准水平；</w:t>
      </w:r>
      <w:r>
        <w:rPr>
          <w:rFonts w:ascii="仿宋_GB2312" w:hAnsi="宋体" w:eastAsia="仿宋" w:cs="仿宋_GB2312"/>
          <w:sz w:val="32"/>
          <w:szCs w:val="28"/>
          <w:lang w:bidi="ar"/>
        </w:rPr>
        <w:t>11</w:t>
      </w:r>
      <w:r>
        <w:rPr>
          <w:rFonts w:hint="eastAsia" w:ascii="仿宋_GB2312" w:hAnsi="宋体" w:eastAsia="仿宋" w:cs="仿宋_GB2312"/>
          <w:sz w:val="32"/>
          <w:szCs w:val="28"/>
          <w:lang w:bidi="ar"/>
        </w:rPr>
        <w:t>个考核项目存在质量问题，详见下表：</w:t>
      </w:r>
    </w:p>
    <w:p w14:paraId="2A017A11">
      <w:pPr>
        <w:spacing w:line="560" w:lineRule="exact"/>
        <w:ind w:firstLine="482"/>
        <w:jc w:val="center"/>
        <w:rPr>
          <w:rFonts w:hint="eastAsia" w:ascii="仿宋_GB2312" w:hAnsi="宋体" w:eastAsia="仿宋" w:cs="仿宋_GB2312"/>
          <w:sz w:val="32"/>
          <w:szCs w:val="28"/>
          <w:lang w:bidi="ar"/>
        </w:rPr>
      </w:pPr>
      <w:bookmarkStart w:id="34" w:name="_Hlk57716377"/>
      <w:r>
        <w:rPr>
          <w:rFonts w:hint="eastAsia" w:ascii="仿宋_GB2312" w:hAnsi="宋体" w:eastAsia="仿宋" w:cs="仿宋_GB2312"/>
          <w:bCs/>
          <w:sz w:val="32"/>
          <w:lang w:bidi="ar"/>
        </w:rPr>
        <w:t>项目完成质量情况表</w:t>
      </w:r>
    </w:p>
    <w:bookmarkEnd w:id="34"/>
    <w:tbl>
      <w:tblPr>
        <w:tblStyle w:val="15"/>
        <w:tblW w:w="0" w:type="auto"/>
        <w:tblInd w:w="0" w:type="dxa"/>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891"/>
        <w:gridCol w:w="4297"/>
        <w:gridCol w:w="3814"/>
      </w:tblGrid>
      <w:tr w14:paraId="36159E2E">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blHeader/>
        </w:trPr>
        <w:tc>
          <w:tcPr>
            <w:tcW w:w="891" w:type="dxa"/>
            <w:shd w:val="clear" w:color="auto" w:fill="auto"/>
          </w:tcPr>
          <w:p w14:paraId="38D08AB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4297" w:type="dxa"/>
            <w:shd w:val="clear" w:color="auto" w:fill="auto"/>
          </w:tcPr>
          <w:p w14:paraId="6037AA9B">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项目名称</w:t>
            </w:r>
          </w:p>
        </w:tc>
        <w:tc>
          <w:tcPr>
            <w:tcW w:w="3814" w:type="dxa"/>
            <w:shd w:val="clear" w:color="auto" w:fill="auto"/>
          </w:tcPr>
          <w:p w14:paraId="7DD9FE2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问题</w:t>
            </w:r>
          </w:p>
        </w:tc>
      </w:tr>
      <w:tr w14:paraId="4304EDA9">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193B32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4297" w:type="dxa"/>
            <w:shd w:val="clear" w:color="auto" w:fill="auto"/>
          </w:tcPr>
          <w:p w14:paraId="5428E87B">
            <w:pPr>
              <w:spacing w:line="560" w:lineRule="exact"/>
              <w:rPr>
                <w:rFonts w:ascii="仿宋_GB2312" w:hAnsi="宋体" w:eastAsia="仿宋" w:cs="仿宋_GB2312"/>
                <w:sz w:val="32"/>
                <w:lang w:bidi="ar"/>
              </w:rPr>
            </w:pPr>
            <w:r>
              <w:rPr>
                <w:rFonts w:ascii="仿宋_GB2312" w:hAnsi="宋体" w:eastAsia="仿宋" w:cs="仿宋_GB2312"/>
                <w:sz w:val="32"/>
                <w:lang w:bidi="ar"/>
              </w:rPr>
              <w:t>2018年第四批新增地方政府债券资金</w:t>
            </w:r>
          </w:p>
        </w:tc>
        <w:tc>
          <w:tcPr>
            <w:tcW w:w="3814" w:type="dxa"/>
            <w:shd w:val="clear" w:color="auto" w:fill="auto"/>
          </w:tcPr>
          <w:p w14:paraId="7E448B97">
            <w:pPr>
              <w:spacing w:line="560" w:lineRule="exact"/>
              <w:rPr>
                <w:rFonts w:ascii="仿宋_GB2312" w:hAnsi="宋体" w:eastAsia="仿宋" w:cs="仿宋_GB2312"/>
                <w:sz w:val="32"/>
                <w:lang w:bidi="ar"/>
              </w:rPr>
            </w:pPr>
            <w:r>
              <w:rPr>
                <w:rFonts w:ascii="仿宋_GB2312" w:hAnsi="宋体" w:eastAsia="仿宋" w:cs="仿宋_GB2312"/>
                <w:sz w:val="32"/>
                <w:lang w:bidi="ar"/>
              </w:rPr>
              <w:t>未见3辆垃圾车验收资料</w:t>
            </w:r>
          </w:p>
        </w:tc>
      </w:tr>
      <w:tr w14:paraId="17D8A87C">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47DC7C2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4297" w:type="dxa"/>
            <w:shd w:val="clear" w:color="auto" w:fill="auto"/>
          </w:tcPr>
          <w:p w14:paraId="11D3B81D">
            <w:pPr>
              <w:spacing w:line="560" w:lineRule="exact"/>
              <w:rPr>
                <w:rFonts w:ascii="仿宋_GB2312" w:hAnsi="宋体" w:eastAsia="仿宋" w:cs="仿宋_GB2312"/>
                <w:sz w:val="32"/>
                <w:lang w:bidi="ar"/>
              </w:rPr>
            </w:pPr>
            <w:r>
              <w:rPr>
                <w:rFonts w:ascii="仿宋_GB2312" w:hAnsi="宋体" w:eastAsia="仿宋" w:cs="仿宋_GB2312"/>
                <w:sz w:val="32"/>
                <w:lang w:bidi="ar"/>
              </w:rPr>
              <w:t>2019年中央专项彩票公益金支出贫困革命老区脱贫攻坚资金建设项目</w:t>
            </w:r>
          </w:p>
        </w:tc>
        <w:tc>
          <w:tcPr>
            <w:tcW w:w="3814" w:type="dxa"/>
            <w:shd w:val="clear" w:color="auto" w:fill="auto"/>
          </w:tcPr>
          <w:p w14:paraId="30D34392">
            <w:pPr>
              <w:spacing w:line="560" w:lineRule="exact"/>
              <w:rPr>
                <w:rFonts w:ascii="仿宋_GB2312" w:hAnsi="宋体" w:eastAsia="仿宋" w:cs="仿宋_GB2312"/>
                <w:sz w:val="32"/>
                <w:lang w:bidi="ar"/>
              </w:rPr>
            </w:pPr>
            <w:r>
              <w:rPr>
                <w:rFonts w:ascii="仿宋_GB2312" w:hAnsi="宋体" w:eastAsia="仿宋" w:cs="仿宋_GB2312"/>
                <w:sz w:val="32"/>
                <w:lang w:bidi="ar"/>
              </w:rPr>
              <w:t>项目未完工，还未验收</w:t>
            </w:r>
          </w:p>
        </w:tc>
      </w:tr>
      <w:tr w14:paraId="7760ECE6">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3C49CDA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4297" w:type="dxa"/>
            <w:shd w:val="clear" w:color="auto" w:fill="auto"/>
          </w:tcPr>
          <w:p w14:paraId="4DA266B1">
            <w:pPr>
              <w:spacing w:line="560" w:lineRule="exact"/>
              <w:rPr>
                <w:rFonts w:ascii="仿宋_GB2312" w:hAnsi="宋体" w:eastAsia="仿宋" w:cs="仿宋_GB2312"/>
                <w:sz w:val="32"/>
                <w:lang w:bidi="ar"/>
              </w:rPr>
            </w:pPr>
            <w:r>
              <w:rPr>
                <w:rFonts w:ascii="仿宋_GB2312" w:hAnsi="宋体" w:eastAsia="仿宋" w:cs="仿宋_GB2312"/>
                <w:sz w:val="32"/>
                <w:lang w:bidi="ar"/>
              </w:rPr>
              <w:t>2019年革命老区转移支付项目</w:t>
            </w:r>
          </w:p>
        </w:tc>
        <w:tc>
          <w:tcPr>
            <w:tcW w:w="3814" w:type="dxa"/>
            <w:shd w:val="clear" w:color="auto" w:fill="auto"/>
          </w:tcPr>
          <w:p w14:paraId="5BC8F96E">
            <w:pPr>
              <w:spacing w:line="560" w:lineRule="exact"/>
              <w:rPr>
                <w:rFonts w:ascii="仿宋_GB2312" w:hAnsi="宋体" w:eastAsia="仿宋" w:cs="仿宋_GB2312"/>
                <w:sz w:val="32"/>
                <w:lang w:bidi="ar"/>
              </w:rPr>
            </w:pPr>
            <w:r>
              <w:rPr>
                <w:rFonts w:ascii="仿宋_GB2312" w:hAnsi="宋体" w:eastAsia="仿宋" w:cs="仿宋_GB2312"/>
                <w:sz w:val="32"/>
                <w:lang w:bidi="ar"/>
              </w:rPr>
              <w:t>西索村活动室建设项目项目未完工或民族教育基地设施设备采购、西索村民居大桥建设、西索村导视牌、展示牌安装、政府背面、西索村二组绿化尚未实施，未进行验收</w:t>
            </w:r>
          </w:p>
        </w:tc>
      </w:tr>
      <w:tr w14:paraId="77CFC53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5912DE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4297" w:type="dxa"/>
            <w:shd w:val="clear" w:color="auto" w:fill="auto"/>
          </w:tcPr>
          <w:p w14:paraId="4A2E5BDE">
            <w:pPr>
              <w:tabs>
                <w:tab w:val="left" w:pos="2989"/>
              </w:tabs>
              <w:spacing w:line="560" w:lineRule="exact"/>
              <w:rPr>
                <w:rFonts w:ascii="仿宋_GB2312" w:hAnsi="宋体" w:eastAsia="仿宋" w:cs="仿宋_GB2312"/>
                <w:sz w:val="32"/>
                <w:lang w:bidi="ar"/>
              </w:rPr>
            </w:pPr>
            <w:r>
              <w:rPr>
                <w:rFonts w:ascii="仿宋_GB2312" w:hAnsi="宋体" w:eastAsia="仿宋" w:cs="仿宋_GB2312"/>
                <w:sz w:val="32"/>
                <w:lang w:bidi="ar"/>
              </w:rPr>
              <w:t>看守拘留所建设项目</w:t>
            </w:r>
          </w:p>
        </w:tc>
        <w:tc>
          <w:tcPr>
            <w:tcW w:w="3814" w:type="dxa"/>
            <w:shd w:val="clear" w:color="auto" w:fill="auto"/>
          </w:tcPr>
          <w:p w14:paraId="0487F54B">
            <w:pPr>
              <w:tabs>
                <w:tab w:val="left" w:pos="2989"/>
              </w:tabs>
              <w:spacing w:line="560" w:lineRule="exact"/>
              <w:rPr>
                <w:rFonts w:ascii="仿宋_GB2312" w:hAnsi="宋体" w:eastAsia="仿宋" w:cs="仿宋_GB2312"/>
                <w:sz w:val="32"/>
                <w:lang w:bidi="ar"/>
              </w:rPr>
            </w:pPr>
            <w:r>
              <w:rPr>
                <w:rFonts w:ascii="仿宋_GB2312" w:hAnsi="宋体" w:eastAsia="仿宋" w:cs="仿宋_GB2312"/>
                <w:sz w:val="32"/>
                <w:lang w:bidi="ar"/>
              </w:rPr>
              <w:t>看守所、拘留所项目尚未完工</w:t>
            </w:r>
          </w:p>
        </w:tc>
      </w:tr>
      <w:tr w14:paraId="2F63649C">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4C197D5B">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w:t>
            </w:r>
          </w:p>
        </w:tc>
        <w:tc>
          <w:tcPr>
            <w:tcW w:w="4297" w:type="dxa"/>
            <w:shd w:val="clear" w:color="auto" w:fill="auto"/>
          </w:tcPr>
          <w:p w14:paraId="0F8DE9AA">
            <w:pPr>
              <w:spacing w:line="560" w:lineRule="exact"/>
              <w:rPr>
                <w:rFonts w:ascii="仿宋_GB2312" w:hAnsi="宋体" w:eastAsia="仿宋" w:cs="仿宋_GB2312"/>
                <w:sz w:val="32"/>
                <w:lang w:bidi="ar"/>
              </w:rPr>
            </w:pPr>
            <w:r>
              <w:rPr>
                <w:rFonts w:ascii="仿宋_GB2312" w:hAnsi="宋体" w:eastAsia="仿宋" w:cs="仿宋_GB2312"/>
                <w:sz w:val="32"/>
                <w:lang w:bidi="ar"/>
              </w:rPr>
              <w:t>2018-2019年粮食低温储备库建设项目</w:t>
            </w:r>
          </w:p>
        </w:tc>
        <w:tc>
          <w:tcPr>
            <w:tcW w:w="3814" w:type="dxa"/>
            <w:shd w:val="clear" w:color="auto" w:fill="auto"/>
          </w:tcPr>
          <w:p w14:paraId="539B7085">
            <w:pPr>
              <w:spacing w:line="560" w:lineRule="exact"/>
              <w:rPr>
                <w:rFonts w:ascii="仿宋_GB2312" w:hAnsi="宋体" w:eastAsia="仿宋" w:cs="仿宋_GB2312"/>
                <w:sz w:val="32"/>
                <w:lang w:bidi="ar"/>
              </w:rPr>
            </w:pPr>
            <w:r>
              <w:rPr>
                <w:rFonts w:ascii="仿宋_GB2312" w:hAnsi="宋体" w:eastAsia="仿宋" w:cs="仿宋_GB2312"/>
                <w:sz w:val="32"/>
                <w:lang w:bidi="ar"/>
              </w:rPr>
              <w:t>尚未组织验收</w:t>
            </w:r>
          </w:p>
        </w:tc>
      </w:tr>
      <w:tr w14:paraId="79F85CAE">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176758E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6</w:t>
            </w:r>
          </w:p>
        </w:tc>
        <w:tc>
          <w:tcPr>
            <w:tcW w:w="4297" w:type="dxa"/>
            <w:shd w:val="clear" w:color="auto" w:fill="auto"/>
          </w:tcPr>
          <w:p w14:paraId="6D627178">
            <w:pPr>
              <w:spacing w:line="560" w:lineRule="exact"/>
              <w:rPr>
                <w:rFonts w:ascii="仿宋_GB2312" w:hAnsi="宋体" w:eastAsia="仿宋" w:cs="仿宋_GB2312"/>
                <w:sz w:val="32"/>
                <w:lang w:bidi="ar"/>
              </w:rPr>
            </w:pPr>
            <w:r>
              <w:rPr>
                <w:rFonts w:ascii="仿宋_GB2312" w:hAnsi="宋体" w:eastAsia="仿宋" w:cs="仿宋_GB2312"/>
                <w:sz w:val="32"/>
                <w:lang w:bidi="ar"/>
              </w:rPr>
              <w:t>马尔康市城市设计项目</w:t>
            </w:r>
          </w:p>
        </w:tc>
        <w:tc>
          <w:tcPr>
            <w:tcW w:w="3814" w:type="dxa"/>
            <w:shd w:val="clear" w:color="auto" w:fill="auto"/>
          </w:tcPr>
          <w:p w14:paraId="69A64E9F">
            <w:pPr>
              <w:spacing w:line="560" w:lineRule="exact"/>
              <w:rPr>
                <w:rFonts w:ascii="仿宋_GB2312" w:hAnsi="宋体" w:eastAsia="仿宋" w:cs="仿宋_GB2312"/>
                <w:sz w:val="32"/>
                <w:lang w:bidi="ar"/>
              </w:rPr>
            </w:pPr>
            <w:r>
              <w:rPr>
                <w:rFonts w:ascii="仿宋_GB2312" w:hAnsi="宋体" w:eastAsia="仿宋" w:cs="仿宋_GB2312"/>
                <w:sz w:val="32"/>
                <w:lang w:bidi="ar"/>
              </w:rPr>
              <w:t xml:space="preserve">项目未完工，已完成部分验收通过 </w:t>
            </w:r>
          </w:p>
        </w:tc>
      </w:tr>
      <w:tr w14:paraId="509F2C51">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6D94345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w:t>
            </w:r>
          </w:p>
        </w:tc>
        <w:tc>
          <w:tcPr>
            <w:tcW w:w="4297" w:type="dxa"/>
            <w:shd w:val="clear" w:color="auto" w:fill="auto"/>
          </w:tcPr>
          <w:p w14:paraId="255AA38D">
            <w:pPr>
              <w:spacing w:line="560" w:lineRule="exact"/>
              <w:rPr>
                <w:rFonts w:ascii="仿宋_GB2312" w:hAnsi="宋体" w:eastAsia="仿宋" w:cs="仿宋_GB2312"/>
                <w:sz w:val="32"/>
                <w:lang w:bidi="ar"/>
              </w:rPr>
            </w:pPr>
            <w:r>
              <w:rPr>
                <w:rFonts w:ascii="仿宋_GB2312" w:hAnsi="宋体" w:eastAsia="仿宋" w:cs="仿宋_GB2312"/>
                <w:sz w:val="32"/>
                <w:lang w:bidi="ar"/>
              </w:rPr>
              <w:t>农牧林产品加工物流园区产业扶持项目</w:t>
            </w:r>
          </w:p>
        </w:tc>
        <w:tc>
          <w:tcPr>
            <w:tcW w:w="3814" w:type="dxa"/>
            <w:shd w:val="clear" w:color="auto" w:fill="auto"/>
          </w:tcPr>
          <w:p w14:paraId="0BE29895">
            <w:pPr>
              <w:spacing w:line="560" w:lineRule="exact"/>
              <w:rPr>
                <w:rFonts w:ascii="仿宋_GB2312" w:hAnsi="宋体" w:eastAsia="仿宋" w:cs="仿宋_GB2312"/>
                <w:sz w:val="32"/>
                <w:lang w:bidi="ar"/>
              </w:rPr>
            </w:pPr>
            <w:r>
              <w:rPr>
                <w:rFonts w:ascii="仿宋_GB2312" w:hAnsi="宋体" w:eastAsia="仿宋" w:cs="仿宋_GB2312"/>
                <w:sz w:val="32"/>
                <w:lang w:bidi="ar"/>
              </w:rPr>
              <w:t>项目未进行验收</w:t>
            </w:r>
          </w:p>
        </w:tc>
      </w:tr>
      <w:tr w14:paraId="1EB3A9C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338FE8E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w:t>
            </w:r>
          </w:p>
        </w:tc>
        <w:tc>
          <w:tcPr>
            <w:tcW w:w="4297" w:type="dxa"/>
            <w:shd w:val="clear" w:color="auto" w:fill="auto"/>
          </w:tcPr>
          <w:p w14:paraId="68F77CB3">
            <w:pPr>
              <w:spacing w:line="560" w:lineRule="exact"/>
              <w:rPr>
                <w:rFonts w:ascii="仿宋_GB2312" w:hAnsi="宋体" w:eastAsia="仿宋" w:cs="仿宋_GB2312"/>
                <w:sz w:val="32"/>
                <w:lang w:bidi="ar"/>
              </w:rPr>
            </w:pPr>
            <w:r>
              <w:rPr>
                <w:rFonts w:ascii="仿宋_GB2312" w:hAnsi="宋体" w:eastAsia="仿宋" w:cs="仿宋_GB2312"/>
                <w:sz w:val="32"/>
                <w:lang w:bidi="ar"/>
              </w:rPr>
              <w:t>热水系统（太阳能）项目</w:t>
            </w:r>
          </w:p>
        </w:tc>
        <w:tc>
          <w:tcPr>
            <w:tcW w:w="3814" w:type="dxa"/>
            <w:shd w:val="clear" w:color="auto" w:fill="auto"/>
          </w:tcPr>
          <w:p w14:paraId="14435DF2">
            <w:pPr>
              <w:spacing w:line="560" w:lineRule="exact"/>
              <w:rPr>
                <w:rFonts w:ascii="仿宋_GB2312" w:hAnsi="宋体" w:eastAsia="仿宋" w:cs="仿宋_GB2312"/>
                <w:sz w:val="32"/>
                <w:lang w:bidi="ar"/>
              </w:rPr>
            </w:pPr>
            <w:r>
              <w:rPr>
                <w:rFonts w:ascii="仿宋_GB2312" w:hAnsi="宋体" w:eastAsia="仿宋" w:cs="仿宋_GB2312"/>
                <w:sz w:val="32"/>
                <w:lang w:bidi="ar"/>
              </w:rPr>
              <w:t>未按照立项批复工期按时完工验收</w:t>
            </w:r>
          </w:p>
        </w:tc>
      </w:tr>
      <w:tr w14:paraId="54A19C3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903A0C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w:t>
            </w:r>
          </w:p>
        </w:tc>
        <w:tc>
          <w:tcPr>
            <w:tcW w:w="4297" w:type="dxa"/>
            <w:shd w:val="clear" w:color="auto" w:fill="auto"/>
          </w:tcPr>
          <w:p w14:paraId="37E307B0">
            <w:pPr>
              <w:spacing w:line="560" w:lineRule="exact"/>
              <w:rPr>
                <w:rFonts w:ascii="仿宋_GB2312" w:hAnsi="宋体" w:eastAsia="仿宋" w:cs="仿宋_GB2312"/>
                <w:sz w:val="32"/>
                <w:lang w:bidi="ar"/>
              </w:rPr>
            </w:pPr>
            <w:r>
              <w:rPr>
                <w:rFonts w:ascii="仿宋_GB2312" w:hAnsi="宋体" w:eastAsia="仿宋" w:cs="仿宋_GB2312"/>
                <w:sz w:val="32"/>
                <w:lang w:bidi="ar"/>
              </w:rPr>
              <w:t>中共马尔康市委宣传部马尔康市融媒体中心建设项目</w:t>
            </w:r>
          </w:p>
        </w:tc>
        <w:tc>
          <w:tcPr>
            <w:tcW w:w="3814" w:type="dxa"/>
            <w:shd w:val="clear" w:color="auto" w:fill="auto"/>
          </w:tcPr>
          <w:p w14:paraId="74285AA9">
            <w:pPr>
              <w:spacing w:line="560" w:lineRule="exact"/>
              <w:rPr>
                <w:rFonts w:ascii="仿宋_GB2312" w:hAnsi="宋体" w:eastAsia="仿宋" w:cs="仿宋_GB2312"/>
                <w:sz w:val="32"/>
                <w:lang w:bidi="ar"/>
              </w:rPr>
            </w:pPr>
            <w:r>
              <w:rPr>
                <w:rFonts w:ascii="仿宋_GB2312" w:hAnsi="宋体" w:eastAsia="仿宋" w:cs="仿宋_GB2312"/>
                <w:sz w:val="32"/>
                <w:lang w:bidi="ar"/>
              </w:rPr>
              <w:t>2019年未通过验收，系指挥墙建设未完成、醉美马尔康APP功能模块有待完善</w:t>
            </w:r>
          </w:p>
        </w:tc>
      </w:tr>
      <w:tr w14:paraId="02EEB573">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693209F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w:t>
            </w:r>
          </w:p>
        </w:tc>
        <w:tc>
          <w:tcPr>
            <w:tcW w:w="4297" w:type="dxa"/>
            <w:shd w:val="clear" w:color="auto" w:fill="auto"/>
          </w:tcPr>
          <w:p w14:paraId="7CB9BF1C">
            <w:pPr>
              <w:spacing w:line="560" w:lineRule="exact"/>
              <w:rPr>
                <w:rFonts w:ascii="仿宋_GB2312" w:hAnsi="宋体" w:eastAsia="仿宋" w:cs="仿宋_GB2312"/>
                <w:sz w:val="32"/>
                <w:lang w:bidi="ar"/>
              </w:rPr>
            </w:pPr>
            <w:r>
              <w:rPr>
                <w:rFonts w:ascii="仿宋_GB2312" w:hAnsi="宋体" w:eastAsia="仿宋" w:cs="仿宋_GB2312"/>
                <w:sz w:val="32"/>
                <w:lang w:bidi="ar"/>
              </w:rPr>
              <w:t>2019年农村教师周转宿舍建设省级补助资金项目</w:t>
            </w:r>
          </w:p>
        </w:tc>
        <w:tc>
          <w:tcPr>
            <w:tcW w:w="3814" w:type="dxa"/>
            <w:shd w:val="clear" w:color="auto" w:fill="auto"/>
          </w:tcPr>
          <w:p w14:paraId="465316CB">
            <w:pPr>
              <w:spacing w:line="560" w:lineRule="exact"/>
              <w:rPr>
                <w:rFonts w:ascii="仿宋_GB2312" w:hAnsi="宋体" w:eastAsia="仿宋" w:cs="仿宋_GB2312"/>
                <w:sz w:val="32"/>
                <w:lang w:bidi="ar"/>
              </w:rPr>
            </w:pPr>
            <w:r>
              <w:rPr>
                <w:rFonts w:ascii="仿宋_GB2312" w:hAnsi="宋体" w:eastAsia="仿宋" w:cs="仿宋_GB2312"/>
                <w:sz w:val="32"/>
                <w:lang w:bidi="ar"/>
              </w:rPr>
              <w:t>尚未完成21套周转宿舍、附属设施、配套设备修建</w:t>
            </w:r>
          </w:p>
        </w:tc>
      </w:tr>
      <w:tr w14:paraId="0E61DD3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55E160D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11</w:t>
            </w:r>
          </w:p>
        </w:tc>
        <w:tc>
          <w:tcPr>
            <w:tcW w:w="4297" w:type="dxa"/>
            <w:shd w:val="clear" w:color="auto" w:fill="auto"/>
          </w:tcPr>
          <w:p w14:paraId="59369C07">
            <w:pPr>
              <w:spacing w:line="560" w:lineRule="exact"/>
              <w:rPr>
                <w:rFonts w:ascii="仿宋_GB2312" w:hAnsi="宋体" w:eastAsia="仿宋" w:cs="仿宋_GB2312"/>
                <w:sz w:val="32"/>
                <w:lang w:bidi="ar"/>
              </w:rPr>
            </w:pPr>
            <w:r>
              <w:rPr>
                <w:rFonts w:ascii="仿宋_GB2312" w:hAnsi="宋体" w:eastAsia="仿宋" w:cs="仿宋_GB2312"/>
                <w:sz w:val="32"/>
                <w:lang w:bidi="ar"/>
              </w:rPr>
              <w:t>重要道路绿化设计及城区绿化提升项目</w:t>
            </w:r>
          </w:p>
        </w:tc>
        <w:tc>
          <w:tcPr>
            <w:tcW w:w="3814" w:type="dxa"/>
            <w:shd w:val="clear" w:color="auto" w:fill="auto"/>
          </w:tcPr>
          <w:p w14:paraId="5A066BFC">
            <w:pPr>
              <w:spacing w:line="560" w:lineRule="exact"/>
              <w:rPr>
                <w:rFonts w:ascii="仿宋_GB2312" w:hAnsi="宋体" w:eastAsia="仿宋" w:cs="仿宋_GB2312"/>
                <w:sz w:val="32"/>
                <w:lang w:bidi="ar"/>
              </w:rPr>
            </w:pPr>
            <w:r>
              <w:rPr>
                <w:rFonts w:ascii="仿宋_GB2312" w:hAnsi="宋体" w:eastAsia="仿宋" w:cs="仿宋_GB2312"/>
                <w:sz w:val="32"/>
                <w:lang w:bidi="ar"/>
              </w:rPr>
              <w:t>施工过程中存在急弯弯道种树、林下植树等违背技术规程的情况，以及施工单位管理涣散、擅自扩大栽植范围、苗木质量不达标、种植土质量不达标等问题</w:t>
            </w:r>
          </w:p>
        </w:tc>
      </w:tr>
    </w:tbl>
    <w:p w14:paraId="4EB548DE">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7个考核项目实际完成时间在绩效目标设定完成时间内，1</w:t>
      </w:r>
      <w:r>
        <w:rPr>
          <w:rFonts w:ascii="仿宋_GB2312" w:hAnsi="宋体" w:eastAsia="仿宋" w:cs="仿宋_GB2312"/>
          <w:sz w:val="32"/>
          <w:szCs w:val="28"/>
          <w:lang w:bidi="ar"/>
        </w:rPr>
        <w:t>6</w:t>
      </w:r>
      <w:r>
        <w:rPr>
          <w:rFonts w:hint="eastAsia" w:ascii="仿宋_GB2312" w:hAnsi="宋体" w:eastAsia="仿宋" w:cs="仿宋_GB2312"/>
          <w:sz w:val="32"/>
          <w:szCs w:val="28"/>
          <w:lang w:bidi="ar"/>
        </w:rPr>
        <w:t>个考核项目实际完成时间未在绩效目标设定完成时间内或计划时间不明确，详见下表：</w:t>
      </w:r>
    </w:p>
    <w:p w14:paraId="0C2F1297">
      <w:pPr>
        <w:spacing w:line="560" w:lineRule="exact"/>
        <w:jc w:val="center"/>
        <w:rPr>
          <w:rFonts w:ascii="仿宋_GB2312" w:hAnsi="宋体" w:eastAsia="仿宋" w:cs="仿宋_GB2312"/>
          <w:sz w:val="32"/>
          <w:szCs w:val="28"/>
          <w:lang w:bidi="ar"/>
        </w:rPr>
      </w:pPr>
      <w:r>
        <w:rPr>
          <w:rFonts w:hint="eastAsia" w:ascii="仿宋_GB2312" w:hAnsi="宋体" w:eastAsia="仿宋" w:cs="仿宋_GB2312"/>
          <w:bCs/>
          <w:sz w:val="32"/>
          <w:lang w:bidi="ar"/>
        </w:rPr>
        <w:t>项目完成时效情况表</w:t>
      </w:r>
    </w:p>
    <w:tbl>
      <w:tblPr>
        <w:tblStyle w:val="15"/>
        <w:tblW w:w="0" w:type="auto"/>
        <w:tblInd w:w="0" w:type="dxa"/>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891"/>
        <w:gridCol w:w="4297"/>
        <w:gridCol w:w="3814"/>
      </w:tblGrid>
      <w:tr w14:paraId="254AEB3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blHeader/>
        </w:trPr>
        <w:tc>
          <w:tcPr>
            <w:tcW w:w="891" w:type="dxa"/>
            <w:shd w:val="clear" w:color="auto" w:fill="auto"/>
          </w:tcPr>
          <w:p w14:paraId="67C81CB0">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4297" w:type="dxa"/>
            <w:shd w:val="clear" w:color="auto" w:fill="auto"/>
          </w:tcPr>
          <w:p w14:paraId="5C4CA7A1">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项目名称</w:t>
            </w:r>
          </w:p>
        </w:tc>
        <w:tc>
          <w:tcPr>
            <w:tcW w:w="3814" w:type="dxa"/>
            <w:shd w:val="clear" w:color="auto" w:fill="auto"/>
          </w:tcPr>
          <w:p w14:paraId="13C48627">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问题</w:t>
            </w:r>
          </w:p>
        </w:tc>
      </w:tr>
      <w:tr w14:paraId="32C55408">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132B631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4297" w:type="dxa"/>
            <w:shd w:val="clear" w:color="auto" w:fill="auto"/>
          </w:tcPr>
          <w:p w14:paraId="3D332797">
            <w:pPr>
              <w:spacing w:line="560" w:lineRule="exact"/>
              <w:rPr>
                <w:rFonts w:ascii="仿宋_GB2312" w:hAnsi="宋体" w:eastAsia="仿宋" w:cs="仿宋_GB2312"/>
                <w:sz w:val="32"/>
                <w:lang w:bidi="ar"/>
              </w:rPr>
            </w:pPr>
            <w:r>
              <w:rPr>
                <w:rFonts w:ascii="仿宋_GB2312" w:hAnsi="宋体" w:eastAsia="仿宋" w:cs="仿宋_GB2312"/>
                <w:sz w:val="32"/>
                <w:lang w:bidi="ar"/>
              </w:rPr>
              <w:t>阿底村防洪堤项目</w:t>
            </w:r>
          </w:p>
        </w:tc>
        <w:tc>
          <w:tcPr>
            <w:tcW w:w="3814" w:type="dxa"/>
            <w:shd w:val="clear" w:color="auto" w:fill="auto"/>
          </w:tcPr>
          <w:p w14:paraId="450C65A7">
            <w:pPr>
              <w:spacing w:line="560" w:lineRule="exact"/>
              <w:rPr>
                <w:rFonts w:ascii="仿宋_GB2312" w:hAnsi="宋体" w:eastAsia="仿宋" w:cs="仿宋_GB2312"/>
                <w:sz w:val="32"/>
                <w:lang w:bidi="ar"/>
              </w:rPr>
            </w:pPr>
            <w:r>
              <w:rPr>
                <w:rFonts w:ascii="仿宋_GB2312" w:hAnsi="宋体" w:eastAsia="仿宋" w:cs="仿宋_GB2312"/>
                <w:sz w:val="32"/>
                <w:lang w:bidi="ar"/>
              </w:rPr>
              <w:t>项目未按照立项批复时间及时完工</w:t>
            </w:r>
          </w:p>
        </w:tc>
      </w:tr>
      <w:tr w14:paraId="4DA7F4A8">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4E639C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4297" w:type="dxa"/>
            <w:shd w:val="clear" w:color="auto" w:fill="auto"/>
          </w:tcPr>
          <w:p w14:paraId="62DB2127">
            <w:pPr>
              <w:spacing w:line="560" w:lineRule="exact"/>
              <w:rPr>
                <w:rFonts w:ascii="仿宋_GB2312" w:hAnsi="宋体" w:eastAsia="仿宋" w:cs="仿宋_GB2312"/>
                <w:sz w:val="32"/>
                <w:lang w:bidi="ar"/>
              </w:rPr>
            </w:pPr>
            <w:r>
              <w:rPr>
                <w:rFonts w:ascii="仿宋_GB2312" w:hAnsi="宋体" w:eastAsia="仿宋" w:cs="仿宋_GB2312"/>
                <w:sz w:val="32"/>
                <w:lang w:bidi="ar"/>
              </w:rPr>
              <w:t>松岗柯盘天街景区标识标牌制作和安装项目</w:t>
            </w:r>
          </w:p>
        </w:tc>
        <w:tc>
          <w:tcPr>
            <w:tcW w:w="3814" w:type="dxa"/>
            <w:shd w:val="clear" w:color="auto" w:fill="auto"/>
          </w:tcPr>
          <w:p w14:paraId="72698AD2">
            <w:pPr>
              <w:spacing w:line="560" w:lineRule="exact"/>
              <w:rPr>
                <w:rFonts w:ascii="仿宋_GB2312" w:hAnsi="宋体" w:eastAsia="仿宋" w:cs="仿宋_GB2312"/>
                <w:sz w:val="32"/>
                <w:lang w:bidi="ar"/>
              </w:rPr>
            </w:pPr>
            <w:r>
              <w:rPr>
                <w:rFonts w:ascii="仿宋_GB2312" w:hAnsi="宋体" w:eastAsia="仿宋" w:cs="仿宋_GB2312"/>
                <w:sz w:val="32"/>
                <w:lang w:bidi="ar"/>
              </w:rPr>
              <w:t>未设置完成时效目标</w:t>
            </w:r>
          </w:p>
        </w:tc>
      </w:tr>
      <w:tr w14:paraId="68032DA2">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6A7ECE5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4297" w:type="dxa"/>
            <w:shd w:val="clear" w:color="auto" w:fill="auto"/>
          </w:tcPr>
          <w:p w14:paraId="0CD2C945">
            <w:pPr>
              <w:spacing w:line="560" w:lineRule="exact"/>
              <w:rPr>
                <w:rFonts w:ascii="仿宋_GB2312" w:hAnsi="宋体" w:eastAsia="仿宋" w:cs="仿宋_GB2312"/>
                <w:sz w:val="32"/>
                <w:lang w:bidi="ar"/>
              </w:rPr>
            </w:pPr>
            <w:r>
              <w:rPr>
                <w:rFonts w:ascii="仿宋_GB2312" w:hAnsi="宋体" w:eastAsia="仿宋" w:cs="仿宋_GB2312"/>
                <w:sz w:val="32"/>
                <w:lang w:bidi="ar"/>
              </w:rPr>
              <w:t>2019年中央专项彩票公益金支出贫困革命老区脱贫攻坚资金建设项目</w:t>
            </w:r>
          </w:p>
        </w:tc>
        <w:tc>
          <w:tcPr>
            <w:tcW w:w="3814" w:type="dxa"/>
            <w:shd w:val="clear" w:color="auto" w:fill="auto"/>
          </w:tcPr>
          <w:p w14:paraId="77DCCB97">
            <w:pPr>
              <w:spacing w:line="560" w:lineRule="exact"/>
              <w:rPr>
                <w:rFonts w:ascii="仿宋_GB2312" w:hAnsi="宋体" w:eastAsia="仿宋" w:cs="仿宋_GB2312"/>
                <w:sz w:val="32"/>
                <w:lang w:bidi="ar"/>
              </w:rPr>
            </w:pPr>
            <w:r>
              <w:rPr>
                <w:rFonts w:ascii="仿宋_GB2312" w:hAnsi="宋体" w:eastAsia="仿宋" w:cs="仿宋_GB2312"/>
                <w:sz w:val="32"/>
                <w:lang w:bidi="ar"/>
              </w:rPr>
              <w:t>经批复建设年限为2018年至2019年，截至2020年8月31日，工程尚未完工</w:t>
            </w:r>
          </w:p>
        </w:tc>
      </w:tr>
      <w:tr w14:paraId="5E349F39">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0DD7D6D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4297" w:type="dxa"/>
            <w:shd w:val="clear" w:color="auto" w:fill="auto"/>
          </w:tcPr>
          <w:p w14:paraId="7D8A8BC5">
            <w:pPr>
              <w:spacing w:line="560" w:lineRule="exact"/>
              <w:rPr>
                <w:rFonts w:ascii="仿宋_GB2312" w:hAnsi="宋体" w:eastAsia="仿宋" w:cs="仿宋_GB2312"/>
                <w:sz w:val="32"/>
                <w:lang w:bidi="ar"/>
              </w:rPr>
            </w:pPr>
            <w:r>
              <w:rPr>
                <w:rFonts w:ascii="仿宋_GB2312" w:hAnsi="宋体" w:eastAsia="仿宋" w:cs="仿宋_GB2312"/>
                <w:sz w:val="32"/>
                <w:lang w:bidi="ar"/>
              </w:rPr>
              <w:t>草原防灭火项目</w:t>
            </w:r>
          </w:p>
        </w:tc>
        <w:tc>
          <w:tcPr>
            <w:tcW w:w="3814" w:type="dxa"/>
            <w:shd w:val="clear" w:color="auto" w:fill="auto"/>
          </w:tcPr>
          <w:p w14:paraId="7C34C826">
            <w:pPr>
              <w:spacing w:line="560" w:lineRule="exact"/>
              <w:rPr>
                <w:rFonts w:ascii="仿宋_GB2312" w:hAnsi="宋体" w:eastAsia="仿宋" w:cs="仿宋_GB2312"/>
                <w:sz w:val="32"/>
                <w:lang w:bidi="ar"/>
              </w:rPr>
            </w:pPr>
            <w:r>
              <w:rPr>
                <w:rFonts w:ascii="仿宋_GB2312" w:hAnsi="宋体" w:eastAsia="仿宋" w:cs="仿宋_GB2312"/>
                <w:sz w:val="32"/>
                <w:lang w:bidi="ar"/>
              </w:rPr>
              <w:t>较批复建设期限延期8个月完工</w:t>
            </w:r>
          </w:p>
        </w:tc>
      </w:tr>
      <w:tr w14:paraId="280B3AF6">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3589E7D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w:t>
            </w:r>
          </w:p>
        </w:tc>
        <w:tc>
          <w:tcPr>
            <w:tcW w:w="4297" w:type="dxa"/>
            <w:shd w:val="clear" w:color="auto" w:fill="auto"/>
          </w:tcPr>
          <w:p w14:paraId="7B013A7D">
            <w:pPr>
              <w:spacing w:line="560" w:lineRule="exact"/>
              <w:rPr>
                <w:rFonts w:ascii="仿宋_GB2312" w:hAnsi="宋体" w:eastAsia="仿宋" w:cs="仿宋_GB2312"/>
                <w:sz w:val="32"/>
                <w:lang w:bidi="ar"/>
              </w:rPr>
            </w:pPr>
            <w:r>
              <w:rPr>
                <w:rFonts w:ascii="仿宋_GB2312" w:hAnsi="宋体" w:eastAsia="仿宋" w:cs="仿宋_GB2312"/>
                <w:sz w:val="32"/>
                <w:lang w:bidi="ar"/>
              </w:rPr>
              <w:t>2019年革命老区转移支付项目</w:t>
            </w:r>
          </w:p>
        </w:tc>
        <w:tc>
          <w:tcPr>
            <w:tcW w:w="3814" w:type="dxa"/>
            <w:shd w:val="clear" w:color="auto" w:fill="auto"/>
          </w:tcPr>
          <w:p w14:paraId="29B1B2EE">
            <w:pPr>
              <w:spacing w:line="560" w:lineRule="exact"/>
              <w:rPr>
                <w:rFonts w:ascii="仿宋_GB2312" w:hAnsi="宋体" w:eastAsia="仿宋" w:cs="仿宋_GB2312"/>
                <w:sz w:val="32"/>
                <w:lang w:bidi="ar"/>
              </w:rPr>
            </w:pPr>
            <w:r>
              <w:rPr>
                <w:rFonts w:ascii="仿宋_GB2312" w:hAnsi="宋体" w:eastAsia="仿宋" w:cs="仿宋_GB2312"/>
                <w:sz w:val="32"/>
                <w:lang w:bidi="ar"/>
              </w:rPr>
              <w:t>西索村活动室建设项目项目未完工或民族教育基地设施设备采购、西索村民居大桥建设、西索村导视牌、展示牌安装、政府背面、西索村二组绿化尚未实施</w:t>
            </w:r>
          </w:p>
        </w:tc>
      </w:tr>
      <w:tr w14:paraId="1FBEBE59">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10B432E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6</w:t>
            </w:r>
          </w:p>
        </w:tc>
        <w:tc>
          <w:tcPr>
            <w:tcW w:w="4297" w:type="dxa"/>
            <w:shd w:val="clear" w:color="auto" w:fill="auto"/>
          </w:tcPr>
          <w:p w14:paraId="6367FFDF">
            <w:pPr>
              <w:tabs>
                <w:tab w:val="left" w:pos="2989"/>
              </w:tabs>
              <w:spacing w:line="560" w:lineRule="exact"/>
              <w:rPr>
                <w:rFonts w:ascii="仿宋_GB2312" w:hAnsi="宋体" w:eastAsia="仿宋" w:cs="仿宋_GB2312"/>
                <w:sz w:val="32"/>
                <w:lang w:bidi="ar"/>
              </w:rPr>
            </w:pPr>
            <w:r>
              <w:rPr>
                <w:rFonts w:ascii="仿宋_GB2312" w:hAnsi="宋体" w:eastAsia="仿宋" w:cs="仿宋_GB2312"/>
                <w:sz w:val="32"/>
                <w:lang w:bidi="ar"/>
              </w:rPr>
              <w:t>看守拘留所建设项目</w:t>
            </w:r>
          </w:p>
        </w:tc>
        <w:tc>
          <w:tcPr>
            <w:tcW w:w="3814" w:type="dxa"/>
            <w:shd w:val="clear" w:color="auto" w:fill="auto"/>
          </w:tcPr>
          <w:p w14:paraId="7E8875BC">
            <w:pPr>
              <w:tabs>
                <w:tab w:val="left" w:pos="2989"/>
              </w:tabs>
              <w:spacing w:line="560" w:lineRule="exact"/>
              <w:rPr>
                <w:rFonts w:ascii="仿宋_GB2312" w:hAnsi="宋体" w:eastAsia="仿宋" w:cs="仿宋_GB2312"/>
                <w:sz w:val="32"/>
                <w:lang w:bidi="ar"/>
              </w:rPr>
            </w:pPr>
            <w:r>
              <w:rPr>
                <w:rFonts w:ascii="仿宋_GB2312" w:hAnsi="宋体" w:eastAsia="仿宋" w:cs="仿宋_GB2312"/>
                <w:sz w:val="32"/>
                <w:lang w:bidi="ar"/>
              </w:rPr>
              <w:t>看守所、拘留所项目尚未完工</w:t>
            </w:r>
          </w:p>
        </w:tc>
      </w:tr>
      <w:tr w14:paraId="50132321">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2A82A2B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w:t>
            </w:r>
          </w:p>
        </w:tc>
        <w:tc>
          <w:tcPr>
            <w:tcW w:w="4297" w:type="dxa"/>
            <w:shd w:val="clear" w:color="auto" w:fill="auto"/>
          </w:tcPr>
          <w:p w14:paraId="1E0DD3F4">
            <w:pPr>
              <w:tabs>
                <w:tab w:val="left" w:pos="2989"/>
              </w:tabs>
              <w:spacing w:line="560" w:lineRule="exact"/>
              <w:rPr>
                <w:rFonts w:ascii="仿宋_GB2312" w:hAnsi="宋体" w:eastAsia="仿宋" w:cs="仿宋_GB2312"/>
                <w:sz w:val="32"/>
                <w:lang w:bidi="ar"/>
              </w:rPr>
            </w:pPr>
            <w:r>
              <w:rPr>
                <w:rFonts w:ascii="仿宋_GB2312" w:hAnsi="宋体" w:eastAsia="仿宋" w:cs="仿宋_GB2312"/>
                <w:sz w:val="32"/>
                <w:lang w:bidi="ar"/>
              </w:rPr>
              <w:t>党坝乡地拉秋村跨河大桥建设项目</w:t>
            </w:r>
          </w:p>
        </w:tc>
        <w:tc>
          <w:tcPr>
            <w:tcW w:w="3814" w:type="dxa"/>
            <w:shd w:val="clear" w:color="auto" w:fill="auto"/>
          </w:tcPr>
          <w:p w14:paraId="662DA517">
            <w:pPr>
              <w:tabs>
                <w:tab w:val="left" w:pos="2989"/>
              </w:tabs>
              <w:spacing w:line="560" w:lineRule="exact"/>
              <w:rPr>
                <w:rFonts w:ascii="仿宋_GB2312" w:hAnsi="宋体" w:eastAsia="仿宋" w:cs="仿宋_GB2312"/>
                <w:sz w:val="32"/>
                <w:lang w:bidi="ar"/>
              </w:rPr>
            </w:pPr>
            <w:r>
              <w:rPr>
                <w:rFonts w:ascii="仿宋_GB2312" w:hAnsi="宋体" w:eastAsia="仿宋" w:cs="仿宋_GB2312"/>
                <w:sz w:val="32"/>
                <w:lang w:bidi="ar"/>
              </w:rPr>
              <w:t>批复建设工期为2018年，项目实际开竣工时间为2019年</w:t>
            </w:r>
          </w:p>
        </w:tc>
      </w:tr>
      <w:tr w14:paraId="29DC067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0BEAB26B">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w:t>
            </w:r>
          </w:p>
        </w:tc>
        <w:tc>
          <w:tcPr>
            <w:tcW w:w="4297" w:type="dxa"/>
            <w:shd w:val="clear" w:color="auto" w:fill="auto"/>
          </w:tcPr>
          <w:p w14:paraId="23098F3E">
            <w:pPr>
              <w:spacing w:line="560" w:lineRule="exact"/>
              <w:rPr>
                <w:rFonts w:ascii="仿宋_GB2312" w:hAnsi="宋体" w:eastAsia="仿宋" w:cs="仿宋_GB2312"/>
                <w:sz w:val="32"/>
                <w:lang w:bidi="ar"/>
              </w:rPr>
            </w:pPr>
            <w:r>
              <w:rPr>
                <w:rFonts w:ascii="仿宋_GB2312" w:hAnsi="宋体" w:eastAsia="仿宋" w:cs="仿宋_GB2312"/>
                <w:sz w:val="32"/>
                <w:lang w:bidi="ar"/>
              </w:rPr>
              <w:t>2018-2019年粮食低温储备库建设项目</w:t>
            </w:r>
          </w:p>
        </w:tc>
        <w:tc>
          <w:tcPr>
            <w:tcW w:w="3814" w:type="dxa"/>
            <w:shd w:val="clear" w:color="auto" w:fill="auto"/>
          </w:tcPr>
          <w:p w14:paraId="1023C281">
            <w:pPr>
              <w:spacing w:line="560" w:lineRule="exact"/>
              <w:rPr>
                <w:rFonts w:ascii="仿宋_GB2312" w:hAnsi="宋体" w:eastAsia="仿宋" w:cs="仿宋_GB2312"/>
                <w:sz w:val="32"/>
                <w:lang w:bidi="ar"/>
              </w:rPr>
            </w:pPr>
            <w:r>
              <w:rPr>
                <w:rFonts w:ascii="仿宋_GB2312" w:hAnsi="宋体" w:eastAsia="仿宋" w:cs="仿宋_GB2312"/>
                <w:sz w:val="32"/>
                <w:lang w:bidi="ar"/>
              </w:rPr>
              <w:t>建设期限为2019年11月至2020年4月。截至2020年8月31日，本项目尚未完工</w:t>
            </w:r>
          </w:p>
        </w:tc>
      </w:tr>
      <w:tr w14:paraId="4580E54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1F680FB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w:t>
            </w:r>
          </w:p>
        </w:tc>
        <w:tc>
          <w:tcPr>
            <w:tcW w:w="4297" w:type="dxa"/>
            <w:shd w:val="clear" w:color="auto" w:fill="auto"/>
          </w:tcPr>
          <w:p w14:paraId="361E293B">
            <w:pPr>
              <w:spacing w:line="560" w:lineRule="exact"/>
              <w:rPr>
                <w:rFonts w:ascii="仿宋_GB2312" w:hAnsi="宋体" w:eastAsia="仿宋" w:cs="仿宋_GB2312"/>
                <w:sz w:val="32"/>
                <w:lang w:bidi="ar"/>
              </w:rPr>
            </w:pPr>
            <w:r>
              <w:rPr>
                <w:rFonts w:ascii="仿宋_GB2312" w:hAnsi="宋体" w:eastAsia="仿宋" w:cs="仿宋_GB2312"/>
                <w:sz w:val="32"/>
                <w:lang w:bidi="ar"/>
              </w:rPr>
              <w:t>马尔康市城市设计项目</w:t>
            </w:r>
          </w:p>
        </w:tc>
        <w:tc>
          <w:tcPr>
            <w:tcW w:w="3814" w:type="dxa"/>
            <w:shd w:val="clear" w:color="auto" w:fill="auto"/>
          </w:tcPr>
          <w:p w14:paraId="4C8E5B0C">
            <w:pPr>
              <w:spacing w:line="560" w:lineRule="exact"/>
              <w:rPr>
                <w:rFonts w:ascii="仿宋_GB2312" w:hAnsi="宋体" w:eastAsia="仿宋" w:cs="仿宋_GB2312"/>
                <w:sz w:val="32"/>
                <w:lang w:bidi="ar"/>
              </w:rPr>
            </w:pPr>
            <w:r>
              <w:rPr>
                <w:rFonts w:ascii="仿宋_GB2312" w:hAnsi="宋体" w:eastAsia="仿宋" w:cs="仿宋_GB2312"/>
                <w:sz w:val="32"/>
                <w:lang w:bidi="ar"/>
              </w:rPr>
              <w:t>计划工期：2019年3月-2019年9月；</w:t>
            </w:r>
            <w:r>
              <w:rPr>
                <w:rFonts w:hint="eastAsia" w:ascii="仿宋_GB2312" w:hAnsi="宋体" w:eastAsia="仿宋" w:cs="仿宋_GB2312"/>
                <w:sz w:val="32"/>
                <w:lang w:eastAsia="zh-CN" w:bidi="ar"/>
              </w:rPr>
              <w:t>截至2020年</w:t>
            </w:r>
            <w:r>
              <w:rPr>
                <w:rFonts w:ascii="仿宋_GB2312" w:hAnsi="宋体" w:eastAsia="仿宋" w:cs="仿宋_GB2312"/>
                <w:sz w:val="32"/>
                <w:lang w:bidi="ar"/>
              </w:rPr>
              <w:t>8月未完成</w:t>
            </w:r>
          </w:p>
        </w:tc>
      </w:tr>
      <w:tr w14:paraId="6729E56F">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5F6AF62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w:t>
            </w:r>
          </w:p>
        </w:tc>
        <w:tc>
          <w:tcPr>
            <w:tcW w:w="4297" w:type="dxa"/>
            <w:shd w:val="clear" w:color="auto" w:fill="auto"/>
          </w:tcPr>
          <w:p w14:paraId="592275CF">
            <w:pPr>
              <w:spacing w:line="560" w:lineRule="exact"/>
              <w:rPr>
                <w:rFonts w:ascii="仿宋_GB2312" w:hAnsi="宋体" w:eastAsia="仿宋" w:cs="仿宋_GB2312"/>
                <w:sz w:val="32"/>
                <w:lang w:bidi="ar"/>
              </w:rPr>
            </w:pPr>
            <w:r>
              <w:rPr>
                <w:rFonts w:ascii="仿宋_GB2312" w:hAnsi="宋体" w:eastAsia="仿宋" w:cs="仿宋_GB2312"/>
                <w:sz w:val="32"/>
                <w:lang w:bidi="ar"/>
              </w:rPr>
              <w:t>农牧林产品加工物流园区产业扶持项目</w:t>
            </w:r>
          </w:p>
        </w:tc>
        <w:tc>
          <w:tcPr>
            <w:tcW w:w="3814" w:type="dxa"/>
            <w:shd w:val="clear" w:color="auto" w:fill="auto"/>
          </w:tcPr>
          <w:p w14:paraId="41CF8F57">
            <w:pPr>
              <w:spacing w:line="560" w:lineRule="exact"/>
              <w:rPr>
                <w:rFonts w:ascii="仿宋_GB2312" w:hAnsi="宋体" w:eastAsia="仿宋" w:cs="仿宋_GB2312"/>
                <w:sz w:val="32"/>
                <w:lang w:bidi="ar"/>
              </w:rPr>
            </w:pPr>
            <w:r>
              <w:rPr>
                <w:rFonts w:ascii="仿宋_GB2312" w:hAnsi="宋体" w:eastAsia="仿宋" w:cs="仿宋_GB2312"/>
                <w:sz w:val="32"/>
                <w:lang w:bidi="ar"/>
              </w:rPr>
              <w:t>项目批复工期为2019年10月-2020年11月，截至2020年8月31日，该项目已完成主体建设工程，处于装饰装修阶段。</w:t>
            </w:r>
          </w:p>
        </w:tc>
      </w:tr>
      <w:tr w14:paraId="12F30CE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6BE8251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11</w:t>
            </w:r>
          </w:p>
        </w:tc>
        <w:tc>
          <w:tcPr>
            <w:tcW w:w="4297" w:type="dxa"/>
            <w:shd w:val="clear" w:color="auto" w:fill="auto"/>
          </w:tcPr>
          <w:p w14:paraId="4DB39F27">
            <w:pPr>
              <w:spacing w:line="560" w:lineRule="exact"/>
              <w:rPr>
                <w:rFonts w:ascii="仿宋_GB2312" w:hAnsi="宋体" w:eastAsia="仿宋" w:cs="仿宋_GB2312"/>
                <w:sz w:val="32"/>
                <w:lang w:bidi="ar"/>
              </w:rPr>
            </w:pPr>
            <w:r>
              <w:rPr>
                <w:rFonts w:ascii="仿宋_GB2312" w:hAnsi="宋体" w:eastAsia="仿宋" w:cs="仿宋_GB2312"/>
                <w:sz w:val="32"/>
                <w:lang w:bidi="ar"/>
              </w:rPr>
              <w:t>热水系统（太阳能）项目</w:t>
            </w:r>
          </w:p>
        </w:tc>
        <w:tc>
          <w:tcPr>
            <w:tcW w:w="3814" w:type="dxa"/>
            <w:shd w:val="clear" w:color="auto" w:fill="auto"/>
          </w:tcPr>
          <w:p w14:paraId="18F5857C">
            <w:pPr>
              <w:spacing w:line="560" w:lineRule="exact"/>
              <w:rPr>
                <w:rFonts w:ascii="仿宋_GB2312" w:hAnsi="宋体" w:eastAsia="仿宋" w:cs="仿宋_GB2312"/>
                <w:sz w:val="32"/>
                <w:lang w:bidi="ar"/>
              </w:rPr>
            </w:pPr>
            <w:r>
              <w:rPr>
                <w:rFonts w:ascii="仿宋_GB2312" w:hAnsi="宋体" w:eastAsia="仿宋" w:cs="仿宋_GB2312"/>
                <w:sz w:val="32"/>
                <w:lang w:bidi="ar"/>
              </w:rPr>
              <w:t>立项批复建设工期2018年-2019年，项目于2020年6月19日完工验收通过</w:t>
            </w:r>
          </w:p>
        </w:tc>
      </w:tr>
      <w:tr w14:paraId="2E8F2AAA">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01FFB8F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12</w:t>
            </w:r>
          </w:p>
        </w:tc>
        <w:tc>
          <w:tcPr>
            <w:tcW w:w="4297" w:type="dxa"/>
            <w:shd w:val="clear" w:color="auto" w:fill="auto"/>
          </w:tcPr>
          <w:p w14:paraId="73EDFE85">
            <w:pPr>
              <w:spacing w:line="560" w:lineRule="exact"/>
              <w:rPr>
                <w:rFonts w:ascii="仿宋_GB2312" w:hAnsi="宋体" w:eastAsia="仿宋" w:cs="仿宋_GB2312"/>
                <w:sz w:val="32"/>
                <w:lang w:bidi="ar"/>
              </w:rPr>
            </w:pPr>
            <w:r>
              <w:rPr>
                <w:rFonts w:ascii="仿宋_GB2312" w:hAnsi="宋体" w:eastAsia="仿宋" w:cs="仿宋_GB2312"/>
                <w:sz w:val="32"/>
                <w:lang w:bidi="ar"/>
              </w:rPr>
              <w:t>中共马尔康市委宣传部马尔康市融媒体中心建设项目</w:t>
            </w:r>
          </w:p>
        </w:tc>
        <w:tc>
          <w:tcPr>
            <w:tcW w:w="3814" w:type="dxa"/>
            <w:shd w:val="clear" w:color="auto" w:fill="auto"/>
          </w:tcPr>
          <w:p w14:paraId="1C9F85B0">
            <w:pPr>
              <w:spacing w:line="560" w:lineRule="exact"/>
              <w:rPr>
                <w:rFonts w:ascii="仿宋_GB2312" w:hAnsi="宋体" w:eastAsia="仿宋" w:cs="仿宋_GB2312"/>
                <w:sz w:val="32"/>
                <w:lang w:bidi="ar"/>
              </w:rPr>
            </w:pPr>
            <w:r>
              <w:rPr>
                <w:rFonts w:ascii="仿宋_GB2312" w:hAnsi="宋体" w:eastAsia="仿宋" w:cs="仿宋_GB2312"/>
                <w:sz w:val="32"/>
                <w:lang w:bidi="ar"/>
              </w:rPr>
              <w:t>预计2019年11月正常运转，实际2020年7月完工验收</w:t>
            </w:r>
          </w:p>
        </w:tc>
      </w:tr>
      <w:tr w14:paraId="0F7B808C">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7B2AE27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13</w:t>
            </w:r>
          </w:p>
        </w:tc>
        <w:tc>
          <w:tcPr>
            <w:tcW w:w="4297" w:type="dxa"/>
            <w:shd w:val="clear" w:color="auto" w:fill="auto"/>
          </w:tcPr>
          <w:p w14:paraId="71E503F7">
            <w:pPr>
              <w:spacing w:line="560" w:lineRule="exact"/>
              <w:rPr>
                <w:rFonts w:ascii="仿宋_GB2312" w:hAnsi="宋体" w:eastAsia="仿宋" w:cs="仿宋_GB2312"/>
                <w:sz w:val="32"/>
                <w:lang w:bidi="ar"/>
              </w:rPr>
            </w:pPr>
            <w:r>
              <w:rPr>
                <w:rFonts w:ascii="仿宋_GB2312" w:hAnsi="宋体" w:eastAsia="仿宋" w:cs="仿宋_GB2312"/>
                <w:sz w:val="32"/>
                <w:lang w:bidi="ar"/>
              </w:rPr>
              <w:t>2019年农村教师周转宿舍建设省级补助资金项目</w:t>
            </w:r>
          </w:p>
        </w:tc>
        <w:tc>
          <w:tcPr>
            <w:tcW w:w="3814" w:type="dxa"/>
            <w:shd w:val="clear" w:color="auto" w:fill="auto"/>
          </w:tcPr>
          <w:p w14:paraId="2DABB86D">
            <w:pPr>
              <w:spacing w:line="560" w:lineRule="exact"/>
              <w:rPr>
                <w:rFonts w:ascii="仿宋_GB2312" w:hAnsi="宋体" w:eastAsia="仿宋" w:cs="仿宋_GB2312"/>
                <w:sz w:val="32"/>
                <w:lang w:bidi="ar"/>
              </w:rPr>
            </w:pPr>
            <w:r>
              <w:rPr>
                <w:rFonts w:ascii="仿宋_GB2312" w:hAnsi="宋体" w:eastAsia="仿宋" w:cs="仿宋_GB2312"/>
                <w:sz w:val="32"/>
                <w:lang w:bidi="ar"/>
              </w:rPr>
              <w:t>项目未完工</w:t>
            </w:r>
          </w:p>
        </w:tc>
      </w:tr>
      <w:tr w14:paraId="601567CD">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038FF51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14</w:t>
            </w:r>
          </w:p>
        </w:tc>
        <w:tc>
          <w:tcPr>
            <w:tcW w:w="4297" w:type="dxa"/>
            <w:shd w:val="clear" w:color="auto" w:fill="auto"/>
          </w:tcPr>
          <w:p w14:paraId="49779B5F">
            <w:pPr>
              <w:spacing w:line="560" w:lineRule="exact"/>
              <w:rPr>
                <w:rFonts w:ascii="仿宋_GB2312" w:hAnsi="宋体" w:eastAsia="仿宋" w:cs="仿宋_GB2312"/>
                <w:sz w:val="32"/>
                <w:lang w:bidi="ar"/>
              </w:rPr>
            </w:pPr>
            <w:r>
              <w:rPr>
                <w:rFonts w:ascii="仿宋_GB2312" w:hAnsi="宋体" w:eastAsia="仿宋" w:cs="仿宋_GB2312"/>
                <w:sz w:val="32"/>
                <w:lang w:bidi="ar"/>
              </w:rPr>
              <w:t>夜景照明工程项目</w:t>
            </w:r>
          </w:p>
        </w:tc>
        <w:tc>
          <w:tcPr>
            <w:tcW w:w="3814" w:type="dxa"/>
            <w:shd w:val="clear" w:color="auto" w:fill="auto"/>
          </w:tcPr>
          <w:p w14:paraId="1C009FC0">
            <w:pPr>
              <w:spacing w:line="560" w:lineRule="exact"/>
              <w:rPr>
                <w:rFonts w:ascii="仿宋_GB2312" w:hAnsi="宋体" w:eastAsia="仿宋" w:cs="仿宋_GB2312"/>
                <w:sz w:val="32"/>
                <w:lang w:bidi="ar"/>
              </w:rPr>
            </w:pPr>
            <w:r>
              <w:rPr>
                <w:rFonts w:ascii="仿宋_GB2312" w:hAnsi="宋体" w:eastAsia="仿宋" w:cs="仿宋_GB2312"/>
                <w:sz w:val="32"/>
                <w:lang w:bidi="ar"/>
              </w:rPr>
              <w:t>预计建设工期：2019年4月26日至2019年7月15日，工程实际于2019年4月26日开工，2019年11月4日完工，未按照规定期限完工</w:t>
            </w:r>
          </w:p>
        </w:tc>
      </w:tr>
      <w:tr w14:paraId="76E90507">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4783475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15</w:t>
            </w:r>
          </w:p>
        </w:tc>
        <w:tc>
          <w:tcPr>
            <w:tcW w:w="4297" w:type="dxa"/>
            <w:shd w:val="clear" w:color="auto" w:fill="auto"/>
          </w:tcPr>
          <w:p w14:paraId="5E439799">
            <w:pPr>
              <w:spacing w:line="560" w:lineRule="exact"/>
              <w:rPr>
                <w:rFonts w:ascii="仿宋_GB2312" w:hAnsi="宋体" w:eastAsia="仿宋" w:cs="仿宋_GB2312"/>
                <w:sz w:val="32"/>
                <w:lang w:bidi="ar"/>
              </w:rPr>
            </w:pPr>
            <w:r>
              <w:rPr>
                <w:rFonts w:ascii="仿宋_GB2312" w:hAnsi="宋体" w:eastAsia="仿宋" w:cs="仿宋_GB2312"/>
                <w:sz w:val="32"/>
                <w:lang w:bidi="ar"/>
              </w:rPr>
              <w:t>松岗天街配套基础设施建设项目</w:t>
            </w:r>
          </w:p>
        </w:tc>
        <w:tc>
          <w:tcPr>
            <w:tcW w:w="3814" w:type="dxa"/>
            <w:shd w:val="clear" w:color="auto" w:fill="auto"/>
          </w:tcPr>
          <w:p w14:paraId="3B631C8E">
            <w:pPr>
              <w:spacing w:line="560" w:lineRule="exact"/>
              <w:rPr>
                <w:rFonts w:ascii="仿宋_GB2312" w:hAnsi="宋体" w:eastAsia="仿宋" w:cs="仿宋_GB2312"/>
                <w:sz w:val="32"/>
                <w:lang w:bidi="ar"/>
              </w:rPr>
            </w:pPr>
            <w:r>
              <w:rPr>
                <w:rFonts w:ascii="仿宋_GB2312" w:hAnsi="宋体" w:eastAsia="仿宋" w:cs="仿宋_GB2312"/>
                <w:sz w:val="32"/>
                <w:lang w:bidi="ar"/>
              </w:rPr>
              <w:t>建设年限要求为2017年。实际竣工验收时间为2018年11月25日</w:t>
            </w:r>
          </w:p>
        </w:tc>
      </w:tr>
      <w:tr w14:paraId="70A359F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tcPr>
          <w:p w14:paraId="6DB9AED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16</w:t>
            </w:r>
          </w:p>
        </w:tc>
        <w:tc>
          <w:tcPr>
            <w:tcW w:w="4297" w:type="dxa"/>
            <w:shd w:val="clear" w:color="auto" w:fill="auto"/>
          </w:tcPr>
          <w:p w14:paraId="5576B922">
            <w:pPr>
              <w:spacing w:line="560" w:lineRule="exact"/>
              <w:rPr>
                <w:rFonts w:ascii="仿宋_GB2312" w:hAnsi="宋体" w:eastAsia="仿宋" w:cs="仿宋_GB2312"/>
                <w:sz w:val="32"/>
                <w:lang w:bidi="ar"/>
              </w:rPr>
            </w:pPr>
            <w:r>
              <w:rPr>
                <w:rFonts w:ascii="仿宋_GB2312" w:hAnsi="宋体" w:eastAsia="仿宋" w:cs="仿宋_GB2312"/>
                <w:sz w:val="32"/>
                <w:lang w:bidi="ar"/>
              </w:rPr>
              <w:t>乡村振兴项目</w:t>
            </w:r>
          </w:p>
        </w:tc>
        <w:tc>
          <w:tcPr>
            <w:tcW w:w="3814" w:type="dxa"/>
            <w:shd w:val="clear" w:color="auto" w:fill="auto"/>
          </w:tcPr>
          <w:p w14:paraId="714A33BD">
            <w:pPr>
              <w:spacing w:line="560" w:lineRule="exact"/>
              <w:rPr>
                <w:rFonts w:ascii="仿宋_GB2312" w:hAnsi="宋体" w:eastAsia="仿宋" w:cs="仿宋_GB2312"/>
                <w:sz w:val="32"/>
                <w:lang w:bidi="ar"/>
              </w:rPr>
            </w:pPr>
            <w:r>
              <w:rPr>
                <w:rFonts w:ascii="仿宋_GB2312" w:hAnsi="宋体" w:eastAsia="仿宋" w:cs="仿宋_GB2312"/>
                <w:sz w:val="32"/>
                <w:lang w:bidi="ar"/>
              </w:rPr>
              <w:t>部分项目未按规定时效实施，马尔康市松岗村、直波村生活污水处理厂及配套管网建设项目实施期限为2020年，</w:t>
            </w:r>
            <w:r>
              <w:rPr>
                <w:rFonts w:hint="eastAsia" w:ascii="仿宋_GB2312" w:hAnsi="宋体" w:eastAsia="仿宋" w:cs="仿宋_GB2312"/>
                <w:sz w:val="32"/>
                <w:lang w:eastAsia="zh-CN" w:bidi="ar"/>
              </w:rPr>
              <w:t>截至2020年</w:t>
            </w:r>
            <w:r>
              <w:rPr>
                <w:rFonts w:ascii="仿宋_GB2312" w:hAnsi="宋体" w:eastAsia="仿宋" w:cs="仿宋_GB2312"/>
                <w:sz w:val="32"/>
                <w:lang w:bidi="ar"/>
              </w:rPr>
              <w:t>10月项目未开工。</w:t>
            </w:r>
          </w:p>
        </w:tc>
      </w:tr>
    </w:tbl>
    <w:p w14:paraId="2FA55F8A">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8个项目实际完成成本在预计完成成本内,</w:t>
      </w:r>
      <w:r>
        <w:rPr>
          <w:rFonts w:ascii="仿宋_GB2312" w:hAnsi="宋体" w:eastAsia="仿宋" w:cs="仿宋_GB2312"/>
          <w:sz w:val="32"/>
          <w:szCs w:val="28"/>
          <w:lang w:bidi="ar"/>
        </w:rPr>
        <w:t>15</w:t>
      </w:r>
      <w:r>
        <w:rPr>
          <w:rFonts w:hint="eastAsia" w:ascii="仿宋_GB2312" w:hAnsi="宋体" w:eastAsia="仿宋" w:cs="仿宋_GB2312"/>
          <w:sz w:val="32"/>
          <w:szCs w:val="28"/>
          <w:lang w:bidi="ar"/>
        </w:rPr>
        <w:t>个项目实际完成成本较低，详见下表：</w:t>
      </w:r>
    </w:p>
    <w:p w14:paraId="50AB1044">
      <w:pPr>
        <w:spacing w:line="560" w:lineRule="exact"/>
        <w:ind w:firstLine="482"/>
        <w:jc w:val="center"/>
        <w:rPr>
          <w:rFonts w:hint="eastAsia" w:ascii="仿宋_GB2312" w:hAnsi="宋体" w:eastAsia="仿宋" w:cs="仿宋_GB2312"/>
          <w:sz w:val="32"/>
          <w:szCs w:val="28"/>
          <w:lang w:bidi="ar"/>
        </w:rPr>
      </w:pPr>
      <w:r>
        <w:rPr>
          <w:rFonts w:hint="eastAsia" w:ascii="仿宋_GB2312" w:hAnsi="宋体" w:eastAsia="仿宋" w:cs="仿宋_GB2312"/>
          <w:bCs/>
          <w:sz w:val="32"/>
          <w:lang w:bidi="ar"/>
        </w:rPr>
        <w:t>项目完成成本情况表</w:t>
      </w:r>
    </w:p>
    <w:tbl>
      <w:tblPr>
        <w:tblStyle w:val="15"/>
        <w:tblW w:w="0" w:type="auto"/>
        <w:tblInd w:w="0" w:type="dxa"/>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891"/>
        <w:gridCol w:w="4297"/>
        <w:gridCol w:w="3814"/>
      </w:tblGrid>
      <w:tr w14:paraId="2829C696">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blHeader/>
        </w:trPr>
        <w:tc>
          <w:tcPr>
            <w:tcW w:w="891" w:type="dxa"/>
            <w:shd w:val="clear" w:color="auto" w:fill="auto"/>
            <w:vAlign w:val="center"/>
          </w:tcPr>
          <w:p w14:paraId="7AAEFCC3">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4297" w:type="dxa"/>
            <w:shd w:val="clear" w:color="auto" w:fill="auto"/>
            <w:vAlign w:val="center"/>
          </w:tcPr>
          <w:p w14:paraId="54BAF631">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项目名称</w:t>
            </w:r>
          </w:p>
        </w:tc>
        <w:tc>
          <w:tcPr>
            <w:tcW w:w="3814" w:type="dxa"/>
            <w:shd w:val="clear" w:color="auto" w:fill="auto"/>
            <w:vAlign w:val="center"/>
          </w:tcPr>
          <w:p w14:paraId="2893BA2B">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问题</w:t>
            </w:r>
          </w:p>
        </w:tc>
      </w:tr>
      <w:tr w14:paraId="6470C7F9">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67A5958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4297" w:type="dxa"/>
            <w:shd w:val="clear" w:color="auto" w:fill="auto"/>
            <w:vAlign w:val="center"/>
          </w:tcPr>
          <w:p w14:paraId="607D3AC0">
            <w:pPr>
              <w:spacing w:line="560" w:lineRule="exact"/>
              <w:rPr>
                <w:rFonts w:ascii="仿宋_GB2312" w:hAnsi="宋体" w:eastAsia="仿宋" w:cs="仿宋_GB2312"/>
                <w:sz w:val="32"/>
                <w:lang w:bidi="ar"/>
              </w:rPr>
            </w:pPr>
            <w:r>
              <w:rPr>
                <w:rFonts w:ascii="仿宋_GB2312" w:hAnsi="宋体" w:eastAsia="仿宋" w:cs="仿宋_GB2312"/>
                <w:sz w:val="32"/>
                <w:lang w:bidi="ar"/>
              </w:rPr>
              <w:t>2018年第四批新增地方政府债券资金</w:t>
            </w:r>
          </w:p>
        </w:tc>
        <w:tc>
          <w:tcPr>
            <w:tcW w:w="3814" w:type="dxa"/>
            <w:shd w:val="clear" w:color="auto" w:fill="auto"/>
            <w:vAlign w:val="center"/>
          </w:tcPr>
          <w:p w14:paraId="4E4BC07E">
            <w:pPr>
              <w:spacing w:line="560" w:lineRule="exact"/>
              <w:rPr>
                <w:rFonts w:ascii="仿宋_GB2312" w:hAnsi="宋体" w:eastAsia="仿宋" w:cs="仿宋_GB2312"/>
                <w:sz w:val="32"/>
                <w:lang w:bidi="ar"/>
              </w:rPr>
            </w:pPr>
            <w:r>
              <w:rPr>
                <w:rFonts w:ascii="仿宋_GB2312" w:hAnsi="宋体" w:eastAsia="仿宋" w:cs="仿宋_GB2312"/>
                <w:sz w:val="32"/>
                <w:lang w:bidi="ar"/>
              </w:rPr>
              <w:t>项目预算2162万元，使用159.09万元，完成成本率7.36%</w:t>
            </w:r>
          </w:p>
        </w:tc>
      </w:tr>
      <w:tr w14:paraId="4F0C3D1C">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0E58488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4297" w:type="dxa"/>
            <w:shd w:val="clear" w:color="auto" w:fill="auto"/>
            <w:vAlign w:val="center"/>
          </w:tcPr>
          <w:p w14:paraId="10A179AF">
            <w:pPr>
              <w:spacing w:line="560" w:lineRule="exact"/>
              <w:rPr>
                <w:rFonts w:ascii="仿宋_GB2312" w:hAnsi="宋体" w:eastAsia="仿宋" w:cs="仿宋_GB2312"/>
                <w:sz w:val="32"/>
                <w:lang w:bidi="ar"/>
              </w:rPr>
            </w:pPr>
            <w:r>
              <w:rPr>
                <w:rFonts w:ascii="仿宋_GB2312" w:hAnsi="宋体" w:eastAsia="仿宋" w:cs="仿宋_GB2312"/>
                <w:sz w:val="32"/>
                <w:lang w:bidi="ar"/>
              </w:rPr>
              <w:t>阿底村防洪堤项目</w:t>
            </w:r>
          </w:p>
        </w:tc>
        <w:tc>
          <w:tcPr>
            <w:tcW w:w="3814" w:type="dxa"/>
            <w:shd w:val="clear" w:color="auto" w:fill="auto"/>
            <w:vAlign w:val="center"/>
          </w:tcPr>
          <w:p w14:paraId="451C6B41">
            <w:pPr>
              <w:spacing w:line="560" w:lineRule="exact"/>
              <w:rPr>
                <w:rFonts w:ascii="仿宋_GB2312" w:hAnsi="宋体" w:eastAsia="仿宋" w:cs="仿宋_GB2312"/>
                <w:sz w:val="32"/>
                <w:lang w:bidi="ar"/>
              </w:rPr>
            </w:pPr>
            <w:r>
              <w:rPr>
                <w:rFonts w:ascii="仿宋_GB2312" w:hAnsi="宋体" w:eastAsia="仿宋" w:cs="仿宋_GB2312"/>
                <w:sz w:val="32"/>
                <w:lang w:bidi="ar"/>
              </w:rPr>
              <w:t>预算资金725万元，共计支付589.32万元，完成成本率81.29%</w:t>
            </w:r>
          </w:p>
        </w:tc>
      </w:tr>
      <w:tr w14:paraId="5CDDB7F5">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6C29CA8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4297" w:type="dxa"/>
            <w:shd w:val="clear" w:color="auto" w:fill="auto"/>
            <w:vAlign w:val="center"/>
          </w:tcPr>
          <w:p w14:paraId="60EE7879">
            <w:pPr>
              <w:spacing w:line="560" w:lineRule="exact"/>
              <w:rPr>
                <w:rFonts w:ascii="仿宋_GB2312" w:hAnsi="宋体" w:eastAsia="仿宋" w:cs="仿宋_GB2312"/>
                <w:sz w:val="32"/>
                <w:lang w:bidi="ar"/>
              </w:rPr>
            </w:pPr>
            <w:r>
              <w:rPr>
                <w:rFonts w:ascii="仿宋_GB2312" w:hAnsi="宋体" w:eastAsia="仿宋" w:cs="仿宋_GB2312"/>
                <w:sz w:val="32"/>
                <w:lang w:bidi="ar"/>
              </w:rPr>
              <w:t>松岗柯盘天街景区标识标牌制作和安装项目</w:t>
            </w:r>
          </w:p>
        </w:tc>
        <w:tc>
          <w:tcPr>
            <w:tcW w:w="3814" w:type="dxa"/>
            <w:shd w:val="clear" w:color="auto" w:fill="auto"/>
            <w:vAlign w:val="center"/>
          </w:tcPr>
          <w:p w14:paraId="570BCFF7">
            <w:pPr>
              <w:spacing w:line="560" w:lineRule="exact"/>
              <w:rPr>
                <w:rFonts w:ascii="仿宋_GB2312" w:hAnsi="宋体" w:eastAsia="仿宋" w:cs="仿宋_GB2312"/>
                <w:sz w:val="32"/>
                <w:lang w:bidi="ar"/>
              </w:rPr>
            </w:pPr>
            <w:r>
              <w:rPr>
                <w:rFonts w:ascii="仿宋_GB2312" w:hAnsi="宋体" w:eastAsia="仿宋" w:cs="仿宋_GB2312"/>
                <w:sz w:val="32"/>
                <w:lang w:bidi="ar"/>
              </w:rPr>
              <w:t>预算资金250.00万元，实际支付79.33万元，完成成本率31.73%</w:t>
            </w:r>
          </w:p>
        </w:tc>
      </w:tr>
      <w:tr w14:paraId="50E23809">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0298A3BC">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4297" w:type="dxa"/>
            <w:shd w:val="clear" w:color="auto" w:fill="auto"/>
            <w:vAlign w:val="center"/>
          </w:tcPr>
          <w:p w14:paraId="6AA3C43C">
            <w:pPr>
              <w:spacing w:line="560" w:lineRule="exact"/>
              <w:rPr>
                <w:rFonts w:ascii="仿宋_GB2312" w:hAnsi="宋体" w:eastAsia="仿宋" w:cs="仿宋_GB2312"/>
                <w:sz w:val="32"/>
                <w:lang w:bidi="ar"/>
              </w:rPr>
            </w:pPr>
            <w:r>
              <w:rPr>
                <w:rFonts w:ascii="仿宋_GB2312" w:hAnsi="宋体" w:eastAsia="仿宋" w:cs="仿宋_GB2312"/>
                <w:sz w:val="32"/>
                <w:lang w:bidi="ar"/>
              </w:rPr>
              <w:t>草原防灭火项目</w:t>
            </w:r>
          </w:p>
        </w:tc>
        <w:tc>
          <w:tcPr>
            <w:tcW w:w="3814" w:type="dxa"/>
            <w:shd w:val="clear" w:color="auto" w:fill="auto"/>
            <w:vAlign w:val="center"/>
          </w:tcPr>
          <w:p w14:paraId="61E35BBC">
            <w:pPr>
              <w:spacing w:line="560" w:lineRule="exact"/>
              <w:rPr>
                <w:rFonts w:ascii="仿宋_GB2312" w:hAnsi="宋体" w:eastAsia="仿宋" w:cs="仿宋_GB2312"/>
                <w:sz w:val="32"/>
                <w:lang w:bidi="ar"/>
              </w:rPr>
            </w:pPr>
            <w:r>
              <w:rPr>
                <w:rFonts w:ascii="仿宋_GB2312" w:hAnsi="宋体" w:eastAsia="仿宋" w:cs="仿宋_GB2312"/>
                <w:sz w:val="32"/>
                <w:lang w:bidi="ar"/>
              </w:rPr>
              <w:t>预算资金275万元，支付207.71万元，完成成本率75.53%</w:t>
            </w:r>
          </w:p>
        </w:tc>
      </w:tr>
      <w:tr w14:paraId="2ECD14D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4EA42FE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w:t>
            </w:r>
          </w:p>
        </w:tc>
        <w:tc>
          <w:tcPr>
            <w:tcW w:w="4297" w:type="dxa"/>
            <w:shd w:val="clear" w:color="auto" w:fill="auto"/>
            <w:vAlign w:val="center"/>
          </w:tcPr>
          <w:p w14:paraId="15688FED">
            <w:pPr>
              <w:spacing w:line="560" w:lineRule="exact"/>
              <w:rPr>
                <w:rFonts w:ascii="仿宋_GB2312" w:hAnsi="宋体" w:eastAsia="仿宋" w:cs="仿宋_GB2312"/>
                <w:sz w:val="32"/>
                <w:lang w:bidi="ar"/>
              </w:rPr>
            </w:pPr>
            <w:r>
              <w:rPr>
                <w:rFonts w:ascii="仿宋_GB2312" w:hAnsi="宋体" w:eastAsia="仿宋" w:cs="仿宋_GB2312"/>
                <w:sz w:val="32"/>
                <w:lang w:bidi="ar"/>
              </w:rPr>
              <w:t>地质灾害综合防治体系建设项目</w:t>
            </w:r>
          </w:p>
        </w:tc>
        <w:tc>
          <w:tcPr>
            <w:tcW w:w="3814" w:type="dxa"/>
            <w:shd w:val="clear" w:color="auto" w:fill="auto"/>
            <w:vAlign w:val="center"/>
          </w:tcPr>
          <w:p w14:paraId="322E7A30">
            <w:pPr>
              <w:spacing w:line="560" w:lineRule="exact"/>
              <w:rPr>
                <w:rFonts w:ascii="仿宋_GB2312" w:hAnsi="宋体" w:eastAsia="仿宋" w:cs="仿宋_GB2312"/>
                <w:sz w:val="32"/>
                <w:lang w:bidi="ar"/>
              </w:rPr>
            </w:pPr>
            <w:r>
              <w:rPr>
                <w:rFonts w:ascii="仿宋_GB2312" w:hAnsi="宋体" w:eastAsia="仿宋" w:cs="仿宋_GB2312"/>
                <w:sz w:val="32"/>
                <w:lang w:bidi="ar"/>
              </w:rPr>
              <w:t>2019年资金均未使用</w:t>
            </w:r>
          </w:p>
        </w:tc>
      </w:tr>
      <w:tr w14:paraId="229816A3">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1F078FD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6</w:t>
            </w:r>
          </w:p>
        </w:tc>
        <w:tc>
          <w:tcPr>
            <w:tcW w:w="4297" w:type="dxa"/>
            <w:shd w:val="clear" w:color="auto" w:fill="auto"/>
            <w:vAlign w:val="center"/>
          </w:tcPr>
          <w:p w14:paraId="681A43B3">
            <w:pPr>
              <w:spacing w:line="560" w:lineRule="exact"/>
              <w:rPr>
                <w:rFonts w:ascii="仿宋_GB2312" w:hAnsi="宋体" w:eastAsia="仿宋" w:cs="仿宋_GB2312"/>
                <w:sz w:val="32"/>
                <w:lang w:bidi="ar"/>
              </w:rPr>
            </w:pPr>
            <w:r>
              <w:rPr>
                <w:rFonts w:ascii="仿宋_GB2312" w:hAnsi="宋体" w:eastAsia="仿宋" w:cs="仿宋_GB2312"/>
                <w:sz w:val="32"/>
                <w:lang w:bidi="ar"/>
              </w:rPr>
              <w:t>2019年革命老区转移支付项目</w:t>
            </w:r>
          </w:p>
        </w:tc>
        <w:tc>
          <w:tcPr>
            <w:tcW w:w="3814" w:type="dxa"/>
            <w:shd w:val="clear" w:color="auto" w:fill="auto"/>
            <w:vAlign w:val="center"/>
          </w:tcPr>
          <w:p w14:paraId="746035CC">
            <w:pPr>
              <w:spacing w:line="560" w:lineRule="exact"/>
              <w:rPr>
                <w:rFonts w:ascii="仿宋_GB2312" w:hAnsi="宋体" w:eastAsia="仿宋" w:cs="仿宋_GB2312"/>
                <w:sz w:val="32"/>
                <w:lang w:bidi="ar"/>
              </w:rPr>
            </w:pPr>
            <w:r>
              <w:rPr>
                <w:rFonts w:ascii="仿宋_GB2312" w:hAnsi="宋体" w:eastAsia="仿宋" w:cs="仿宋_GB2312"/>
                <w:sz w:val="32"/>
                <w:lang w:bidi="ar"/>
              </w:rPr>
              <w:t>预算资金600万元，支付完成180.38万元，成本完成率30.06%</w:t>
            </w:r>
          </w:p>
        </w:tc>
      </w:tr>
      <w:tr w14:paraId="0884770E">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5A847F4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w:t>
            </w:r>
          </w:p>
        </w:tc>
        <w:tc>
          <w:tcPr>
            <w:tcW w:w="4297" w:type="dxa"/>
            <w:shd w:val="clear" w:color="auto" w:fill="auto"/>
            <w:vAlign w:val="center"/>
          </w:tcPr>
          <w:p w14:paraId="4E65431B">
            <w:pPr>
              <w:spacing w:line="560" w:lineRule="exact"/>
              <w:rPr>
                <w:rFonts w:ascii="仿宋_GB2312" w:hAnsi="宋体" w:eastAsia="仿宋" w:cs="仿宋_GB2312"/>
                <w:sz w:val="32"/>
                <w:lang w:bidi="ar"/>
              </w:rPr>
            </w:pPr>
            <w:r>
              <w:rPr>
                <w:rFonts w:ascii="仿宋_GB2312" w:hAnsi="宋体" w:eastAsia="仿宋" w:cs="仿宋_GB2312"/>
                <w:sz w:val="32"/>
                <w:lang w:bidi="ar"/>
              </w:rPr>
              <w:t>建档立卡贫困人口基本医疗保险参保项目</w:t>
            </w:r>
          </w:p>
        </w:tc>
        <w:tc>
          <w:tcPr>
            <w:tcW w:w="3814" w:type="dxa"/>
            <w:shd w:val="clear" w:color="auto" w:fill="auto"/>
            <w:vAlign w:val="center"/>
          </w:tcPr>
          <w:p w14:paraId="7E3D765F">
            <w:pPr>
              <w:spacing w:line="560" w:lineRule="exact"/>
              <w:rPr>
                <w:rFonts w:ascii="仿宋_GB2312" w:hAnsi="宋体" w:eastAsia="仿宋" w:cs="仿宋_GB2312"/>
                <w:sz w:val="32"/>
                <w:lang w:bidi="ar"/>
              </w:rPr>
            </w:pPr>
            <w:r>
              <w:rPr>
                <w:rFonts w:ascii="仿宋_GB2312" w:hAnsi="宋体" w:eastAsia="仿宋" w:cs="仿宋_GB2312"/>
                <w:sz w:val="32"/>
                <w:lang w:bidi="ar"/>
              </w:rPr>
              <w:t>预算资金109.67万元，实际使用35.92万元，成本完成率32.75%</w:t>
            </w:r>
          </w:p>
        </w:tc>
      </w:tr>
      <w:tr w14:paraId="69AF2F8C">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5DE8433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w:t>
            </w:r>
          </w:p>
        </w:tc>
        <w:tc>
          <w:tcPr>
            <w:tcW w:w="4297" w:type="dxa"/>
            <w:shd w:val="clear" w:color="auto" w:fill="auto"/>
            <w:vAlign w:val="center"/>
          </w:tcPr>
          <w:p w14:paraId="2F727740">
            <w:pPr>
              <w:spacing w:line="560" w:lineRule="exact"/>
              <w:rPr>
                <w:rFonts w:ascii="仿宋_GB2312" w:hAnsi="宋体" w:eastAsia="仿宋" w:cs="仿宋_GB2312"/>
                <w:sz w:val="32"/>
                <w:lang w:bidi="ar"/>
              </w:rPr>
            </w:pPr>
            <w:r>
              <w:rPr>
                <w:rFonts w:ascii="仿宋_GB2312" w:hAnsi="宋体" w:eastAsia="仿宋" w:cs="仿宋_GB2312"/>
                <w:sz w:val="32"/>
                <w:lang w:bidi="ar"/>
              </w:rPr>
              <w:t>看守拘留所建设项目</w:t>
            </w:r>
          </w:p>
        </w:tc>
        <w:tc>
          <w:tcPr>
            <w:tcW w:w="3814" w:type="dxa"/>
            <w:shd w:val="clear" w:color="auto" w:fill="auto"/>
            <w:vAlign w:val="center"/>
          </w:tcPr>
          <w:p w14:paraId="02CD15CB">
            <w:pPr>
              <w:spacing w:line="560" w:lineRule="exact"/>
              <w:rPr>
                <w:rFonts w:ascii="仿宋_GB2312" w:hAnsi="宋体" w:eastAsia="仿宋" w:cs="仿宋_GB2312"/>
                <w:sz w:val="32"/>
                <w:lang w:bidi="ar"/>
              </w:rPr>
            </w:pPr>
            <w:r>
              <w:rPr>
                <w:rFonts w:ascii="仿宋_GB2312" w:hAnsi="宋体" w:eastAsia="仿宋" w:cs="仿宋_GB2312"/>
                <w:sz w:val="32"/>
                <w:lang w:bidi="ar"/>
              </w:rPr>
              <w:t>预算资金1964.83万元，支付1213.01万元，完成率62.59%</w:t>
            </w:r>
          </w:p>
        </w:tc>
      </w:tr>
      <w:tr w14:paraId="43A6E6F3">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50692A6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w:t>
            </w:r>
          </w:p>
        </w:tc>
        <w:tc>
          <w:tcPr>
            <w:tcW w:w="4297" w:type="dxa"/>
            <w:shd w:val="clear" w:color="auto" w:fill="auto"/>
            <w:vAlign w:val="center"/>
          </w:tcPr>
          <w:p w14:paraId="6E859528">
            <w:pPr>
              <w:spacing w:line="560" w:lineRule="exact"/>
              <w:rPr>
                <w:rFonts w:ascii="仿宋_GB2312" w:hAnsi="宋体" w:eastAsia="仿宋" w:cs="仿宋_GB2312"/>
                <w:sz w:val="32"/>
                <w:lang w:bidi="ar"/>
              </w:rPr>
            </w:pPr>
            <w:r>
              <w:rPr>
                <w:rFonts w:ascii="仿宋_GB2312" w:hAnsi="宋体" w:eastAsia="仿宋" w:cs="仿宋_GB2312"/>
                <w:sz w:val="32"/>
                <w:lang w:bidi="ar"/>
              </w:rPr>
              <w:t>2018-2019年粮食低温储备库建设项目</w:t>
            </w:r>
          </w:p>
        </w:tc>
        <w:tc>
          <w:tcPr>
            <w:tcW w:w="3814" w:type="dxa"/>
            <w:shd w:val="clear" w:color="auto" w:fill="auto"/>
            <w:vAlign w:val="center"/>
          </w:tcPr>
          <w:p w14:paraId="06101D75">
            <w:pPr>
              <w:spacing w:line="560" w:lineRule="exact"/>
              <w:rPr>
                <w:rFonts w:ascii="仿宋_GB2312" w:hAnsi="宋体" w:eastAsia="仿宋" w:cs="仿宋_GB2312"/>
                <w:sz w:val="32"/>
                <w:lang w:bidi="ar"/>
              </w:rPr>
            </w:pPr>
            <w:r>
              <w:rPr>
                <w:rFonts w:ascii="仿宋_GB2312" w:hAnsi="宋体" w:eastAsia="仿宋" w:cs="仿宋_GB2312"/>
                <w:sz w:val="32"/>
                <w:lang w:bidi="ar"/>
              </w:rPr>
              <w:t>预算资金94.50万元，支付0万元，完成率0%</w:t>
            </w:r>
          </w:p>
        </w:tc>
      </w:tr>
      <w:tr w14:paraId="7C922A41">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51BD5C7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w:t>
            </w:r>
          </w:p>
        </w:tc>
        <w:tc>
          <w:tcPr>
            <w:tcW w:w="4297" w:type="dxa"/>
            <w:shd w:val="clear" w:color="auto" w:fill="auto"/>
            <w:vAlign w:val="center"/>
          </w:tcPr>
          <w:p w14:paraId="1B710662">
            <w:pPr>
              <w:spacing w:line="560" w:lineRule="exact"/>
              <w:rPr>
                <w:rFonts w:ascii="仿宋_GB2312" w:hAnsi="宋体" w:eastAsia="仿宋" w:cs="仿宋_GB2312"/>
                <w:sz w:val="32"/>
                <w:lang w:bidi="ar"/>
              </w:rPr>
            </w:pPr>
            <w:r>
              <w:rPr>
                <w:rFonts w:ascii="仿宋_GB2312" w:hAnsi="宋体" w:eastAsia="仿宋" w:cs="仿宋_GB2312"/>
                <w:sz w:val="32"/>
                <w:lang w:bidi="ar"/>
              </w:rPr>
              <w:t>马尔康市城市设计项目</w:t>
            </w:r>
          </w:p>
        </w:tc>
        <w:tc>
          <w:tcPr>
            <w:tcW w:w="3814" w:type="dxa"/>
            <w:shd w:val="clear" w:color="auto" w:fill="auto"/>
            <w:vAlign w:val="center"/>
          </w:tcPr>
          <w:p w14:paraId="4F6885A8">
            <w:pPr>
              <w:spacing w:line="560" w:lineRule="exact"/>
              <w:rPr>
                <w:rFonts w:ascii="仿宋_GB2312" w:hAnsi="宋体" w:eastAsia="仿宋" w:cs="仿宋_GB2312"/>
                <w:sz w:val="32"/>
                <w:lang w:bidi="ar"/>
              </w:rPr>
            </w:pPr>
            <w:r>
              <w:rPr>
                <w:rFonts w:ascii="仿宋_GB2312" w:hAnsi="宋体" w:eastAsia="仿宋" w:cs="仿宋_GB2312"/>
                <w:sz w:val="32"/>
                <w:lang w:bidi="ar"/>
              </w:rPr>
              <w:t>预算资金886万元，共计支付484.80万元，完成成本率54.72%</w:t>
            </w:r>
          </w:p>
        </w:tc>
      </w:tr>
      <w:tr w14:paraId="5FB07DE8">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67BA360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11</w:t>
            </w:r>
          </w:p>
        </w:tc>
        <w:tc>
          <w:tcPr>
            <w:tcW w:w="4297" w:type="dxa"/>
            <w:shd w:val="clear" w:color="auto" w:fill="auto"/>
            <w:vAlign w:val="center"/>
          </w:tcPr>
          <w:p w14:paraId="76F8A0AE">
            <w:pPr>
              <w:spacing w:line="560" w:lineRule="exact"/>
              <w:rPr>
                <w:rFonts w:ascii="仿宋_GB2312" w:hAnsi="宋体" w:eastAsia="仿宋" w:cs="仿宋_GB2312"/>
                <w:sz w:val="32"/>
                <w:lang w:bidi="ar"/>
              </w:rPr>
            </w:pPr>
            <w:r>
              <w:rPr>
                <w:rFonts w:ascii="仿宋_GB2312" w:hAnsi="宋体" w:eastAsia="仿宋" w:cs="仿宋_GB2312"/>
                <w:sz w:val="32"/>
                <w:lang w:bidi="ar"/>
              </w:rPr>
              <w:t>马尔康市第四小学会议室办公设备及学生生活设备项目</w:t>
            </w:r>
          </w:p>
        </w:tc>
        <w:tc>
          <w:tcPr>
            <w:tcW w:w="3814" w:type="dxa"/>
            <w:shd w:val="clear" w:color="auto" w:fill="auto"/>
            <w:vAlign w:val="center"/>
          </w:tcPr>
          <w:p w14:paraId="50CD8456">
            <w:pPr>
              <w:spacing w:line="560" w:lineRule="exact"/>
              <w:rPr>
                <w:rFonts w:ascii="仿宋_GB2312" w:hAnsi="宋体" w:eastAsia="仿宋" w:cs="仿宋_GB2312"/>
                <w:sz w:val="32"/>
                <w:lang w:bidi="ar"/>
              </w:rPr>
            </w:pPr>
            <w:r>
              <w:rPr>
                <w:rFonts w:ascii="仿宋_GB2312" w:hAnsi="宋体" w:eastAsia="仿宋" w:cs="仿宋_GB2312"/>
                <w:sz w:val="32"/>
                <w:lang w:bidi="ar"/>
              </w:rPr>
              <w:t>采购预算38.9300.00元。实际中标价为37.78万元,完成成本率97.04%</w:t>
            </w:r>
          </w:p>
        </w:tc>
      </w:tr>
      <w:tr w14:paraId="7E23A106">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0A6DD6D6">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12</w:t>
            </w:r>
          </w:p>
        </w:tc>
        <w:tc>
          <w:tcPr>
            <w:tcW w:w="4297" w:type="dxa"/>
            <w:shd w:val="clear" w:color="auto" w:fill="auto"/>
            <w:vAlign w:val="center"/>
          </w:tcPr>
          <w:p w14:paraId="6934EEB5">
            <w:pPr>
              <w:spacing w:line="560" w:lineRule="exact"/>
              <w:rPr>
                <w:rFonts w:ascii="仿宋_GB2312" w:hAnsi="宋体" w:eastAsia="仿宋" w:cs="仿宋_GB2312"/>
                <w:sz w:val="32"/>
                <w:lang w:bidi="ar"/>
              </w:rPr>
            </w:pPr>
            <w:r>
              <w:rPr>
                <w:rFonts w:ascii="仿宋_GB2312" w:hAnsi="宋体" w:eastAsia="仿宋" w:cs="仿宋_GB2312"/>
                <w:sz w:val="32"/>
                <w:lang w:bidi="ar"/>
              </w:rPr>
              <w:t>热水系统（太阳能）项目</w:t>
            </w:r>
          </w:p>
        </w:tc>
        <w:tc>
          <w:tcPr>
            <w:tcW w:w="3814" w:type="dxa"/>
            <w:shd w:val="clear" w:color="auto" w:fill="auto"/>
            <w:vAlign w:val="center"/>
          </w:tcPr>
          <w:p w14:paraId="7E371E0A">
            <w:pPr>
              <w:spacing w:line="560" w:lineRule="exact"/>
              <w:rPr>
                <w:rFonts w:ascii="仿宋_GB2312" w:hAnsi="宋体" w:eastAsia="仿宋" w:cs="仿宋_GB2312"/>
                <w:sz w:val="32"/>
                <w:lang w:bidi="ar"/>
              </w:rPr>
            </w:pPr>
            <w:r>
              <w:rPr>
                <w:rFonts w:ascii="仿宋_GB2312" w:hAnsi="宋体" w:eastAsia="仿宋" w:cs="仿宋_GB2312"/>
                <w:sz w:val="32"/>
                <w:lang w:bidi="ar"/>
              </w:rPr>
              <w:t>资金未使用</w:t>
            </w:r>
          </w:p>
        </w:tc>
      </w:tr>
      <w:tr w14:paraId="5835C577">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088EE32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13</w:t>
            </w:r>
          </w:p>
        </w:tc>
        <w:tc>
          <w:tcPr>
            <w:tcW w:w="4297" w:type="dxa"/>
            <w:shd w:val="clear" w:color="auto" w:fill="auto"/>
            <w:vAlign w:val="center"/>
          </w:tcPr>
          <w:p w14:paraId="2681CD3C">
            <w:pPr>
              <w:spacing w:line="560" w:lineRule="exact"/>
              <w:rPr>
                <w:rFonts w:ascii="仿宋_GB2312" w:hAnsi="宋体" w:eastAsia="仿宋" w:cs="仿宋_GB2312"/>
                <w:sz w:val="32"/>
                <w:lang w:bidi="ar"/>
              </w:rPr>
            </w:pPr>
            <w:r>
              <w:rPr>
                <w:rFonts w:ascii="仿宋_GB2312" w:hAnsi="宋体" w:eastAsia="仿宋" w:cs="仿宋_GB2312"/>
                <w:sz w:val="32"/>
                <w:lang w:bidi="ar"/>
              </w:rPr>
              <w:t>中共马尔康市委宣传部马尔康市融媒体中心建设项目</w:t>
            </w:r>
          </w:p>
        </w:tc>
        <w:tc>
          <w:tcPr>
            <w:tcW w:w="3814" w:type="dxa"/>
            <w:shd w:val="clear" w:color="auto" w:fill="auto"/>
            <w:vAlign w:val="center"/>
          </w:tcPr>
          <w:p w14:paraId="64F1553B">
            <w:pPr>
              <w:spacing w:line="560" w:lineRule="exact"/>
              <w:rPr>
                <w:rFonts w:ascii="仿宋_GB2312" w:hAnsi="宋体" w:eastAsia="仿宋" w:cs="仿宋_GB2312"/>
                <w:sz w:val="32"/>
                <w:lang w:bidi="ar"/>
              </w:rPr>
            </w:pPr>
            <w:r>
              <w:rPr>
                <w:rFonts w:ascii="仿宋_GB2312" w:hAnsi="宋体" w:eastAsia="仿宋" w:cs="仿宋_GB2312"/>
                <w:sz w:val="32"/>
                <w:lang w:bidi="ar"/>
              </w:rPr>
              <w:t>预算资金506.49万元，实际支付233.31万元，完成成本率46.06%</w:t>
            </w:r>
          </w:p>
        </w:tc>
      </w:tr>
      <w:tr w14:paraId="0EE2D6EB">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183212D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14</w:t>
            </w:r>
          </w:p>
        </w:tc>
        <w:tc>
          <w:tcPr>
            <w:tcW w:w="4297" w:type="dxa"/>
            <w:shd w:val="clear" w:color="auto" w:fill="auto"/>
            <w:vAlign w:val="center"/>
          </w:tcPr>
          <w:p w14:paraId="5FC3C967">
            <w:pPr>
              <w:spacing w:line="560" w:lineRule="exact"/>
              <w:rPr>
                <w:rFonts w:ascii="仿宋_GB2312" w:hAnsi="宋体" w:eastAsia="仿宋" w:cs="仿宋_GB2312"/>
                <w:sz w:val="32"/>
                <w:lang w:bidi="ar"/>
              </w:rPr>
            </w:pPr>
            <w:r>
              <w:rPr>
                <w:rFonts w:ascii="仿宋_GB2312" w:hAnsi="宋体" w:eastAsia="仿宋" w:cs="仿宋_GB2312"/>
                <w:sz w:val="32"/>
                <w:lang w:bidi="ar"/>
              </w:rPr>
              <w:t>2019年农村教师周转宿舍建设省级补助资金项目</w:t>
            </w:r>
          </w:p>
        </w:tc>
        <w:tc>
          <w:tcPr>
            <w:tcW w:w="3814" w:type="dxa"/>
            <w:shd w:val="clear" w:color="auto" w:fill="auto"/>
            <w:vAlign w:val="center"/>
          </w:tcPr>
          <w:p w14:paraId="698B2969">
            <w:pPr>
              <w:spacing w:line="560" w:lineRule="exact"/>
              <w:rPr>
                <w:rFonts w:ascii="仿宋_GB2312" w:hAnsi="宋体" w:eastAsia="仿宋" w:cs="仿宋_GB2312"/>
                <w:sz w:val="32"/>
                <w:lang w:bidi="ar"/>
              </w:rPr>
            </w:pPr>
            <w:r>
              <w:rPr>
                <w:rFonts w:ascii="仿宋_GB2312" w:hAnsi="宋体" w:eastAsia="仿宋" w:cs="仿宋_GB2312"/>
                <w:sz w:val="32"/>
                <w:lang w:bidi="ar"/>
              </w:rPr>
              <w:t>资金未使用</w:t>
            </w:r>
          </w:p>
        </w:tc>
      </w:tr>
      <w:tr w14:paraId="728092A1">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5AC2AC9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15</w:t>
            </w:r>
          </w:p>
        </w:tc>
        <w:tc>
          <w:tcPr>
            <w:tcW w:w="4297" w:type="dxa"/>
            <w:shd w:val="clear" w:color="auto" w:fill="auto"/>
            <w:vAlign w:val="center"/>
          </w:tcPr>
          <w:p w14:paraId="3009C198">
            <w:pPr>
              <w:spacing w:line="560" w:lineRule="exact"/>
              <w:rPr>
                <w:rFonts w:ascii="仿宋_GB2312" w:hAnsi="宋体" w:eastAsia="仿宋" w:cs="仿宋_GB2312"/>
                <w:sz w:val="32"/>
                <w:lang w:bidi="ar"/>
              </w:rPr>
            </w:pPr>
            <w:r>
              <w:rPr>
                <w:rFonts w:ascii="仿宋_GB2312" w:hAnsi="宋体" w:eastAsia="仿宋" w:cs="仿宋_GB2312"/>
                <w:sz w:val="32"/>
                <w:lang w:bidi="ar"/>
              </w:rPr>
              <w:t>夜景照明工程项目</w:t>
            </w:r>
          </w:p>
        </w:tc>
        <w:tc>
          <w:tcPr>
            <w:tcW w:w="3814" w:type="dxa"/>
            <w:shd w:val="clear" w:color="auto" w:fill="auto"/>
            <w:vAlign w:val="center"/>
          </w:tcPr>
          <w:p w14:paraId="5C115EB3">
            <w:pPr>
              <w:spacing w:line="560" w:lineRule="exact"/>
              <w:rPr>
                <w:rFonts w:ascii="仿宋_GB2312" w:hAnsi="宋体" w:eastAsia="仿宋" w:cs="仿宋_GB2312"/>
                <w:sz w:val="32"/>
                <w:lang w:bidi="ar"/>
              </w:rPr>
            </w:pPr>
            <w:r>
              <w:rPr>
                <w:rFonts w:ascii="仿宋_GB2312" w:hAnsi="宋体" w:eastAsia="仿宋" w:cs="仿宋_GB2312"/>
                <w:sz w:val="32"/>
                <w:lang w:bidi="ar"/>
              </w:rPr>
              <w:t>预算资金4500万元，支付资金4,034.65万元，完成率89.66%</w:t>
            </w:r>
          </w:p>
        </w:tc>
      </w:tr>
    </w:tbl>
    <w:p w14:paraId="625AD807">
      <w:pPr>
        <w:spacing w:line="560" w:lineRule="exact"/>
        <w:jc w:val="center"/>
        <w:rPr>
          <w:rFonts w:ascii="仿宋_GB2312" w:hAnsi="宋体" w:eastAsia="仿宋" w:cs="仿宋_GB2312"/>
          <w:sz w:val="32"/>
          <w:szCs w:val="28"/>
          <w:lang w:bidi="ar"/>
        </w:rPr>
      </w:pPr>
    </w:p>
    <w:p w14:paraId="336D2605">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bCs/>
          <w:sz w:val="32"/>
          <w:szCs w:val="28"/>
          <w:lang w:bidi="ar"/>
        </w:rPr>
        <w:t>项目效益方面：</w:t>
      </w:r>
      <w:r>
        <w:rPr>
          <w:rFonts w:hint="eastAsia" w:ascii="仿宋_GB2312" w:hAnsi="宋体" w:eastAsia="仿宋" w:cs="仿宋_GB2312"/>
          <w:sz w:val="32"/>
          <w:szCs w:val="28"/>
          <w:lang w:bidi="ar"/>
        </w:rPr>
        <w:t>社会效益方面，改善了垃圾清扫保洁、收集、清运所需垃圾车等环卫设施，推动进一步运转高效的环卫车辆，进一步保障了生活垃圾日常清运、转运工作的正常运行；改善了马尔康市汛期河流水位暴涨时严重威胁两岸居民生命财产及农田设施的情况，为保护两岸居民生命财产和解除贫困村发展致富的后顾之忧，改善当地老百姓生活生产条件；进一步提升了全市旅游基础配套设施和乡村旅游接待规模和接待能力，为创建阿坝州全域旅游示范区奠定了坚实的基础；通过对旅游景区沿线道路进行改造，完善了松岗旅游景区道路通行条件，项目建成后可以为游客提供更加标准化的服务，极大地满足了游客的旅游出行需求，同时也提升了松岗旅游景区的整体形象；通过对马尔康市重点地区草原火情进行科学、有效的监控，有效的控制了火情的发生，强有力的保障牧民的人身和财产安全，对草地畜牧业的可持续发展及民族地区社会稳定有着重大意义；地质灾害综合防治体系建设专职检测和灾害避险搬迁安置项目有效的减少了受灾人数，保护了人民群众的生命和财产安全；地质灾害综合防治体系建设专职检测让监测预警区地质灾害防范能力提升，提高了检测区群众生命财产安全保障；马尔康第八届嘉绒锅庄文化旅游节的举办加强了文化交流与融合，切实推动马尔康文化事业的发展与繁荣，进一步扩大马尔康对外影响力，加快推动马尔康“生态旅游文化名城”、“国家全域旅游示范区”、“国际生态文化旅游目的地”建设；持续抓好医疗保障扶贫，确保已建档立卡贫困人口100%参加基本医保，进一步提高了医疗保障水平，降低农村贫困人口医疗费用的总体负担；村民出行安全得到了有效的保障，同时有利于汛期排洪，降低了河道阻塞风险；有效地降低了粮库储存温度，提高了粮食储存品质；积极引进农畜林产品深加工企业，促进农畜林产品转化增值，打造农畜林产品深加工产业集群，形成农畜林产品收购、加工、储存保鲜等一体化的物流模式；程采用“点、线、面”相结合的手法，动静搭配，现代简约，特色突出，展现出层次丰富的夜景景色，突出了马尔康“生态旅游名城”特色，树立了良好旅游品牌形象；</w:t>
      </w:r>
      <w:r>
        <w:rPr>
          <w:rFonts w:hint="eastAsia" w:ascii="仿宋_GB2312" w:hAnsi="宋体" w:eastAsia="仿宋" w:cs="宋体"/>
          <w:sz w:val="32"/>
          <w:szCs w:val="28"/>
          <w:shd w:val="clear" w:color="auto" w:fill="FFFFFF"/>
        </w:rPr>
        <w:t>等。</w:t>
      </w:r>
    </w:p>
    <w:p w14:paraId="1E449C91">
      <w:pPr>
        <w:spacing w:line="560" w:lineRule="exact"/>
        <w:ind w:firstLine="560"/>
        <w:rPr>
          <w:rFonts w:ascii="仿宋_GB2312" w:hAnsi="宋体" w:eastAsia="仿宋" w:cs="宋体"/>
          <w:sz w:val="32"/>
          <w:szCs w:val="28"/>
          <w:shd w:val="clear" w:color="auto" w:fill="FFFFFF"/>
        </w:rPr>
      </w:pPr>
      <w:r>
        <w:rPr>
          <w:rFonts w:hint="eastAsia" w:ascii="仿宋_GB2312" w:hAnsi="宋体" w:eastAsia="仿宋" w:cs="仿宋_GB2312"/>
          <w:sz w:val="32"/>
          <w:szCs w:val="28"/>
          <w:lang w:bidi="ar"/>
        </w:rPr>
        <w:t>经济效益方面，项目实施后将拉动了旅游消费，带动了景区周边农户就业，增加了贫困人口的收入；有利于提高松岗古碉群文化旅游区的旅游承载力和旅游服务能力，改善旅游环境，增强旅游吸引力和市场竞争力，促进旅游经济发展；将有效解决押送过程中存在的嫌疑人逃脱风险及工作人员的生命安全问题，节约了办案经济成本及人力成本；增加了农民参与乡村旅游发展的积极性与主动性，充分把旅游资源优势转化成了经济优势；</w:t>
      </w:r>
      <w:r>
        <w:rPr>
          <w:rFonts w:hint="eastAsia" w:ascii="仿宋_GB2312" w:hAnsi="宋体" w:eastAsia="仿宋" w:cs="宋体"/>
          <w:sz w:val="32"/>
          <w:szCs w:val="28"/>
          <w:shd w:val="clear" w:color="auto" w:fill="FFFFFF"/>
        </w:rPr>
        <w:t>等。</w:t>
      </w:r>
    </w:p>
    <w:p w14:paraId="638E96A2">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宋体"/>
          <w:sz w:val="32"/>
          <w:szCs w:val="28"/>
          <w:shd w:val="clear" w:color="auto" w:fill="FFFFFF"/>
        </w:rPr>
        <w:t>生态效益方面，有效的改善了防火通讯指挥设备成旧，不能及时监测反映火情动态和积极做好组织扑救工作的局面，完善了防火组织机构，保障了草原防火通信的畅通，提高了草原防火突发应变能力和草原扑火的综合能力，有效的控制了草原火灾的发生，保护了生态环境，维护了生态平衡；</w:t>
      </w:r>
    </w:p>
    <w:p w14:paraId="123CC78B">
      <w:pPr>
        <w:spacing w:line="560" w:lineRule="exact"/>
        <w:ind w:firstLine="560"/>
        <w:rPr>
          <w:rFonts w:hint="eastAsia" w:ascii="仿宋_GB2312" w:hAnsi="宋体" w:eastAsia="仿宋" w:cs="宋体"/>
          <w:sz w:val="32"/>
          <w:szCs w:val="28"/>
          <w:shd w:val="clear" w:color="auto" w:fill="FFFFFF"/>
        </w:rPr>
      </w:pPr>
      <w:r>
        <w:rPr>
          <w:rFonts w:hint="eastAsia" w:ascii="仿宋_GB2312" w:hAnsi="宋体" w:eastAsia="仿宋" w:cs="仿宋_GB2312"/>
          <w:sz w:val="32"/>
          <w:szCs w:val="28"/>
          <w:lang w:bidi="ar"/>
        </w:rPr>
        <w:t>可持续性效益方面，</w:t>
      </w:r>
      <w:r>
        <w:rPr>
          <w:rFonts w:hint="eastAsia" w:ascii="仿宋_GB2312" w:hAnsi="宋体" w:eastAsia="仿宋" w:cs="宋体"/>
          <w:sz w:val="32"/>
          <w:szCs w:val="28"/>
          <w:shd w:val="clear" w:color="auto" w:fill="FFFFFF"/>
        </w:rPr>
        <w:t>建成后，长期解决了两岸居民生命财产及农田设施的需求，具有良好的可持续效益；对地质灾害点常年进行检测，检测人保持24小时通讯畅通，按要求对地质灾害隐患点的日常检测和地质灾害隐患巡查和排查，遇强降雨或出现险情时，及时发出报警信号，及时协助受威胁群众转移避险，及时发现和灾害避险搬迁安置项目。灾害避险搬迁以后可以避免群众长期受地质灾害的困扰，搬迁完成后可以让人民群众长期处于相对安全的环境中；粮食低温库项目建成后，确保了马尔康市各级储备粮食的安全储存，为州、市居民、驻军部队和全市广电农牧民的粮食供应提供了保障，产生了可持续性的影响；等。</w:t>
      </w:r>
    </w:p>
    <w:p w14:paraId="67A86FF8">
      <w:pPr>
        <w:spacing w:line="560" w:lineRule="exact"/>
        <w:ind w:firstLine="560"/>
        <w:rPr>
          <w:rFonts w:ascii="仿宋_GB2312" w:hAnsi="宋体" w:eastAsia="仿宋" w:cs="宋体"/>
          <w:sz w:val="32"/>
          <w:szCs w:val="28"/>
          <w:shd w:val="clear" w:color="auto" w:fill="FFFFFF"/>
        </w:rPr>
      </w:pPr>
      <w:r>
        <w:rPr>
          <w:rFonts w:hint="eastAsia" w:ascii="仿宋_GB2312" w:hAnsi="宋体" w:eastAsia="仿宋" w:cs="宋体"/>
          <w:sz w:val="32"/>
          <w:szCs w:val="28"/>
          <w:shd w:val="clear" w:color="auto" w:fill="FFFFFF"/>
        </w:rPr>
        <w:t>部分项目的建成，其效益发挥不理想，如松岗天街配套基础设施建设项目缓解了部分法定节假日自驾游停车供给不足的问题，实现了停车规范有序，改善了景区入口环境问题。但由于受旅游季节影响，及离景区尚有一段距离，日常中该停车场使用效率不高；受限于面积有限、车位数量不多，黄金周节假日停车难问题仍无法解决。该项目于2018年11月25日已竣工验收，但截至绩效评价日，该项目仍在商讨项目管理方，仍未移交管理方，现为无偿使用，如下图：</w:t>
      </w:r>
    </w:p>
    <w:p w14:paraId="023B0764">
      <w:pPr>
        <w:spacing w:line="560" w:lineRule="exact"/>
        <w:ind w:firstLine="560"/>
        <w:jc w:val="center"/>
        <w:rPr>
          <w:rFonts w:eastAsia="仿宋"/>
          <w:sz w:val="32"/>
        </w:rPr>
      </w:pPr>
      <w:r>
        <w:rPr>
          <w:rFonts w:hint="eastAsia" w:ascii="仿宋_GB2312" w:hAnsi="宋体" w:eastAsia="仿宋" w:cs="宋体"/>
          <w:sz w:val="32"/>
          <w:szCs w:val="28"/>
          <w:shd w:val="clear" w:color="auto" w:fill="FFFFFF"/>
        </w:rPr>
        <w:drawing>
          <wp:inline distT="0" distB="0" distL="0" distR="0">
            <wp:extent cx="4797425" cy="2778760"/>
            <wp:effectExtent l="0" t="0" r="3175" b="2540"/>
            <wp:docPr id="125" name="图片 125" descr="QQ截图2020101613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QQ截图202010161349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797425" cy="2778760"/>
                    </a:xfrm>
                    <a:prstGeom prst="rect">
                      <a:avLst/>
                    </a:prstGeom>
                    <a:noFill/>
                    <a:ln>
                      <a:noFill/>
                    </a:ln>
                  </pic:spPr>
                </pic:pic>
              </a:graphicData>
            </a:graphic>
          </wp:inline>
        </w:drawing>
      </w:r>
    </w:p>
    <w:p w14:paraId="48A13949">
      <w:pPr>
        <w:pStyle w:val="40"/>
        <w:spacing w:before="156" w:after="156" w:line="560" w:lineRule="exact"/>
        <w:ind w:firstLine="640"/>
        <w:rPr>
          <w:rFonts w:eastAsia="仿宋"/>
          <w:b w:val="0"/>
          <w:color w:val="auto"/>
          <w:sz w:val="32"/>
        </w:rPr>
      </w:pPr>
      <w:bookmarkStart w:id="35" w:name="_Toc18037"/>
      <w:r>
        <w:rPr>
          <w:rFonts w:hint="eastAsia" w:eastAsia="仿宋"/>
          <w:b w:val="0"/>
          <w:color w:val="auto"/>
          <w:sz w:val="32"/>
        </w:rPr>
        <w:t>2、部门整体支出</w:t>
      </w:r>
      <w:bookmarkEnd w:id="35"/>
    </w:p>
    <w:p w14:paraId="25F7B42B">
      <w:pPr>
        <w:pStyle w:val="40"/>
        <w:spacing w:before="156" w:after="156" w:line="560" w:lineRule="exact"/>
        <w:ind w:firstLine="640"/>
        <w:rPr>
          <w:rFonts w:hint="eastAsia" w:ascii="仿宋_GB2312" w:hAnsi="仿宋_GB2312" w:eastAsia="仿宋" w:cs="仿宋_GB2312"/>
          <w:b w:val="0"/>
          <w:color w:val="auto"/>
          <w:sz w:val="32"/>
          <w:szCs w:val="28"/>
        </w:rPr>
      </w:pPr>
      <w:bookmarkStart w:id="36" w:name="_Toc26619"/>
      <w:r>
        <w:rPr>
          <w:rFonts w:hint="eastAsia" w:ascii="仿宋_GB2312" w:hAnsi="仿宋_GB2312" w:eastAsia="仿宋" w:cs="仿宋_GB2312"/>
          <w:b w:val="0"/>
          <w:color w:val="auto"/>
          <w:sz w:val="32"/>
          <w:szCs w:val="28"/>
        </w:rPr>
        <w:t>——预算编制情况</w:t>
      </w:r>
      <w:bookmarkEnd w:id="36"/>
    </w:p>
    <w:p w14:paraId="6E2BAAB9">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该指标</w:t>
      </w:r>
      <w:r>
        <w:rPr>
          <w:rFonts w:ascii="仿宋_GB2312" w:hAnsi="宋体" w:eastAsia="仿宋" w:cs="仿宋_GB2312"/>
          <w:sz w:val="32"/>
          <w:szCs w:val="28"/>
          <w:lang w:bidi="ar"/>
        </w:rPr>
        <w:t>权重为</w:t>
      </w:r>
      <w:r>
        <w:rPr>
          <w:rFonts w:hint="eastAsia" w:ascii="仿宋_GB2312" w:hAnsi="宋体" w:eastAsia="仿宋" w:cs="仿宋_GB2312"/>
          <w:sz w:val="32"/>
          <w:szCs w:val="28"/>
          <w:lang w:bidi="ar"/>
        </w:rPr>
        <w:t>10.00</w:t>
      </w:r>
      <w:r>
        <w:rPr>
          <w:rFonts w:ascii="仿宋_GB2312" w:hAnsi="宋体" w:eastAsia="仿宋" w:cs="仿宋_GB2312"/>
          <w:sz w:val="32"/>
          <w:szCs w:val="28"/>
          <w:lang w:bidi="ar"/>
        </w:rPr>
        <w:t>分，</w:t>
      </w:r>
      <w:r>
        <w:rPr>
          <w:rFonts w:hint="eastAsia" w:ascii="仿宋_GB2312" w:hAnsi="宋体" w:eastAsia="仿宋" w:cs="仿宋_GB2312"/>
          <w:sz w:val="32"/>
          <w:szCs w:val="28"/>
          <w:lang w:bidi="ar"/>
        </w:rPr>
        <w:t>实得</w:t>
      </w:r>
      <w:r>
        <w:rPr>
          <w:rFonts w:ascii="仿宋_GB2312" w:hAnsi="宋体" w:eastAsia="仿宋" w:cs="仿宋_GB2312"/>
          <w:sz w:val="32"/>
          <w:szCs w:val="28"/>
          <w:lang w:bidi="ar"/>
        </w:rPr>
        <w:t>8.35</w:t>
      </w:r>
      <w:r>
        <w:rPr>
          <w:rFonts w:hint="eastAsia" w:ascii="仿宋_GB2312" w:hAnsi="宋体" w:eastAsia="仿宋" w:cs="仿宋_GB2312"/>
          <w:sz w:val="32"/>
          <w:szCs w:val="28"/>
          <w:lang w:bidi="ar"/>
        </w:rPr>
        <w:t>分，</w:t>
      </w:r>
      <w:r>
        <w:rPr>
          <w:rFonts w:ascii="仿宋_GB2312" w:hAnsi="宋体" w:eastAsia="仿宋" w:cs="仿宋_GB2312"/>
          <w:sz w:val="32"/>
          <w:szCs w:val="28"/>
          <w:lang w:bidi="ar"/>
        </w:rPr>
        <w:t>用于考察</w:t>
      </w:r>
      <w:r>
        <w:rPr>
          <w:rFonts w:hint="eastAsia" w:ascii="仿宋_GB2312" w:hAnsi="宋体" w:eastAsia="仿宋" w:cs="仿宋_GB2312"/>
          <w:sz w:val="32"/>
          <w:szCs w:val="28"/>
          <w:lang w:bidi="ar"/>
        </w:rPr>
        <w:t>部门基础信息更新情况、预算编制准确率、部门预算审查情况、部门整体绩效目标和重点项目绩效目标编制情况。</w:t>
      </w:r>
    </w:p>
    <w:p w14:paraId="5ABA690B">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各分项指标得分和绩效分析如下：</w:t>
      </w:r>
    </w:p>
    <w:p w14:paraId="21472B06">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表12 预算编制类指标得分情况汇总表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3C9FD884">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67B38502">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45BCC611">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61EF81D5">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5CDB8263">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2A4CC471">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tcPr>
          <w:p w14:paraId="1BD907DC">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预算编制</w:t>
            </w:r>
          </w:p>
        </w:tc>
        <w:tc>
          <w:tcPr>
            <w:tcW w:w="1379" w:type="pct"/>
            <w:vAlign w:val="center"/>
          </w:tcPr>
          <w:p w14:paraId="2BEFA29C">
            <w:pPr>
              <w:spacing w:line="560" w:lineRule="exact"/>
              <w:jc w:val="center"/>
              <w:rPr>
                <w:rFonts w:ascii="仿宋_GB2312" w:hAnsi="Arial Narrow" w:eastAsia="仿宋"/>
                <w:sz w:val="32"/>
              </w:rPr>
            </w:pPr>
            <w:r>
              <w:rPr>
                <w:rFonts w:ascii="仿宋_GB2312" w:hAnsi="宋体" w:eastAsia="仿宋"/>
                <w:sz w:val="32"/>
              </w:rPr>
              <w:t>10.00</w:t>
            </w:r>
          </w:p>
        </w:tc>
        <w:tc>
          <w:tcPr>
            <w:tcW w:w="1346" w:type="pct"/>
            <w:vAlign w:val="center"/>
          </w:tcPr>
          <w:p w14:paraId="56326B4B">
            <w:pPr>
              <w:spacing w:line="560" w:lineRule="exact"/>
              <w:jc w:val="center"/>
              <w:rPr>
                <w:rFonts w:ascii="仿宋_GB2312" w:hAnsi="Arial Narrow" w:eastAsia="仿宋"/>
                <w:sz w:val="32"/>
              </w:rPr>
            </w:pPr>
            <w:r>
              <w:rPr>
                <w:rFonts w:ascii="仿宋_GB2312" w:hAnsi="Arial Narrow" w:eastAsia="仿宋"/>
                <w:sz w:val="32"/>
              </w:rPr>
              <w:t>8.35</w:t>
            </w:r>
          </w:p>
        </w:tc>
        <w:tc>
          <w:tcPr>
            <w:tcW w:w="1370" w:type="pct"/>
            <w:vAlign w:val="center"/>
          </w:tcPr>
          <w:p w14:paraId="3B74BAC7">
            <w:pPr>
              <w:spacing w:line="560" w:lineRule="exact"/>
              <w:jc w:val="center"/>
              <w:rPr>
                <w:rFonts w:ascii="仿宋_GB2312" w:hAnsi="Arial Narrow" w:eastAsia="仿宋"/>
                <w:sz w:val="32"/>
              </w:rPr>
            </w:pPr>
            <w:r>
              <w:rPr>
                <w:rFonts w:ascii="仿宋_GB2312" w:hAnsi="宋体" w:eastAsia="仿宋"/>
                <w:sz w:val="32"/>
              </w:rPr>
              <w:t>83.45%</w:t>
            </w:r>
          </w:p>
        </w:tc>
      </w:tr>
    </w:tbl>
    <w:p w14:paraId="2BAD668E">
      <w:pPr>
        <w:spacing w:line="560" w:lineRule="exact"/>
        <w:ind w:firstLine="562"/>
        <w:rPr>
          <w:rFonts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报送时效方面：</w:t>
      </w:r>
      <w:r>
        <w:rPr>
          <w:rFonts w:hint="eastAsia" w:ascii="仿宋_GB2312" w:hAnsi="宋体" w:eastAsia="仿宋" w:cs="宋体"/>
          <w:sz w:val="32"/>
          <w:szCs w:val="28"/>
          <w:shd w:val="clear" w:color="auto" w:fill="FFFFFF"/>
        </w:rPr>
        <w:t>被评价的13个部门，根据马尔康市财政局下发的市级部门预算编制通知，要求2018年11月14日报送基础库、项目库预算。</w:t>
      </w:r>
    </w:p>
    <w:p w14:paraId="3EFE3C75">
      <w:pPr>
        <w:spacing w:line="560" w:lineRule="exact"/>
        <w:rPr>
          <w:rFonts w:hint="eastAsia" w:ascii="仿宋_GB2312" w:hAnsi="宋体" w:eastAsia="仿宋" w:cs="宋体"/>
          <w:sz w:val="32"/>
          <w:szCs w:val="28"/>
          <w:shd w:val="clear" w:color="auto" w:fill="FFFFFF"/>
        </w:rPr>
      </w:pPr>
      <w:r>
        <w:rPr>
          <w:rFonts w:hint="eastAsia" w:ascii="仿宋_GB2312" w:hAnsi="宋体" w:eastAsia="仿宋" w:cs="宋体"/>
          <w:sz w:val="32"/>
          <w:szCs w:val="28"/>
          <w:shd w:val="clear" w:color="auto" w:fill="FFFFFF"/>
        </w:rPr>
        <w:t>被评价单位2019年部门预算均统一使用部门预算管理系统软件按时编制完成。</w:t>
      </w:r>
    </w:p>
    <w:p w14:paraId="09886D42">
      <w:pPr>
        <w:spacing w:line="560" w:lineRule="exact"/>
        <w:ind w:firstLine="562"/>
        <w:rPr>
          <w:rFonts w:hint="eastAsia"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编制质量方面：</w:t>
      </w:r>
      <w:r>
        <w:rPr>
          <w:rFonts w:hint="eastAsia" w:ascii="仿宋_GB2312" w:hAnsi="宋体" w:eastAsia="仿宋" w:cs="宋体"/>
          <w:sz w:val="32"/>
          <w:szCs w:val="28"/>
          <w:shd w:val="clear" w:color="auto" w:fill="FFFFFF"/>
        </w:rPr>
        <w:t xml:space="preserve"> 201</w:t>
      </w:r>
      <w:r>
        <w:rPr>
          <w:rFonts w:ascii="仿宋_GB2312" w:hAnsi="宋体" w:eastAsia="仿宋" w:cs="宋体"/>
          <w:sz w:val="32"/>
          <w:szCs w:val="28"/>
          <w:shd w:val="clear" w:color="auto" w:fill="FFFFFF"/>
        </w:rPr>
        <w:t>9</w:t>
      </w:r>
      <w:r>
        <w:rPr>
          <w:rFonts w:hint="eastAsia" w:ascii="仿宋_GB2312" w:hAnsi="宋体" w:eastAsia="仿宋" w:cs="宋体"/>
          <w:sz w:val="32"/>
          <w:szCs w:val="28"/>
          <w:shd w:val="clear" w:color="auto" w:fill="FFFFFF"/>
        </w:rPr>
        <w:t>年预算编制准确率如下表：</w:t>
      </w:r>
    </w:p>
    <w:p w14:paraId="27229E91">
      <w:pPr>
        <w:spacing w:line="560" w:lineRule="exact"/>
        <w:ind w:firstLine="482"/>
        <w:jc w:val="center"/>
        <w:rPr>
          <w:rFonts w:ascii="仿宋_GB2312" w:hAnsi="宋体" w:eastAsia="仿宋" w:cs="宋体"/>
          <w:sz w:val="32"/>
          <w:szCs w:val="28"/>
          <w:shd w:val="clear" w:color="auto" w:fill="FFFFFF"/>
        </w:rPr>
      </w:pPr>
      <w:r>
        <w:rPr>
          <w:rFonts w:hint="eastAsia" w:ascii="仿宋_GB2312" w:hAnsi="宋体" w:eastAsia="仿宋" w:cs="仿宋_GB2312"/>
          <w:bCs/>
          <w:sz w:val="32"/>
          <w:lang w:bidi="ar"/>
        </w:rPr>
        <w:t>表13 2018年预算编制准确率情况表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12"/>
        <w:gridCol w:w="6607"/>
      </w:tblGrid>
      <w:tr w14:paraId="68CD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79" w:type="dxa"/>
            <w:shd w:val="clear" w:color="auto" w:fill="BEBEBE"/>
            <w:vAlign w:val="center"/>
          </w:tcPr>
          <w:p w14:paraId="37C58F05">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1712" w:type="dxa"/>
            <w:shd w:val="clear" w:color="auto" w:fill="BEBEBE"/>
            <w:vAlign w:val="center"/>
          </w:tcPr>
          <w:p w14:paraId="2584E019">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部门</w:t>
            </w:r>
          </w:p>
        </w:tc>
        <w:tc>
          <w:tcPr>
            <w:tcW w:w="6607" w:type="dxa"/>
            <w:shd w:val="clear" w:color="auto" w:fill="BEBEBE"/>
            <w:vAlign w:val="center"/>
          </w:tcPr>
          <w:p w14:paraId="68DD4792">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2018年预算编制准确率</w:t>
            </w:r>
          </w:p>
        </w:tc>
      </w:tr>
      <w:tr w14:paraId="410F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31CEACA2">
            <w:pPr>
              <w:spacing w:line="560" w:lineRule="exact"/>
              <w:rPr>
                <w:rFonts w:ascii="仿宋_GB2312" w:hAnsi="宋体" w:eastAsia="仿宋"/>
                <w:bCs/>
                <w:sz w:val="32"/>
              </w:rPr>
            </w:pPr>
            <w:r>
              <w:rPr>
                <w:rFonts w:ascii="仿宋_GB2312" w:hAnsi="宋体" w:eastAsia="仿宋"/>
                <w:bCs/>
                <w:sz w:val="32"/>
              </w:rPr>
              <w:t>序号</w:t>
            </w:r>
          </w:p>
        </w:tc>
        <w:tc>
          <w:tcPr>
            <w:tcW w:w="1712" w:type="dxa"/>
            <w:shd w:val="clear" w:color="auto" w:fill="auto"/>
            <w:vAlign w:val="center"/>
          </w:tcPr>
          <w:p w14:paraId="2180A72D">
            <w:pPr>
              <w:spacing w:line="560" w:lineRule="exact"/>
              <w:ind w:firstLine="422"/>
              <w:jc w:val="center"/>
              <w:rPr>
                <w:rFonts w:ascii="仿宋_GB2312" w:hAnsi="宋体" w:eastAsia="仿宋"/>
                <w:bCs/>
                <w:sz w:val="32"/>
              </w:rPr>
            </w:pPr>
            <w:r>
              <w:rPr>
                <w:rFonts w:ascii="仿宋_GB2312" w:hAnsi="宋体" w:eastAsia="仿宋"/>
                <w:bCs/>
                <w:sz w:val="32"/>
              </w:rPr>
              <w:t>部门</w:t>
            </w:r>
          </w:p>
        </w:tc>
        <w:tc>
          <w:tcPr>
            <w:tcW w:w="6607" w:type="dxa"/>
            <w:shd w:val="clear" w:color="auto" w:fill="auto"/>
            <w:vAlign w:val="center"/>
          </w:tcPr>
          <w:p w14:paraId="162DEE46">
            <w:pPr>
              <w:spacing w:line="560" w:lineRule="exact"/>
              <w:ind w:firstLine="422"/>
              <w:jc w:val="center"/>
              <w:rPr>
                <w:rFonts w:ascii="仿宋_GB2312" w:hAnsi="宋体" w:eastAsia="仿宋"/>
                <w:bCs/>
                <w:sz w:val="32"/>
              </w:rPr>
            </w:pPr>
            <w:r>
              <w:rPr>
                <w:rFonts w:ascii="仿宋_GB2312" w:hAnsi="宋体" w:eastAsia="仿宋"/>
                <w:bCs/>
                <w:sz w:val="32"/>
              </w:rPr>
              <w:t>2019年预算编制准确率</w:t>
            </w:r>
          </w:p>
        </w:tc>
      </w:tr>
      <w:tr w14:paraId="7359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00E446D0">
            <w:pPr>
              <w:spacing w:line="560" w:lineRule="exact"/>
              <w:jc w:val="center"/>
              <w:rPr>
                <w:rFonts w:ascii="仿宋_GB2312" w:hAnsi="宋体" w:eastAsia="仿宋"/>
                <w:sz w:val="32"/>
              </w:rPr>
            </w:pPr>
            <w:r>
              <w:rPr>
                <w:rFonts w:ascii="仿宋_GB2312" w:hAnsi="宋体" w:eastAsia="仿宋"/>
                <w:sz w:val="32"/>
              </w:rPr>
              <w:t>1</w:t>
            </w:r>
          </w:p>
        </w:tc>
        <w:tc>
          <w:tcPr>
            <w:tcW w:w="1712" w:type="dxa"/>
            <w:shd w:val="clear" w:color="auto" w:fill="auto"/>
            <w:vAlign w:val="center"/>
          </w:tcPr>
          <w:p w14:paraId="24A9EC44">
            <w:pPr>
              <w:spacing w:line="560" w:lineRule="exact"/>
              <w:rPr>
                <w:rFonts w:ascii="仿宋_GB2312" w:hAnsi="宋体" w:eastAsia="仿宋"/>
                <w:sz w:val="32"/>
              </w:rPr>
            </w:pPr>
            <w:r>
              <w:rPr>
                <w:rFonts w:ascii="仿宋_GB2312" w:hAnsi="宋体" w:eastAsia="仿宋"/>
                <w:sz w:val="32"/>
              </w:rPr>
              <w:t>马尔康市融媒体中心</w:t>
            </w:r>
          </w:p>
        </w:tc>
        <w:tc>
          <w:tcPr>
            <w:tcW w:w="6607" w:type="dxa"/>
            <w:shd w:val="clear" w:color="auto" w:fill="auto"/>
            <w:vAlign w:val="center"/>
          </w:tcPr>
          <w:p w14:paraId="52CEEAAE">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2019年预算编制准确率=（预算资金总来源-中期评估调整取消资金-预算结余注销）÷预算资金总来源×指标分值=（2,658,655.51-34,664.24-64.31）/ 2,658,655.51 =98.69%。</w:t>
            </w:r>
          </w:p>
        </w:tc>
      </w:tr>
      <w:tr w14:paraId="77A3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577741E3">
            <w:pPr>
              <w:spacing w:line="560" w:lineRule="exact"/>
              <w:jc w:val="center"/>
              <w:rPr>
                <w:rFonts w:ascii="仿宋_GB2312" w:hAnsi="宋体" w:eastAsia="仿宋"/>
                <w:sz w:val="32"/>
              </w:rPr>
            </w:pPr>
            <w:r>
              <w:rPr>
                <w:rFonts w:ascii="仿宋_GB2312" w:hAnsi="宋体" w:eastAsia="仿宋"/>
                <w:sz w:val="32"/>
              </w:rPr>
              <w:t>2</w:t>
            </w:r>
          </w:p>
        </w:tc>
        <w:tc>
          <w:tcPr>
            <w:tcW w:w="1712" w:type="dxa"/>
            <w:shd w:val="clear" w:color="auto" w:fill="auto"/>
            <w:vAlign w:val="center"/>
          </w:tcPr>
          <w:p w14:paraId="7062A8F2">
            <w:pPr>
              <w:spacing w:line="560" w:lineRule="exact"/>
              <w:rPr>
                <w:rFonts w:ascii="仿宋_GB2312" w:hAnsi="宋体" w:eastAsia="仿宋"/>
                <w:sz w:val="32"/>
              </w:rPr>
            </w:pPr>
            <w:r>
              <w:rPr>
                <w:rFonts w:ascii="仿宋_GB2312" w:hAnsi="宋体" w:eastAsia="仿宋"/>
                <w:sz w:val="32"/>
              </w:rPr>
              <w:t>马尔康市生态环境局</w:t>
            </w:r>
          </w:p>
        </w:tc>
        <w:tc>
          <w:tcPr>
            <w:tcW w:w="6607" w:type="dxa"/>
            <w:shd w:val="clear" w:color="auto" w:fill="auto"/>
            <w:vAlign w:val="center"/>
          </w:tcPr>
          <w:p w14:paraId="0FE687D4">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2019年预算编制准确率=（预算资金总来源-中期评估调整取消资金-预算结余注销资金）÷预算资金总来源×指标分值=（22,477,170.33-392,514.00-80,000.00）/ 22,477,170.33=97.90%。</w:t>
            </w:r>
          </w:p>
        </w:tc>
      </w:tr>
      <w:tr w14:paraId="43A2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60185683">
            <w:pPr>
              <w:spacing w:line="560" w:lineRule="exact"/>
              <w:jc w:val="center"/>
              <w:rPr>
                <w:rFonts w:ascii="仿宋_GB2312" w:hAnsi="宋体" w:eastAsia="仿宋"/>
                <w:sz w:val="32"/>
              </w:rPr>
            </w:pPr>
            <w:r>
              <w:rPr>
                <w:rFonts w:ascii="仿宋_GB2312" w:hAnsi="宋体" w:eastAsia="仿宋"/>
                <w:sz w:val="32"/>
              </w:rPr>
              <w:t>3</w:t>
            </w:r>
          </w:p>
        </w:tc>
        <w:tc>
          <w:tcPr>
            <w:tcW w:w="1712" w:type="dxa"/>
            <w:shd w:val="clear" w:color="auto" w:fill="auto"/>
            <w:vAlign w:val="center"/>
          </w:tcPr>
          <w:p w14:paraId="08F82510">
            <w:pPr>
              <w:spacing w:line="560" w:lineRule="exact"/>
              <w:rPr>
                <w:rFonts w:ascii="仿宋_GB2312" w:hAnsi="宋体" w:eastAsia="仿宋"/>
                <w:sz w:val="32"/>
              </w:rPr>
            </w:pPr>
            <w:r>
              <w:rPr>
                <w:rFonts w:ascii="仿宋_GB2312" w:hAnsi="宋体" w:eastAsia="仿宋"/>
                <w:sz w:val="32"/>
              </w:rPr>
              <w:t>马尔康市公共服务中心</w:t>
            </w:r>
          </w:p>
        </w:tc>
        <w:tc>
          <w:tcPr>
            <w:tcW w:w="6607" w:type="dxa"/>
            <w:shd w:val="clear" w:color="auto" w:fill="auto"/>
            <w:vAlign w:val="center"/>
          </w:tcPr>
          <w:p w14:paraId="7CC31C14">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2019年预算编制准确率=（预算资金总来源-中期评估调整取消资金-预算结余注销资金）÷预算资金总来源×指标分值=（6,757,353.68 -42,419.60）/ 6,757,353.68=99.37%。</w:t>
            </w:r>
          </w:p>
        </w:tc>
      </w:tr>
      <w:tr w14:paraId="4288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102D36EA">
            <w:pPr>
              <w:spacing w:line="560" w:lineRule="exact"/>
              <w:jc w:val="center"/>
              <w:rPr>
                <w:rFonts w:ascii="仿宋_GB2312" w:hAnsi="宋体" w:eastAsia="仿宋"/>
                <w:sz w:val="32"/>
              </w:rPr>
            </w:pPr>
            <w:r>
              <w:rPr>
                <w:rFonts w:ascii="仿宋_GB2312" w:hAnsi="宋体" w:eastAsia="仿宋"/>
                <w:sz w:val="32"/>
              </w:rPr>
              <w:t>4</w:t>
            </w:r>
          </w:p>
        </w:tc>
        <w:tc>
          <w:tcPr>
            <w:tcW w:w="1712" w:type="dxa"/>
            <w:shd w:val="clear" w:color="auto" w:fill="auto"/>
            <w:vAlign w:val="center"/>
          </w:tcPr>
          <w:p w14:paraId="28D7EC77">
            <w:pPr>
              <w:spacing w:line="560" w:lineRule="exact"/>
              <w:rPr>
                <w:rFonts w:ascii="仿宋_GB2312" w:hAnsi="宋体" w:eastAsia="仿宋"/>
                <w:sz w:val="32"/>
              </w:rPr>
            </w:pPr>
            <w:r>
              <w:rPr>
                <w:rFonts w:ascii="仿宋_GB2312" w:hAnsi="宋体" w:eastAsia="仿宋"/>
                <w:sz w:val="32"/>
              </w:rPr>
              <w:t>马尔康市住房和城乡建设局</w:t>
            </w:r>
          </w:p>
        </w:tc>
        <w:tc>
          <w:tcPr>
            <w:tcW w:w="6607" w:type="dxa"/>
            <w:shd w:val="clear" w:color="auto" w:fill="auto"/>
            <w:vAlign w:val="center"/>
          </w:tcPr>
          <w:p w14:paraId="0B0950FB">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2019年预算编制准确率=（预算资金总来源-中期评估调整取消资金-预算结余注销资金）÷预算资金总来源×指标分值=(15,623.73-5,287.22-3,225.91)/15,623.73=45.51%。</w:t>
            </w:r>
          </w:p>
        </w:tc>
      </w:tr>
      <w:tr w14:paraId="25CA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34FF12A8">
            <w:pPr>
              <w:spacing w:line="560" w:lineRule="exact"/>
              <w:jc w:val="center"/>
              <w:rPr>
                <w:rFonts w:ascii="仿宋_GB2312" w:hAnsi="宋体" w:eastAsia="仿宋"/>
                <w:sz w:val="32"/>
              </w:rPr>
            </w:pPr>
            <w:r>
              <w:rPr>
                <w:rFonts w:ascii="仿宋_GB2312" w:hAnsi="宋体" w:eastAsia="仿宋"/>
                <w:sz w:val="32"/>
              </w:rPr>
              <w:t>5</w:t>
            </w:r>
          </w:p>
        </w:tc>
        <w:tc>
          <w:tcPr>
            <w:tcW w:w="1712" w:type="dxa"/>
            <w:shd w:val="clear" w:color="auto" w:fill="auto"/>
            <w:vAlign w:val="center"/>
          </w:tcPr>
          <w:p w14:paraId="746B6B2F">
            <w:pPr>
              <w:spacing w:line="560" w:lineRule="exact"/>
              <w:rPr>
                <w:rFonts w:ascii="仿宋_GB2312" w:hAnsi="宋体" w:eastAsia="仿宋"/>
                <w:sz w:val="32"/>
                <w:highlight w:val="yellow"/>
              </w:rPr>
            </w:pPr>
            <w:r>
              <w:rPr>
                <w:rFonts w:ascii="仿宋_GB2312" w:hAnsi="宋体" w:eastAsia="仿宋"/>
                <w:sz w:val="32"/>
              </w:rPr>
              <w:t>马尔康市松岗镇人民政府</w:t>
            </w:r>
          </w:p>
        </w:tc>
        <w:tc>
          <w:tcPr>
            <w:tcW w:w="6607" w:type="dxa"/>
            <w:shd w:val="clear" w:color="auto" w:fill="auto"/>
            <w:vAlign w:val="center"/>
          </w:tcPr>
          <w:p w14:paraId="11BDD660">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2019年预算编制准确率=（预算资金总来源-中期评估调整取消资金-预算结余注销）÷预算资金总来源×指标分值=(2,924.86-356.58-306.51)/2,924.86=77.33%。</w:t>
            </w:r>
          </w:p>
        </w:tc>
      </w:tr>
      <w:tr w14:paraId="54CC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1BE0E51F">
            <w:pPr>
              <w:spacing w:line="560" w:lineRule="exact"/>
              <w:jc w:val="center"/>
              <w:rPr>
                <w:rFonts w:ascii="仿宋_GB2312" w:hAnsi="宋体" w:eastAsia="仿宋"/>
                <w:sz w:val="32"/>
              </w:rPr>
            </w:pPr>
            <w:r>
              <w:rPr>
                <w:rFonts w:ascii="仿宋_GB2312" w:hAnsi="宋体" w:eastAsia="仿宋"/>
                <w:sz w:val="32"/>
              </w:rPr>
              <w:t>6</w:t>
            </w:r>
          </w:p>
        </w:tc>
        <w:tc>
          <w:tcPr>
            <w:tcW w:w="1712" w:type="dxa"/>
            <w:shd w:val="clear" w:color="auto" w:fill="auto"/>
            <w:vAlign w:val="center"/>
          </w:tcPr>
          <w:p w14:paraId="3D16BCE0">
            <w:pPr>
              <w:spacing w:line="560" w:lineRule="exact"/>
              <w:rPr>
                <w:rFonts w:ascii="仿宋_GB2312" w:hAnsi="宋体" w:eastAsia="仿宋"/>
                <w:sz w:val="32"/>
              </w:rPr>
            </w:pPr>
            <w:r>
              <w:rPr>
                <w:rFonts w:ascii="仿宋_GB2312" w:hAnsi="宋体" w:eastAsia="仿宋"/>
                <w:sz w:val="32"/>
              </w:rPr>
              <w:t>马尔康市应急管理局</w:t>
            </w:r>
          </w:p>
        </w:tc>
        <w:tc>
          <w:tcPr>
            <w:tcW w:w="6607" w:type="dxa"/>
            <w:shd w:val="clear" w:color="auto" w:fill="auto"/>
            <w:vAlign w:val="center"/>
          </w:tcPr>
          <w:p w14:paraId="3BB75AF5">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2019年预算编制准确率=（预算资金总来源-中期评估调整取消资金-预算结余注销资金）÷预算资金总来源×指标分值=(430.05-5.64)/430.05=98.69%。</w:t>
            </w:r>
          </w:p>
        </w:tc>
      </w:tr>
      <w:tr w14:paraId="59E0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60780D35">
            <w:pPr>
              <w:spacing w:line="560" w:lineRule="exact"/>
              <w:jc w:val="center"/>
              <w:rPr>
                <w:rFonts w:ascii="仿宋_GB2312" w:hAnsi="宋体" w:eastAsia="仿宋"/>
                <w:sz w:val="32"/>
              </w:rPr>
            </w:pPr>
            <w:r>
              <w:rPr>
                <w:rFonts w:ascii="仿宋_GB2312" w:hAnsi="宋体" w:eastAsia="仿宋"/>
                <w:sz w:val="32"/>
              </w:rPr>
              <w:t>7</w:t>
            </w:r>
          </w:p>
        </w:tc>
        <w:tc>
          <w:tcPr>
            <w:tcW w:w="1712" w:type="dxa"/>
            <w:shd w:val="clear" w:color="auto" w:fill="auto"/>
            <w:vAlign w:val="center"/>
          </w:tcPr>
          <w:p w14:paraId="014BD58C">
            <w:pPr>
              <w:spacing w:line="560" w:lineRule="exact"/>
              <w:rPr>
                <w:rFonts w:ascii="仿宋_GB2312" w:hAnsi="宋体" w:eastAsia="仿宋"/>
                <w:sz w:val="32"/>
              </w:rPr>
            </w:pPr>
            <w:r>
              <w:rPr>
                <w:rFonts w:ascii="仿宋_GB2312" w:hAnsi="宋体" w:eastAsia="仿宋"/>
                <w:sz w:val="32"/>
              </w:rPr>
              <w:t>马尔康市经济商务和信息化局</w:t>
            </w:r>
          </w:p>
        </w:tc>
        <w:tc>
          <w:tcPr>
            <w:tcW w:w="6607" w:type="dxa"/>
            <w:shd w:val="clear" w:color="auto" w:fill="auto"/>
            <w:vAlign w:val="center"/>
          </w:tcPr>
          <w:p w14:paraId="79EE9FF5">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2019年预算编制准确率=（预算资金总来源-中期评估调整取消资金-预算结余注销资金）÷预算资金总来源×指标分值==(72,507,048.13-10,160,306.91-10,060,699.19)/72,507,048.13 =72.11%。</w:t>
            </w:r>
          </w:p>
        </w:tc>
      </w:tr>
      <w:tr w14:paraId="4D55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6A8DCF69">
            <w:pPr>
              <w:spacing w:line="560" w:lineRule="exact"/>
              <w:jc w:val="center"/>
              <w:rPr>
                <w:rFonts w:ascii="仿宋_GB2312" w:hAnsi="宋体" w:eastAsia="仿宋"/>
                <w:sz w:val="32"/>
              </w:rPr>
            </w:pPr>
            <w:r>
              <w:rPr>
                <w:rFonts w:ascii="仿宋_GB2312" w:hAnsi="宋体" w:eastAsia="仿宋"/>
                <w:sz w:val="32"/>
              </w:rPr>
              <w:t>8</w:t>
            </w:r>
          </w:p>
        </w:tc>
        <w:tc>
          <w:tcPr>
            <w:tcW w:w="1712" w:type="dxa"/>
            <w:shd w:val="clear" w:color="auto" w:fill="auto"/>
            <w:vAlign w:val="center"/>
          </w:tcPr>
          <w:p w14:paraId="48AB34FA">
            <w:pPr>
              <w:spacing w:line="560" w:lineRule="exact"/>
              <w:rPr>
                <w:rFonts w:ascii="仿宋_GB2312" w:hAnsi="宋体" w:eastAsia="仿宋"/>
                <w:sz w:val="32"/>
              </w:rPr>
            </w:pPr>
            <w:r>
              <w:rPr>
                <w:rFonts w:ascii="仿宋_GB2312" w:hAnsi="宋体" w:eastAsia="仿宋"/>
                <w:sz w:val="32"/>
              </w:rPr>
              <w:t>马尔康市自然资源局</w:t>
            </w:r>
          </w:p>
        </w:tc>
        <w:tc>
          <w:tcPr>
            <w:tcW w:w="6607" w:type="dxa"/>
            <w:shd w:val="clear" w:color="auto" w:fill="auto"/>
            <w:vAlign w:val="center"/>
          </w:tcPr>
          <w:p w14:paraId="7BFD0E3D">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2019年预算编制准确率=（预算资金总来源-中期评估调整取消资金-预算结余注销资金）÷预算资金总来源*指标分值=(29,078,569.17-347,672.88-237,550)/29,078,569.17 =97.99%。</w:t>
            </w:r>
          </w:p>
        </w:tc>
      </w:tr>
      <w:tr w14:paraId="67B7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3D640ED1">
            <w:pPr>
              <w:spacing w:line="560" w:lineRule="exact"/>
              <w:jc w:val="center"/>
              <w:rPr>
                <w:rFonts w:ascii="仿宋_GB2312" w:hAnsi="宋体" w:eastAsia="仿宋"/>
                <w:sz w:val="32"/>
              </w:rPr>
            </w:pPr>
            <w:r>
              <w:rPr>
                <w:rFonts w:ascii="仿宋_GB2312" w:hAnsi="宋体" w:eastAsia="仿宋"/>
                <w:sz w:val="32"/>
              </w:rPr>
              <w:t>9</w:t>
            </w:r>
          </w:p>
        </w:tc>
        <w:tc>
          <w:tcPr>
            <w:tcW w:w="1712" w:type="dxa"/>
            <w:shd w:val="clear" w:color="auto" w:fill="auto"/>
            <w:vAlign w:val="center"/>
          </w:tcPr>
          <w:p w14:paraId="3D5A8EDF">
            <w:pPr>
              <w:spacing w:line="560" w:lineRule="exact"/>
              <w:rPr>
                <w:rFonts w:ascii="仿宋_GB2312" w:hAnsi="宋体" w:eastAsia="仿宋"/>
                <w:sz w:val="32"/>
              </w:rPr>
            </w:pPr>
            <w:r>
              <w:rPr>
                <w:rFonts w:ascii="仿宋_GB2312" w:hAnsi="宋体" w:eastAsia="仿宋"/>
                <w:sz w:val="32"/>
              </w:rPr>
              <w:t>马尔康市人民法院</w:t>
            </w:r>
          </w:p>
        </w:tc>
        <w:tc>
          <w:tcPr>
            <w:tcW w:w="6607" w:type="dxa"/>
            <w:shd w:val="clear" w:color="auto" w:fill="auto"/>
            <w:vAlign w:val="center"/>
          </w:tcPr>
          <w:p w14:paraId="0BE3B9F8">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2019年预算编制准确率=（预算资金总来源-中期评估调整取消资金-预算结余注销资金）÷预算资金总来源×指标分值=(21,818,368.71-3,069,609.78)/21,818,368.71 =85.93%。</w:t>
            </w:r>
          </w:p>
        </w:tc>
      </w:tr>
      <w:tr w14:paraId="0F47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62CB7845">
            <w:pPr>
              <w:spacing w:line="560" w:lineRule="exact"/>
              <w:jc w:val="center"/>
              <w:rPr>
                <w:rFonts w:ascii="仿宋_GB2312" w:hAnsi="宋体" w:eastAsia="仿宋"/>
                <w:sz w:val="32"/>
              </w:rPr>
            </w:pPr>
            <w:r>
              <w:rPr>
                <w:rFonts w:ascii="仿宋_GB2312" w:hAnsi="宋体" w:eastAsia="仿宋"/>
                <w:sz w:val="32"/>
              </w:rPr>
              <w:t>10</w:t>
            </w:r>
          </w:p>
        </w:tc>
        <w:tc>
          <w:tcPr>
            <w:tcW w:w="1712" w:type="dxa"/>
            <w:shd w:val="clear" w:color="auto" w:fill="auto"/>
            <w:vAlign w:val="center"/>
          </w:tcPr>
          <w:p w14:paraId="0C07A24D">
            <w:pPr>
              <w:spacing w:line="560" w:lineRule="exact"/>
              <w:rPr>
                <w:rFonts w:ascii="仿宋_GB2312" w:hAnsi="宋体" w:eastAsia="仿宋"/>
                <w:sz w:val="32"/>
              </w:rPr>
            </w:pPr>
            <w:r>
              <w:rPr>
                <w:rFonts w:ascii="仿宋_GB2312" w:hAnsi="宋体" w:eastAsia="仿宋"/>
                <w:sz w:val="32"/>
              </w:rPr>
              <w:t>马尔康市人民检察院</w:t>
            </w:r>
          </w:p>
        </w:tc>
        <w:tc>
          <w:tcPr>
            <w:tcW w:w="6607" w:type="dxa"/>
            <w:shd w:val="clear" w:color="auto" w:fill="auto"/>
            <w:vAlign w:val="center"/>
          </w:tcPr>
          <w:p w14:paraId="61572782">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2019年预算编制准确率=（预算资金总来源-中期评估调整取消资金-预算结余注销资金）÷预算资金总来源×指标分值=(6,116,376.00+5766,889.63-357,106.78-2,235,339.49)/(6,116,376.00+5,766,889.63)=78.18%</w:t>
            </w:r>
          </w:p>
        </w:tc>
      </w:tr>
      <w:tr w14:paraId="5836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53ABEAD7">
            <w:pPr>
              <w:spacing w:line="560" w:lineRule="exact"/>
              <w:jc w:val="center"/>
              <w:rPr>
                <w:rFonts w:ascii="仿宋_GB2312" w:hAnsi="宋体" w:eastAsia="仿宋"/>
                <w:sz w:val="32"/>
              </w:rPr>
            </w:pPr>
            <w:r>
              <w:rPr>
                <w:rFonts w:ascii="仿宋_GB2312" w:hAnsi="宋体" w:eastAsia="仿宋"/>
                <w:sz w:val="32"/>
              </w:rPr>
              <w:t>11</w:t>
            </w:r>
          </w:p>
        </w:tc>
        <w:tc>
          <w:tcPr>
            <w:tcW w:w="1712" w:type="dxa"/>
            <w:shd w:val="clear" w:color="auto" w:fill="auto"/>
            <w:vAlign w:val="center"/>
          </w:tcPr>
          <w:p w14:paraId="02B5E7E7">
            <w:pPr>
              <w:spacing w:line="560" w:lineRule="exact"/>
              <w:rPr>
                <w:rFonts w:ascii="仿宋_GB2312" w:hAnsi="宋体" w:eastAsia="仿宋"/>
                <w:sz w:val="32"/>
              </w:rPr>
            </w:pPr>
            <w:r>
              <w:rPr>
                <w:rFonts w:ascii="仿宋_GB2312" w:hAnsi="宋体" w:eastAsia="仿宋"/>
                <w:sz w:val="32"/>
              </w:rPr>
              <w:t>马尔康市卫生健康局</w:t>
            </w:r>
          </w:p>
        </w:tc>
        <w:tc>
          <w:tcPr>
            <w:tcW w:w="6607" w:type="dxa"/>
            <w:shd w:val="clear" w:color="auto" w:fill="auto"/>
            <w:vAlign w:val="center"/>
          </w:tcPr>
          <w:p w14:paraId="373F6D22">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2019年预算编制准确率=（预算资金总来源-中期评估调整取消资金-预算结余注销资金）÷预算资金总来源×指标分值=(54,541,183.00+ 113,162,992.02-0-7,006,471.46)/(54,541,183.00+ 113,162,992.02 )=95.82%</w:t>
            </w:r>
          </w:p>
        </w:tc>
      </w:tr>
      <w:tr w14:paraId="4461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7B8E300F">
            <w:pPr>
              <w:spacing w:line="560" w:lineRule="exact"/>
              <w:jc w:val="center"/>
              <w:rPr>
                <w:rFonts w:ascii="仿宋_GB2312" w:hAnsi="宋体" w:eastAsia="仿宋"/>
                <w:sz w:val="32"/>
              </w:rPr>
            </w:pPr>
            <w:r>
              <w:rPr>
                <w:rFonts w:ascii="仿宋_GB2312" w:hAnsi="宋体" w:eastAsia="仿宋"/>
                <w:sz w:val="32"/>
              </w:rPr>
              <w:t>12</w:t>
            </w:r>
          </w:p>
        </w:tc>
        <w:tc>
          <w:tcPr>
            <w:tcW w:w="1712" w:type="dxa"/>
            <w:shd w:val="clear" w:color="auto" w:fill="auto"/>
            <w:vAlign w:val="center"/>
          </w:tcPr>
          <w:p w14:paraId="3F946F91">
            <w:pPr>
              <w:spacing w:line="560" w:lineRule="exact"/>
              <w:rPr>
                <w:rFonts w:ascii="仿宋_GB2312" w:hAnsi="宋体" w:eastAsia="仿宋"/>
                <w:sz w:val="32"/>
              </w:rPr>
            </w:pPr>
            <w:r>
              <w:rPr>
                <w:rFonts w:ascii="仿宋_GB2312" w:hAnsi="宋体" w:eastAsia="仿宋"/>
                <w:sz w:val="32"/>
              </w:rPr>
              <w:t>马尔康市林业和草原局</w:t>
            </w:r>
          </w:p>
        </w:tc>
        <w:tc>
          <w:tcPr>
            <w:tcW w:w="6607" w:type="dxa"/>
            <w:shd w:val="clear" w:color="auto" w:fill="auto"/>
            <w:vAlign w:val="center"/>
          </w:tcPr>
          <w:p w14:paraId="6EAE0B04">
            <w:pPr>
              <w:spacing w:line="560" w:lineRule="exact"/>
              <w:rPr>
                <w:rFonts w:ascii="仿宋_GB2312" w:hAnsi="宋体" w:eastAsia="仿宋"/>
                <w:sz w:val="32"/>
              </w:rPr>
            </w:pPr>
            <w:r>
              <w:rPr>
                <w:rFonts w:ascii="仿宋_GB2312" w:hAnsi="宋体" w:eastAsia="仿宋"/>
                <w:sz w:val="32"/>
              </w:rPr>
              <w:t>2019年预算编制准确率=（预算资金总来源-中期评估调整取消资金-预算结余注销资金）÷预算资金总来源×指标分值=(145,448,226.87-51,224,593.91-37,866,070.02)/145,448,226.87=38.75%</w:t>
            </w:r>
          </w:p>
        </w:tc>
      </w:tr>
    </w:tbl>
    <w:p w14:paraId="0E3081B7">
      <w:pPr>
        <w:spacing w:line="560" w:lineRule="exact"/>
        <w:rPr>
          <w:rFonts w:hint="eastAsia" w:ascii="仿宋_GB2312" w:hAnsi="宋体" w:eastAsia="仿宋" w:cs="宋体"/>
          <w:bCs/>
          <w:sz w:val="32"/>
          <w:szCs w:val="28"/>
          <w:shd w:val="clear" w:color="auto" w:fill="FFFFFF"/>
        </w:rPr>
      </w:pPr>
    </w:p>
    <w:p w14:paraId="0E96FE85">
      <w:pPr>
        <w:spacing w:line="560" w:lineRule="exact"/>
        <w:ind w:firstLine="562"/>
        <w:rPr>
          <w:rFonts w:hint="eastAsia" w:ascii="仿宋_GB2312" w:hAnsi="宋体" w:eastAsia="仿宋" w:cs="宋体"/>
          <w:bCs/>
          <w:sz w:val="32"/>
          <w:szCs w:val="28"/>
          <w:shd w:val="clear" w:color="auto" w:fill="FFFFFF"/>
        </w:rPr>
      </w:pPr>
      <w:r>
        <w:rPr>
          <w:rFonts w:hint="eastAsia" w:ascii="仿宋_GB2312" w:hAnsi="宋体" w:eastAsia="仿宋" w:cs="宋体"/>
          <w:bCs/>
          <w:sz w:val="32"/>
          <w:szCs w:val="28"/>
          <w:shd w:val="clear" w:color="auto" w:fill="FFFFFF"/>
        </w:rPr>
        <w:t>绩效目标方面：</w:t>
      </w:r>
      <w:r>
        <w:rPr>
          <w:rFonts w:hint="eastAsia" w:ascii="仿宋_GB2312" w:hAnsi="宋体" w:eastAsia="仿宋" w:cs="宋体"/>
          <w:sz w:val="32"/>
          <w:szCs w:val="28"/>
          <w:shd w:val="clear" w:color="auto" w:fill="FFFFFF"/>
        </w:rPr>
        <w:t>被评价的</w:t>
      </w:r>
      <w:r>
        <w:rPr>
          <w:rFonts w:ascii="仿宋_GB2312" w:hAnsi="宋体" w:eastAsia="仿宋" w:cs="宋体"/>
          <w:sz w:val="32"/>
          <w:szCs w:val="28"/>
          <w:shd w:val="clear" w:color="auto" w:fill="FFFFFF"/>
        </w:rPr>
        <w:t>6</w:t>
      </w:r>
      <w:r>
        <w:rPr>
          <w:rFonts w:hint="eastAsia" w:ascii="仿宋_GB2312" w:hAnsi="宋体" w:eastAsia="仿宋" w:cs="宋体"/>
          <w:sz w:val="32"/>
          <w:szCs w:val="28"/>
          <w:shd w:val="clear" w:color="auto" w:fill="FFFFFF"/>
        </w:rPr>
        <w:t>个部门明确了部门整体绩效目标编制，涉及重点项目绩效目标的</w:t>
      </w:r>
      <w:r>
        <w:rPr>
          <w:rFonts w:ascii="仿宋_GB2312" w:hAnsi="宋体" w:eastAsia="仿宋" w:cs="宋体"/>
          <w:sz w:val="32"/>
          <w:szCs w:val="28"/>
          <w:shd w:val="clear" w:color="auto" w:fill="FFFFFF"/>
        </w:rPr>
        <w:t>2</w:t>
      </w:r>
      <w:r>
        <w:rPr>
          <w:rFonts w:hint="eastAsia" w:ascii="仿宋_GB2312" w:hAnsi="宋体" w:eastAsia="仿宋" w:cs="宋体"/>
          <w:sz w:val="32"/>
          <w:szCs w:val="28"/>
          <w:shd w:val="clear" w:color="auto" w:fill="FFFFFF"/>
        </w:rPr>
        <w:t>个部门明确了重点项目绩效目标。</w:t>
      </w:r>
    </w:p>
    <w:p w14:paraId="7C1EBB5A">
      <w:pPr>
        <w:pStyle w:val="40"/>
        <w:spacing w:before="156" w:after="156" w:line="560" w:lineRule="exact"/>
        <w:ind w:firstLine="640"/>
        <w:rPr>
          <w:rFonts w:hint="eastAsia" w:ascii="仿宋_GB2312" w:hAnsi="仿宋_GB2312" w:eastAsia="仿宋" w:cs="仿宋_GB2312"/>
          <w:b w:val="0"/>
          <w:color w:val="auto"/>
          <w:sz w:val="32"/>
          <w:szCs w:val="28"/>
        </w:rPr>
      </w:pPr>
      <w:bookmarkStart w:id="37" w:name="_Toc5993"/>
      <w:r>
        <w:rPr>
          <w:rFonts w:hint="eastAsia" w:ascii="仿宋_GB2312" w:hAnsi="仿宋_GB2312" w:eastAsia="仿宋" w:cs="仿宋_GB2312"/>
          <w:b w:val="0"/>
          <w:color w:val="auto"/>
          <w:sz w:val="32"/>
          <w:szCs w:val="28"/>
        </w:rPr>
        <w:t>——预算执行情况</w:t>
      </w:r>
      <w:bookmarkEnd w:id="37"/>
    </w:p>
    <w:p w14:paraId="69B5AE47">
      <w:pPr>
        <w:spacing w:line="560" w:lineRule="exact"/>
        <w:ind w:firstLine="560"/>
        <w:rPr>
          <w:rFonts w:ascii="仿宋_GB2312" w:hAnsi="宋体" w:eastAsia="仿宋"/>
          <w:sz w:val="32"/>
          <w:szCs w:val="28"/>
        </w:rPr>
      </w:pPr>
      <w:r>
        <w:rPr>
          <w:rFonts w:hint="eastAsia" w:ascii="仿宋_GB2312" w:hAnsi="宋体" w:eastAsia="仿宋"/>
          <w:sz w:val="32"/>
          <w:szCs w:val="28"/>
        </w:rPr>
        <w:t>该指标权重为20.00分，实得1</w:t>
      </w:r>
      <w:r>
        <w:rPr>
          <w:rFonts w:ascii="仿宋_GB2312" w:hAnsi="宋体" w:eastAsia="仿宋"/>
          <w:sz w:val="32"/>
          <w:szCs w:val="28"/>
        </w:rPr>
        <w:t>6.40</w:t>
      </w:r>
      <w:r>
        <w:rPr>
          <w:rFonts w:hint="eastAsia" w:ascii="仿宋_GB2312" w:hAnsi="宋体" w:eastAsia="仿宋"/>
          <w:sz w:val="32"/>
          <w:szCs w:val="28"/>
        </w:rPr>
        <w:t>分，用于考察部门预算执行进度、执行中期评估、三公经费预算执行情况。</w:t>
      </w:r>
    </w:p>
    <w:p w14:paraId="200B04CD">
      <w:pPr>
        <w:spacing w:line="560" w:lineRule="exact"/>
        <w:ind w:firstLine="560"/>
        <w:rPr>
          <w:rFonts w:hint="eastAsia" w:ascii="仿宋_GB2312" w:hAnsi="宋体" w:eastAsia="仿宋" w:cs="仿宋_GB2312"/>
          <w:bCs/>
          <w:sz w:val="32"/>
          <w:lang w:bidi="ar"/>
        </w:rPr>
      </w:pPr>
      <w:r>
        <w:rPr>
          <w:rFonts w:hint="eastAsia" w:ascii="仿宋_GB2312" w:hAnsi="宋体" w:eastAsia="仿宋" w:cs="仿宋_GB2312"/>
          <w:sz w:val="32"/>
          <w:szCs w:val="28"/>
          <w:lang w:bidi="ar"/>
        </w:rPr>
        <w:t>各分项指标得分和绩效分析如下：</w:t>
      </w:r>
    </w:p>
    <w:p w14:paraId="5412BA0F">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表14 预算执行类指标得分情况汇总表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395C53AF">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56C63887">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2B1DC0A5">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32114897">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73771264">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007B9443">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tcPr>
          <w:p w14:paraId="0C20A41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预算执行</w:t>
            </w:r>
          </w:p>
        </w:tc>
        <w:tc>
          <w:tcPr>
            <w:tcW w:w="1379" w:type="pct"/>
            <w:vAlign w:val="center"/>
          </w:tcPr>
          <w:p w14:paraId="4A698465">
            <w:pPr>
              <w:spacing w:line="560" w:lineRule="exact"/>
              <w:jc w:val="center"/>
              <w:rPr>
                <w:rFonts w:ascii="仿宋_GB2312" w:hAnsi="Arial Narrow" w:eastAsia="仿宋"/>
                <w:bCs/>
                <w:sz w:val="32"/>
              </w:rPr>
            </w:pPr>
            <w:r>
              <w:rPr>
                <w:rFonts w:ascii="仿宋_GB2312" w:hAnsi="宋体" w:eastAsia="仿宋" w:cs="仿宋_GB2312"/>
                <w:sz w:val="32"/>
                <w:lang w:bidi="ar"/>
              </w:rPr>
              <w:t>20.00</w:t>
            </w:r>
          </w:p>
        </w:tc>
        <w:tc>
          <w:tcPr>
            <w:tcW w:w="1346" w:type="pct"/>
            <w:vAlign w:val="center"/>
          </w:tcPr>
          <w:p w14:paraId="2442F33F">
            <w:pPr>
              <w:spacing w:line="560" w:lineRule="exact"/>
              <w:jc w:val="center"/>
              <w:rPr>
                <w:rFonts w:ascii="仿宋_GB2312" w:hAnsi="Arial Narrow" w:eastAsia="仿宋"/>
                <w:sz w:val="32"/>
              </w:rPr>
            </w:pPr>
            <w:r>
              <w:rPr>
                <w:rFonts w:ascii="仿宋_GB2312" w:hAnsi="宋体" w:eastAsia="仿宋"/>
                <w:sz w:val="32"/>
              </w:rPr>
              <w:t>16.40</w:t>
            </w:r>
          </w:p>
        </w:tc>
        <w:tc>
          <w:tcPr>
            <w:tcW w:w="1370" w:type="pct"/>
            <w:vAlign w:val="center"/>
          </w:tcPr>
          <w:p w14:paraId="3B9BE0EF">
            <w:pPr>
              <w:spacing w:line="560" w:lineRule="exact"/>
              <w:jc w:val="center"/>
              <w:rPr>
                <w:rFonts w:ascii="仿宋_GB2312" w:hAnsi="Arial Narrow" w:eastAsia="仿宋"/>
                <w:sz w:val="32"/>
              </w:rPr>
            </w:pPr>
            <w:r>
              <w:rPr>
                <w:rFonts w:ascii="仿宋_GB2312" w:hAnsi="宋体" w:eastAsia="仿宋"/>
                <w:sz w:val="32"/>
              </w:rPr>
              <w:t>82.00%</w:t>
            </w:r>
          </w:p>
        </w:tc>
      </w:tr>
    </w:tbl>
    <w:p w14:paraId="376580CA">
      <w:pPr>
        <w:spacing w:line="560" w:lineRule="exact"/>
        <w:ind w:firstLine="562"/>
        <w:rPr>
          <w:rFonts w:hint="eastAsia"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部门预算执行进度方面：</w:t>
      </w:r>
      <w:r>
        <w:rPr>
          <w:rFonts w:hint="eastAsia" w:ascii="仿宋_GB2312" w:hAnsi="宋体" w:eastAsia="仿宋" w:cs="宋体"/>
          <w:sz w:val="32"/>
          <w:szCs w:val="28"/>
          <w:shd w:val="clear" w:color="auto" w:fill="FFFFFF"/>
        </w:rPr>
        <w:t>部门预算执行进度如下表</w:t>
      </w:r>
    </w:p>
    <w:p w14:paraId="51FED17E">
      <w:pPr>
        <w:spacing w:line="560" w:lineRule="exact"/>
        <w:jc w:val="center"/>
        <w:rPr>
          <w:rFonts w:ascii="仿宋_GB2312" w:hAnsi="宋体" w:eastAsia="仿宋" w:cs="宋体"/>
          <w:sz w:val="32"/>
          <w:szCs w:val="28"/>
          <w:shd w:val="clear" w:color="auto" w:fill="FFFFFF"/>
        </w:rPr>
      </w:pPr>
      <w:r>
        <w:rPr>
          <w:rFonts w:hint="eastAsia" w:ascii="仿宋_GB2312" w:hAnsi="宋体" w:eastAsia="仿宋" w:cs="仿宋_GB2312"/>
          <w:bCs/>
          <w:sz w:val="32"/>
          <w:lang w:bidi="ar"/>
        </w:rPr>
        <w:t>表15 2018年预算执行进度情况表</w:t>
      </w:r>
    </w:p>
    <w:tbl>
      <w:tblPr>
        <w:tblStyle w:val="15"/>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2550"/>
        <w:gridCol w:w="5900"/>
      </w:tblGrid>
      <w:tr w14:paraId="07ED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BEBEBE"/>
            <w:vAlign w:val="center"/>
          </w:tcPr>
          <w:p w14:paraId="1BBC036B">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2550" w:type="dxa"/>
            <w:shd w:val="clear" w:color="auto" w:fill="BEBEBE"/>
            <w:vAlign w:val="center"/>
          </w:tcPr>
          <w:p w14:paraId="591C885C">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部门</w:t>
            </w:r>
          </w:p>
        </w:tc>
        <w:tc>
          <w:tcPr>
            <w:tcW w:w="5900" w:type="dxa"/>
            <w:shd w:val="clear" w:color="auto" w:fill="BEBEBE"/>
            <w:vAlign w:val="center"/>
          </w:tcPr>
          <w:p w14:paraId="68EA6F23">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2018年部门预算执行进度</w:t>
            </w:r>
          </w:p>
        </w:tc>
      </w:tr>
      <w:tr w14:paraId="0CCB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5DE91BC7">
            <w:pPr>
              <w:spacing w:line="560" w:lineRule="exact"/>
              <w:jc w:val="center"/>
              <w:rPr>
                <w:rFonts w:ascii="仿宋_GB2312" w:hAnsi="宋体" w:eastAsia="仿宋"/>
                <w:sz w:val="32"/>
              </w:rPr>
            </w:pPr>
            <w:r>
              <w:rPr>
                <w:rFonts w:ascii="仿宋_GB2312" w:hAnsi="宋体" w:eastAsia="仿宋"/>
                <w:sz w:val="32"/>
              </w:rPr>
              <w:t>1</w:t>
            </w:r>
          </w:p>
        </w:tc>
        <w:tc>
          <w:tcPr>
            <w:tcW w:w="2550" w:type="dxa"/>
            <w:shd w:val="clear" w:color="auto" w:fill="auto"/>
            <w:vAlign w:val="center"/>
          </w:tcPr>
          <w:p w14:paraId="4D52DF71">
            <w:pPr>
              <w:spacing w:line="560" w:lineRule="exact"/>
              <w:ind w:firstLine="420"/>
              <w:jc w:val="center"/>
              <w:rPr>
                <w:rFonts w:ascii="仿宋_GB2312" w:hAnsi="宋体" w:eastAsia="仿宋"/>
                <w:sz w:val="32"/>
              </w:rPr>
            </w:pPr>
            <w:r>
              <w:rPr>
                <w:rFonts w:ascii="仿宋_GB2312" w:hAnsi="宋体" w:eastAsia="仿宋"/>
                <w:sz w:val="32"/>
              </w:rPr>
              <w:t>马尔康市融媒体中心</w:t>
            </w:r>
          </w:p>
        </w:tc>
        <w:tc>
          <w:tcPr>
            <w:tcW w:w="5900" w:type="dxa"/>
            <w:shd w:val="clear" w:color="auto" w:fill="auto"/>
            <w:vAlign w:val="center"/>
          </w:tcPr>
          <w:p w14:paraId="0B746445">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2019年部门预算执行进度=部门预算实际列支数÷部门预算总额×指标分值=2,623,926.96/2,623,991.27×100%=100%。</w:t>
            </w:r>
          </w:p>
        </w:tc>
      </w:tr>
      <w:tr w14:paraId="1721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49AFB5C2">
            <w:pPr>
              <w:spacing w:line="560" w:lineRule="exact"/>
              <w:jc w:val="center"/>
              <w:rPr>
                <w:rFonts w:ascii="仿宋_GB2312" w:hAnsi="宋体" w:eastAsia="仿宋"/>
                <w:sz w:val="32"/>
              </w:rPr>
            </w:pPr>
            <w:r>
              <w:rPr>
                <w:rFonts w:ascii="仿宋_GB2312" w:hAnsi="宋体" w:eastAsia="仿宋"/>
                <w:sz w:val="32"/>
              </w:rPr>
              <w:t>2</w:t>
            </w:r>
          </w:p>
        </w:tc>
        <w:tc>
          <w:tcPr>
            <w:tcW w:w="2550" w:type="dxa"/>
            <w:shd w:val="clear" w:color="auto" w:fill="auto"/>
            <w:vAlign w:val="center"/>
          </w:tcPr>
          <w:p w14:paraId="7D0BC6BA">
            <w:pPr>
              <w:spacing w:line="560" w:lineRule="exact"/>
              <w:ind w:firstLine="420"/>
              <w:jc w:val="center"/>
              <w:rPr>
                <w:rFonts w:ascii="仿宋_GB2312" w:hAnsi="宋体" w:eastAsia="仿宋"/>
                <w:sz w:val="32"/>
              </w:rPr>
            </w:pPr>
            <w:r>
              <w:rPr>
                <w:rFonts w:ascii="仿宋_GB2312" w:hAnsi="宋体" w:eastAsia="仿宋"/>
                <w:sz w:val="32"/>
              </w:rPr>
              <w:t>马尔康市生态环境局</w:t>
            </w:r>
          </w:p>
        </w:tc>
        <w:tc>
          <w:tcPr>
            <w:tcW w:w="5900" w:type="dxa"/>
            <w:shd w:val="clear" w:color="auto" w:fill="auto"/>
            <w:vAlign w:val="center"/>
          </w:tcPr>
          <w:p w14:paraId="52B99333">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2019年部门预算执行进度=部门预算实际列支数÷部门预算总额×100%=6,427,656.86 / 22,477,170.33×100%=28.60%。</w:t>
            </w:r>
          </w:p>
        </w:tc>
      </w:tr>
      <w:tr w14:paraId="49B8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1C153EF1">
            <w:pPr>
              <w:spacing w:line="560" w:lineRule="exact"/>
              <w:jc w:val="center"/>
              <w:rPr>
                <w:rFonts w:ascii="仿宋_GB2312" w:hAnsi="宋体" w:eastAsia="仿宋"/>
                <w:sz w:val="32"/>
              </w:rPr>
            </w:pPr>
            <w:r>
              <w:rPr>
                <w:rFonts w:ascii="仿宋_GB2312" w:hAnsi="宋体" w:eastAsia="仿宋"/>
                <w:sz w:val="32"/>
              </w:rPr>
              <w:t>3</w:t>
            </w:r>
          </w:p>
        </w:tc>
        <w:tc>
          <w:tcPr>
            <w:tcW w:w="2550" w:type="dxa"/>
            <w:shd w:val="clear" w:color="auto" w:fill="auto"/>
            <w:vAlign w:val="center"/>
          </w:tcPr>
          <w:p w14:paraId="13A2CA9E">
            <w:pPr>
              <w:spacing w:line="560" w:lineRule="exact"/>
              <w:ind w:firstLine="420"/>
              <w:jc w:val="center"/>
              <w:rPr>
                <w:rFonts w:ascii="仿宋_GB2312" w:hAnsi="宋体" w:eastAsia="仿宋"/>
                <w:sz w:val="32"/>
              </w:rPr>
            </w:pPr>
            <w:r>
              <w:rPr>
                <w:rFonts w:ascii="仿宋_GB2312" w:hAnsi="宋体" w:eastAsia="仿宋"/>
                <w:sz w:val="32"/>
              </w:rPr>
              <w:t>马尔康市公共服务中心</w:t>
            </w:r>
          </w:p>
        </w:tc>
        <w:tc>
          <w:tcPr>
            <w:tcW w:w="5900" w:type="dxa"/>
            <w:shd w:val="clear" w:color="auto" w:fill="auto"/>
            <w:vAlign w:val="center"/>
          </w:tcPr>
          <w:p w14:paraId="541B4575">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2019年部门预算执行进度=部门预算实际列支数÷部门预算总额×100%=671.49/671.49×100%=100%。</w:t>
            </w:r>
          </w:p>
        </w:tc>
      </w:tr>
      <w:tr w14:paraId="0571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754FD4C0">
            <w:pPr>
              <w:spacing w:line="560" w:lineRule="exact"/>
              <w:jc w:val="center"/>
              <w:rPr>
                <w:rFonts w:ascii="仿宋_GB2312" w:hAnsi="宋体" w:eastAsia="仿宋"/>
                <w:sz w:val="32"/>
              </w:rPr>
            </w:pPr>
            <w:r>
              <w:rPr>
                <w:rFonts w:ascii="仿宋_GB2312" w:hAnsi="宋体" w:eastAsia="仿宋"/>
                <w:sz w:val="32"/>
              </w:rPr>
              <w:t>4</w:t>
            </w:r>
          </w:p>
        </w:tc>
        <w:tc>
          <w:tcPr>
            <w:tcW w:w="2550" w:type="dxa"/>
            <w:shd w:val="clear" w:color="auto" w:fill="auto"/>
            <w:vAlign w:val="center"/>
          </w:tcPr>
          <w:p w14:paraId="157A3ED1">
            <w:pPr>
              <w:spacing w:line="560" w:lineRule="exact"/>
              <w:ind w:firstLine="420"/>
              <w:jc w:val="center"/>
              <w:rPr>
                <w:rFonts w:ascii="仿宋_GB2312" w:hAnsi="宋体" w:eastAsia="仿宋"/>
                <w:sz w:val="32"/>
              </w:rPr>
            </w:pPr>
            <w:r>
              <w:rPr>
                <w:rFonts w:ascii="仿宋_GB2312" w:hAnsi="宋体" w:eastAsia="仿宋"/>
                <w:sz w:val="32"/>
              </w:rPr>
              <w:t>马尔康市住房和城乡建设局</w:t>
            </w:r>
          </w:p>
        </w:tc>
        <w:tc>
          <w:tcPr>
            <w:tcW w:w="5900" w:type="dxa"/>
            <w:shd w:val="clear" w:color="auto" w:fill="auto"/>
            <w:vAlign w:val="center"/>
          </w:tcPr>
          <w:p w14:paraId="08D45C6E">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2019年部门预算执行进度=部门预算实际列支数÷部门预算总额×100%=6,090.93/7,004.25=86.96%。</w:t>
            </w:r>
          </w:p>
        </w:tc>
      </w:tr>
      <w:tr w14:paraId="0415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6EEA1BDD">
            <w:pPr>
              <w:spacing w:line="560" w:lineRule="exact"/>
              <w:jc w:val="center"/>
              <w:rPr>
                <w:rFonts w:ascii="仿宋_GB2312" w:hAnsi="宋体" w:eastAsia="仿宋"/>
                <w:sz w:val="32"/>
              </w:rPr>
            </w:pPr>
            <w:r>
              <w:rPr>
                <w:rFonts w:ascii="仿宋_GB2312" w:hAnsi="宋体" w:eastAsia="仿宋"/>
                <w:sz w:val="32"/>
              </w:rPr>
              <w:t>5</w:t>
            </w:r>
          </w:p>
        </w:tc>
        <w:tc>
          <w:tcPr>
            <w:tcW w:w="2550" w:type="dxa"/>
            <w:shd w:val="clear" w:color="auto" w:fill="auto"/>
            <w:vAlign w:val="center"/>
          </w:tcPr>
          <w:p w14:paraId="18748FA2">
            <w:pPr>
              <w:spacing w:line="560" w:lineRule="exact"/>
              <w:ind w:firstLine="420"/>
              <w:jc w:val="center"/>
              <w:rPr>
                <w:rFonts w:ascii="仿宋_GB2312" w:hAnsi="宋体" w:eastAsia="仿宋"/>
                <w:sz w:val="32"/>
              </w:rPr>
            </w:pPr>
            <w:r>
              <w:rPr>
                <w:rFonts w:ascii="仿宋_GB2312" w:hAnsi="宋体" w:eastAsia="仿宋"/>
                <w:sz w:val="32"/>
              </w:rPr>
              <w:t>马尔康市松岗镇人民政府</w:t>
            </w:r>
          </w:p>
        </w:tc>
        <w:tc>
          <w:tcPr>
            <w:tcW w:w="5900" w:type="dxa"/>
            <w:shd w:val="clear" w:color="auto" w:fill="auto"/>
            <w:vAlign w:val="center"/>
          </w:tcPr>
          <w:p w14:paraId="6CC7404E">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2019年部门预算执行进度=部门预算实际列支数÷部门预算总额×指标分值=1,587.00/2,031.09×100%=78.14%。</w:t>
            </w:r>
          </w:p>
        </w:tc>
      </w:tr>
      <w:tr w14:paraId="3C51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7BC4E16E">
            <w:pPr>
              <w:spacing w:line="560" w:lineRule="exact"/>
              <w:jc w:val="center"/>
              <w:rPr>
                <w:rFonts w:ascii="仿宋_GB2312" w:hAnsi="宋体" w:eastAsia="仿宋"/>
                <w:sz w:val="32"/>
              </w:rPr>
            </w:pPr>
            <w:r>
              <w:rPr>
                <w:rFonts w:ascii="仿宋_GB2312" w:hAnsi="宋体" w:eastAsia="仿宋"/>
                <w:sz w:val="32"/>
              </w:rPr>
              <w:t>6</w:t>
            </w:r>
          </w:p>
        </w:tc>
        <w:tc>
          <w:tcPr>
            <w:tcW w:w="2550" w:type="dxa"/>
            <w:shd w:val="clear" w:color="auto" w:fill="auto"/>
            <w:vAlign w:val="center"/>
          </w:tcPr>
          <w:p w14:paraId="1068D535">
            <w:pPr>
              <w:spacing w:line="560" w:lineRule="exact"/>
              <w:ind w:firstLine="420"/>
              <w:jc w:val="center"/>
              <w:rPr>
                <w:rFonts w:ascii="仿宋_GB2312" w:hAnsi="宋体" w:eastAsia="仿宋"/>
                <w:sz w:val="32"/>
              </w:rPr>
            </w:pPr>
            <w:r>
              <w:rPr>
                <w:rFonts w:ascii="仿宋_GB2312" w:hAnsi="宋体" w:eastAsia="仿宋"/>
                <w:sz w:val="32"/>
              </w:rPr>
              <w:t>马尔康市应急管理局</w:t>
            </w:r>
          </w:p>
        </w:tc>
        <w:tc>
          <w:tcPr>
            <w:tcW w:w="5900" w:type="dxa"/>
            <w:shd w:val="clear" w:color="auto" w:fill="auto"/>
            <w:vAlign w:val="center"/>
          </w:tcPr>
          <w:p w14:paraId="7438ABE7">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2019年部门预算执行进度=部门预算实际列支数÷部门预算总额×100%=420.17/474.17×100%=88.61%。</w:t>
            </w:r>
          </w:p>
        </w:tc>
      </w:tr>
      <w:tr w14:paraId="0BAA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171FF682">
            <w:pPr>
              <w:spacing w:line="560" w:lineRule="exact"/>
              <w:jc w:val="center"/>
              <w:rPr>
                <w:rFonts w:ascii="仿宋_GB2312" w:hAnsi="宋体" w:eastAsia="仿宋"/>
                <w:sz w:val="32"/>
              </w:rPr>
            </w:pPr>
            <w:r>
              <w:rPr>
                <w:rFonts w:ascii="仿宋_GB2312" w:eastAsia="仿宋"/>
                <w:sz w:val="32"/>
              </w:rPr>
              <w:t>7</w:t>
            </w:r>
          </w:p>
        </w:tc>
        <w:tc>
          <w:tcPr>
            <w:tcW w:w="2550" w:type="dxa"/>
            <w:shd w:val="clear" w:color="auto" w:fill="auto"/>
            <w:vAlign w:val="center"/>
          </w:tcPr>
          <w:p w14:paraId="53781151">
            <w:pPr>
              <w:spacing w:line="560" w:lineRule="exact"/>
              <w:ind w:firstLine="420"/>
              <w:jc w:val="center"/>
              <w:rPr>
                <w:rFonts w:ascii="仿宋_GB2312" w:hAnsi="宋体" w:eastAsia="仿宋"/>
                <w:sz w:val="32"/>
              </w:rPr>
            </w:pPr>
            <w:r>
              <w:rPr>
                <w:rFonts w:ascii="仿宋_GB2312" w:eastAsia="仿宋"/>
                <w:sz w:val="32"/>
              </w:rPr>
              <w:t>马尔康市经济商务和信息化局</w:t>
            </w:r>
          </w:p>
        </w:tc>
        <w:tc>
          <w:tcPr>
            <w:tcW w:w="5900" w:type="dxa"/>
            <w:shd w:val="clear" w:color="auto" w:fill="auto"/>
            <w:vAlign w:val="center"/>
          </w:tcPr>
          <w:p w14:paraId="7EB40AFC">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2019年部门预算执行进度=部门预算实际列支数÷部门预算总额×100%=1638.76/2,570.08×100%=63.76%。</w:t>
            </w:r>
          </w:p>
        </w:tc>
      </w:tr>
      <w:tr w14:paraId="457C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130ECB2B">
            <w:pPr>
              <w:spacing w:line="560" w:lineRule="exact"/>
              <w:jc w:val="center"/>
              <w:rPr>
                <w:rFonts w:ascii="仿宋_GB2312" w:hAnsi="宋体" w:eastAsia="仿宋"/>
                <w:sz w:val="32"/>
              </w:rPr>
            </w:pPr>
            <w:r>
              <w:rPr>
                <w:rFonts w:ascii="仿宋_GB2312" w:eastAsia="仿宋"/>
                <w:sz w:val="32"/>
              </w:rPr>
              <w:t>8</w:t>
            </w:r>
          </w:p>
        </w:tc>
        <w:tc>
          <w:tcPr>
            <w:tcW w:w="2550" w:type="dxa"/>
            <w:shd w:val="clear" w:color="auto" w:fill="auto"/>
            <w:vAlign w:val="center"/>
          </w:tcPr>
          <w:p w14:paraId="66BBA6EF">
            <w:pPr>
              <w:spacing w:line="560" w:lineRule="exact"/>
              <w:ind w:firstLine="420"/>
              <w:jc w:val="center"/>
              <w:rPr>
                <w:rFonts w:ascii="仿宋_GB2312" w:hAnsi="宋体" w:eastAsia="仿宋"/>
                <w:sz w:val="32"/>
              </w:rPr>
            </w:pPr>
            <w:r>
              <w:rPr>
                <w:rFonts w:ascii="仿宋_GB2312" w:eastAsia="仿宋"/>
                <w:sz w:val="32"/>
              </w:rPr>
              <w:t>马尔康市自然资源局</w:t>
            </w:r>
          </w:p>
        </w:tc>
        <w:tc>
          <w:tcPr>
            <w:tcW w:w="5900" w:type="dxa"/>
            <w:shd w:val="clear" w:color="auto" w:fill="auto"/>
            <w:vAlign w:val="center"/>
          </w:tcPr>
          <w:p w14:paraId="4EA89876">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2019年部门预算执行进度=部门预算实际列支数÷部门预算总额×100%=4,586.73/5,787.86×100%=79.25%。</w:t>
            </w:r>
          </w:p>
        </w:tc>
      </w:tr>
      <w:tr w14:paraId="5533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7120F53D">
            <w:pPr>
              <w:spacing w:line="560" w:lineRule="exact"/>
              <w:jc w:val="center"/>
              <w:rPr>
                <w:rFonts w:ascii="仿宋_GB2312" w:hAnsi="宋体" w:eastAsia="仿宋"/>
                <w:sz w:val="32"/>
              </w:rPr>
            </w:pPr>
            <w:r>
              <w:rPr>
                <w:rFonts w:ascii="仿宋_GB2312" w:eastAsia="仿宋"/>
                <w:sz w:val="32"/>
              </w:rPr>
              <w:t>9</w:t>
            </w:r>
          </w:p>
        </w:tc>
        <w:tc>
          <w:tcPr>
            <w:tcW w:w="2550" w:type="dxa"/>
            <w:shd w:val="clear" w:color="auto" w:fill="auto"/>
            <w:vAlign w:val="center"/>
          </w:tcPr>
          <w:p w14:paraId="3DAABE99">
            <w:pPr>
              <w:spacing w:line="560" w:lineRule="exact"/>
              <w:ind w:firstLine="420"/>
              <w:jc w:val="center"/>
              <w:rPr>
                <w:rFonts w:ascii="仿宋_GB2312" w:hAnsi="宋体" w:eastAsia="仿宋"/>
                <w:sz w:val="32"/>
              </w:rPr>
            </w:pPr>
            <w:r>
              <w:rPr>
                <w:rFonts w:ascii="仿宋_GB2312" w:eastAsia="仿宋"/>
                <w:sz w:val="32"/>
              </w:rPr>
              <w:t>马尔康市人民法院</w:t>
            </w:r>
          </w:p>
        </w:tc>
        <w:tc>
          <w:tcPr>
            <w:tcW w:w="5900" w:type="dxa"/>
            <w:shd w:val="clear" w:color="auto" w:fill="auto"/>
            <w:vAlign w:val="center"/>
          </w:tcPr>
          <w:p w14:paraId="3CB7BEDD">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2019年部门预算执行进度=部门预算实际列支数÷部门预算总额×100%=1,874.88/1,934.73元×100%=96.91%。</w:t>
            </w:r>
          </w:p>
        </w:tc>
      </w:tr>
      <w:tr w14:paraId="3829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4DF4469A">
            <w:pPr>
              <w:spacing w:line="560" w:lineRule="exact"/>
              <w:jc w:val="center"/>
              <w:rPr>
                <w:rFonts w:ascii="仿宋_GB2312" w:hAnsi="宋体" w:eastAsia="仿宋"/>
                <w:sz w:val="32"/>
              </w:rPr>
            </w:pPr>
            <w:r>
              <w:rPr>
                <w:rFonts w:ascii="仿宋_GB2312" w:eastAsia="仿宋"/>
                <w:sz w:val="32"/>
              </w:rPr>
              <w:t>10</w:t>
            </w:r>
          </w:p>
        </w:tc>
        <w:tc>
          <w:tcPr>
            <w:tcW w:w="2550" w:type="dxa"/>
            <w:shd w:val="clear" w:color="auto" w:fill="auto"/>
            <w:vAlign w:val="center"/>
          </w:tcPr>
          <w:p w14:paraId="1C2DF68A">
            <w:pPr>
              <w:spacing w:line="560" w:lineRule="exact"/>
              <w:ind w:firstLine="420"/>
              <w:jc w:val="center"/>
              <w:rPr>
                <w:rFonts w:ascii="仿宋_GB2312" w:hAnsi="宋体" w:eastAsia="仿宋"/>
                <w:sz w:val="32"/>
              </w:rPr>
            </w:pPr>
            <w:r>
              <w:rPr>
                <w:rFonts w:ascii="仿宋_GB2312" w:eastAsia="仿宋"/>
                <w:sz w:val="32"/>
              </w:rPr>
              <w:t>马尔康市人民检察院</w:t>
            </w:r>
          </w:p>
        </w:tc>
        <w:tc>
          <w:tcPr>
            <w:tcW w:w="5900" w:type="dxa"/>
            <w:shd w:val="clear" w:color="auto" w:fill="auto"/>
            <w:vAlign w:val="center"/>
          </w:tcPr>
          <w:p w14:paraId="7E7D67F8">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2019年部门预算执行进度=部门预算实际列支数÷部门预算总额×100%=1,135.33/1,308.07×100%=86.79%。</w:t>
            </w:r>
          </w:p>
        </w:tc>
      </w:tr>
      <w:tr w14:paraId="1DF4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1A618952">
            <w:pPr>
              <w:spacing w:line="560" w:lineRule="exact"/>
              <w:jc w:val="center"/>
              <w:rPr>
                <w:rFonts w:ascii="仿宋_GB2312" w:hAnsi="宋体" w:eastAsia="仿宋"/>
                <w:sz w:val="32"/>
              </w:rPr>
            </w:pPr>
            <w:r>
              <w:rPr>
                <w:rFonts w:ascii="仿宋_GB2312" w:eastAsia="仿宋"/>
                <w:sz w:val="32"/>
              </w:rPr>
              <w:t>11</w:t>
            </w:r>
          </w:p>
        </w:tc>
        <w:tc>
          <w:tcPr>
            <w:tcW w:w="2550" w:type="dxa"/>
            <w:shd w:val="clear" w:color="auto" w:fill="auto"/>
            <w:vAlign w:val="center"/>
          </w:tcPr>
          <w:p w14:paraId="3E65A3FB">
            <w:pPr>
              <w:spacing w:line="560" w:lineRule="exact"/>
              <w:ind w:firstLine="420"/>
              <w:jc w:val="center"/>
              <w:rPr>
                <w:rFonts w:ascii="仿宋_GB2312" w:hAnsi="宋体" w:eastAsia="仿宋"/>
                <w:sz w:val="32"/>
              </w:rPr>
            </w:pPr>
            <w:r>
              <w:rPr>
                <w:rFonts w:ascii="仿宋_GB2312" w:eastAsia="仿宋"/>
                <w:sz w:val="32"/>
              </w:rPr>
              <w:t>马尔康市卫生健康局</w:t>
            </w:r>
          </w:p>
        </w:tc>
        <w:tc>
          <w:tcPr>
            <w:tcW w:w="5900" w:type="dxa"/>
            <w:shd w:val="clear" w:color="auto" w:fill="auto"/>
            <w:vAlign w:val="center"/>
          </w:tcPr>
          <w:p w14:paraId="3D91551F">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2019年部门预算执行进度=部门预算实际列支数÷部门预算总额×100%=10,438.83/13,181.71×100%=79.19%。</w:t>
            </w:r>
          </w:p>
        </w:tc>
      </w:tr>
      <w:tr w14:paraId="7927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282F9249">
            <w:pPr>
              <w:spacing w:line="560" w:lineRule="exact"/>
              <w:jc w:val="center"/>
              <w:rPr>
                <w:rFonts w:ascii="仿宋_GB2312" w:hAnsi="宋体" w:eastAsia="仿宋"/>
                <w:sz w:val="32"/>
              </w:rPr>
            </w:pPr>
            <w:r>
              <w:rPr>
                <w:rFonts w:ascii="仿宋_GB2312" w:eastAsia="仿宋"/>
                <w:sz w:val="32"/>
              </w:rPr>
              <w:t>12</w:t>
            </w:r>
          </w:p>
        </w:tc>
        <w:tc>
          <w:tcPr>
            <w:tcW w:w="2550" w:type="dxa"/>
            <w:shd w:val="clear" w:color="auto" w:fill="auto"/>
            <w:vAlign w:val="center"/>
          </w:tcPr>
          <w:p w14:paraId="3560BA4B">
            <w:pPr>
              <w:spacing w:line="560" w:lineRule="exact"/>
              <w:ind w:firstLine="420"/>
              <w:jc w:val="center"/>
              <w:rPr>
                <w:rFonts w:ascii="仿宋_GB2312" w:hAnsi="宋体" w:eastAsia="仿宋"/>
                <w:sz w:val="32"/>
              </w:rPr>
            </w:pPr>
            <w:r>
              <w:rPr>
                <w:rFonts w:ascii="仿宋_GB2312" w:eastAsia="仿宋"/>
                <w:sz w:val="32"/>
              </w:rPr>
              <w:t>马尔康市林业和草原局</w:t>
            </w:r>
          </w:p>
        </w:tc>
        <w:tc>
          <w:tcPr>
            <w:tcW w:w="5900" w:type="dxa"/>
            <w:shd w:val="clear" w:color="auto" w:fill="auto"/>
            <w:vAlign w:val="center"/>
          </w:tcPr>
          <w:p w14:paraId="69B682EB">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2019年部门预算执行进度=部门预算实际列支数÷部门预算总额×100%=6,454.45/9,147.68×100%=70.56%。</w:t>
            </w:r>
          </w:p>
        </w:tc>
      </w:tr>
      <w:tr w14:paraId="2257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shd w:val="clear" w:color="auto" w:fill="auto"/>
            <w:vAlign w:val="center"/>
          </w:tcPr>
          <w:p w14:paraId="6BAA4BA9">
            <w:pPr>
              <w:spacing w:line="560" w:lineRule="exact"/>
              <w:jc w:val="center"/>
              <w:rPr>
                <w:rFonts w:ascii="仿宋_GB2312" w:hAnsi="宋体" w:eastAsia="仿宋"/>
                <w:sz w:val="32"/>
              </w:rPr>
            </w:pPr>
            <w:r>
              <w:rPr>
                <w:rFonts w:ascii="仿宋_GB2312" w:eastAsia="仿宋"/>
                <w:sz w:val="32"/>
              </w:rPr>
              <w:t>13</w:t>
            </w:r>
          </w:p>
        </w:tc>
        <w:tc>
          <w:tcPr>
            <w:tcW w:w="2550" w:type="dxa"/>
            <w:shd w:val="clear" w:color="auto" w:fill="auto"/>
            <w:vAlign w:val="center"/>
          </w:tcPr>
          <w:p w14:paraId="1F326881">
            <w:pPr>
              <w:spacing w:line="560" w:lineRule="exact"/>
              <w:ind w:firstLine="420"/>
              <w:jc w:val="center"/>
              <w:rPr>
                <w:rFonts w:ascii="仿宋_GB2312" w:hAnsi="宋体" w:eastAsia="仿宋"/>
                <w:sz w:val="32"/>
              </w:rPr>
            </w:pPr>
            <w:r>
              <w:rPr>
                <w:rFonts w:ascii="仿宋_GB2312" w:eastAsia="仿宋"/>
                <w:sz w:val="32"/>
              </w:rPr>
              <w:t>马尔康市水务局</w:t>
            </w:r>
          </w:p>
        </w:tc>
        <w:tc>
          <w:tcPr>
            <w:tcW w:w="5900" w:type="dxa"/>
            <w:shd w:val="clear" w:color="auto" w:fill="auto"/>
            <w:vAlign w:val="center"/>
          </w:tcPr>
          <w:p w14:paraId="1B1DF3C1">
            <w:pPr>
              <w:spacing w:line="560" w:lineRule="exact"/>
              <w:rPr>
                <w:rFonts w:ascii="仿宋_GB2312" w:hAnsi="宋体" w:eastAsia="仿宋"/>
                <w:sz w:val="32"/>
              </w:rPr>
            </w:pPr>
            <w:r>
              <w:rPr>
                <w:rFonts w:ascii="仿宋_GB2312" w:hAnsi="宋体" w:eastAsia="仿宋"/>
                <w:sz w:val="32"/>
              </w:rPr>
              <w:t>2019年部门预算执行进度=部门预算实际列支数÷部门预算总额×100%=2714.47/8270.49×100%=32.82%。</w:t>
            </w:r>
          </w:p>
        </w:tc>
      </w:tr>
    </w:tbl>
    <w:p w14:paraId="59EB7C28">
      <w:pPr>
        <w:spacing w:line="560" w:lineRule="exact"/>
        <w:ind w:firstLine="562"/>
        <w:rPr>
          <w:rFonts w:hint="eastAsia" w:ascii="仿宋_GB2312" w:hAnsi="宋体" w:eastAsia="仿宋" w:cs="宋体"/>
          <w:bCs/>
          <w:sz w:val="32"/>
          <w:szCs w:val="28"/>
          <w:shd w:val="clear" w:color="auto" w:fill="FFFFFF"/>
        </w:rPr>
      </w:pPr>
    </w:p>
    <w:p w14:paraId="3BB5BB9D">
      <w:pPr>
        <w:spacing w:line="560" w:lineRule="exact"/>
        <w:ind w:firstLine="562"/>
        <w:rPr>
          <w:rFonts w:hint="eastAsia"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执行中期评估方面：</w:t>
      </w:r>
      <w:r>
        <w:rPr>
          <w:rFonts w:hint="eastAsia" w:ascii="仿宋_GB2312" w:hAnsi="宋体" w:eastAsia="仿宋" w:cs="宋体"/>
          <w:sz w:val="32"/>
          <w:szCs w:val="28"/>
          <w:shd w:val="clear" w:color="auto" w:fill="FFFFFF"/>
        </w:rPr>
        <w:t>201</w:t>
      </w:r>
      <w:r>
        <w:rPr>
          <w:rFonts w:ascii="仿宋_GB2312" w:hAnsi="宋体" w:eastAsia="仿宋" w:cs="宋体"/>
          <w:sz w:val="32"/>
          <w:szCs w:val="28"/>
          <w:shd w:val="clear" w:color="auto" w:fill="FFFFFF"/>
        </w:rPr>
        <w:t>9</w:t>
      </w:r>
      <w:r>
        <w:rPr>
          <w:rFonts w:hint="eastAsia" w:ascii="仿宋_GB2312" w:hAnsi="宋体" w:eastAsia="仿宋" w:cs="宋体"/>
          <w:sz w:val="32"/>
          <w:szCs w:val="28"/>
          <w:shd w:val="clear" w:color="auto" w:fill="FFFFFF"/>
        </w:rPr>
        <w:t>年末结转结余资金情况详见下表：</w:t>
      </w:r>
    </w:p>
    <w:p w14:paraId="46875FF8">
      <w:pPr>
        <w:spacing w:line="560" w:lineRule="exact"/>
        <w:jc w:val="center"/>
        <w:rPr>
          <w:rFonts w:hint="eastAsia" w:ascii="仿宋_GB2312" w:hAnsi="宋体" w:eastAsia="仿宋" w:cs="宋体"/>
          <w:sz w:val="32"/>
          <w:szCs w:val="28"/>
          <w:shd w:val="clear" w:color="auto" w:fill="FFFFFF"/>
        </w:rPr>
      </w:pPr>
      <w:r>
        <w:rPr>
          <w:rFonts w:hint="eastAsia" w:ascii="仿宋_GB2312" w:hAnsi="宋体" w:eastAsia="仿宋" w:cs="仿宋_GB2312"/>
          <w:bCs/>
          <w:sz w:val="32"/>
          <w:lang w:bidi="ar"/>
        </w:rPr>
        <w:t>表16 2018年末结转结余资金情况表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4224"/>
        <w:gridCol w:w="3646"/>
      </w:tblGrid>
      <w:tr w14:paraId="074F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BEBEBE"/>
            <w:vAlign w:val="center"/>
          </w:tcPr>
          <w:p w14:paraId="609C4531">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2346" w:type="pct"/>
            <w:shd w:val="clear" w:color="auto" w:fill="BEBEBE"/>
            <w:vAlign w:val="center"/>
          </w:tcPr>
          <w:p w14:paraId="1516D370">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部门</w:t>
            </w:r>
          </w:p>
        </w:tc>
        <w:tc>
          <w:tcPr>
            <w:tcW w:w="2025" w:type="pct"/>
            <w:shd w:val="clear" w:color="auto" w:fill="BEBEBE"/>
            <w:vAlign w:val="center"/>
          </w:tcPr>
          <w:p w14:paraId="6FFD491C">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2018年末结转结余资金（元）</w:t>
            </w:r>
          </w:p>
        </w:tc>
      </w:tr>
      <w:tr w14:paraId="26EE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31B6F100">
            <w:pPr>
              <w:spacing w:line="560" w:lineRule="exact"/>
              <w:ind w:firstLine="420"/>
              <w:rPr>
                <w:rFonts w:ascii="仿宋_GB2312" w:hAnsi="宋体" w:eastAsia="仿宋"/>
                <w:sz w:val="32"/>
              </w:rPr>
            </w:pPr>
            <w:r>
              <w:rPr>
                <w:rFonts w:ascii="仿宋_GB2312" w:hAnsi="宋体" w:eastAsia="仿宋"/>
                <w:sz w:val="32"/>
              </w:rPr>
              <w:t>1</w:t>
            </w:r>
          </w:p>
        </w:tc>
        <w:tc>
          <w:tcPr>
            <w:tcW w:w="2346" w:type="pct"/>
            <w:shd w:val="clear" w:color="auto" w:fill="auto"/>
            <w:vAlign w:val="center"/>
          </w:tcPr>
          <w:p w14:paraId="7F5336F0">
            <w:pPr>
              <w:spacing w:line="560" w:lineRule="exact"/>
              <w:ind w:firstLine="420"/>
              <w:rPr>
                <w:rFonts w:ascii="仿宋_GB2312" w:hAnsi="宋体" w:eastAsia="仿宋"/>
                <w:sz w:val="32"/>
              </w:rPr>
            </w:pPr>
            <w:r>
              <w:rPr>
                <w:rFonts w:ascii="仿宋_GB2312" w:hAnsi="宋体" w:eastAsia="仿宋"/>
                <w:sz w:val="32"/>
              </w:rPr>
              <w:t>马尔康市融媒体中心</w:t>
            </w:r>
          </w:p>
        </w:tc>
        <w:tc>
          <w:tcPr>
            <w:tcW w:w="2025" w:type="pct"/>
            <w:shd w:val="clear" w:color="auto" w:fill="auto"/>
            <w:vAlign w:val="center"/>
          </w:tcPr>
          <w:p w14:paraId="45A15C22">
            <w:pPr>
              <w:spacing w:line="560" w:lineRule="exact"/>
              <w:ind w:firstLine="420"/>
              <w:jc w:val="right"/>
              <w:rPr>
                <w:rFonts w:ascii="仿宋_GB2312" w:hAnsi="宋体" w:eastAsia="仿宋"/>
                <w:sz w:val="32"/>
              </w:rPr>
            </w:pPr>
          </w:p>
        </w:tc>
      </w:tr>
      <w:tr w14:paraId="374E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000EBC43">
            <w:pPr>
              <w:spacing w:line="560" w:lineRule="exact"/>
              <w:ind w:firstLine="420"/>
              <w:rPr>
                <w:rFonts w:ascii="仿宋_GB2312" w:hAnsi="宋体" w:eastAsia="仿宋"/>
                <w:sz w:val="32"/>
              </w:rPr>
            </w:pPr>
            <w:r>
              <w:rPr>
                <w:rFonts w:ascii="仿宋_GB2312" w:hAnsi="宋体" w:eastAsia="仿宋"/>
                <w:sz w:val="32"/>
              </w:rPr>
              <w:t>2</w:t>
            </w:r>
          </w:p>
        </w:tc>
        <w:tc>
          <w:tcPr>
            <w:tcW w:w="2346" w:type="pct"/>
            <w:shd w:val="clear" w:color="auto" w:fill="auto"/>
            <w:vAlign w:val="center"/>
          </w:tcPr>
          <w:p w14:paraId="0FCD1B81">
            <w:pPr>
              <w:spacing w:line="560" w:lineRule="exact"/>
              <w:ind w:firstLine="420"/>
              <w:rPr>
                <w:rFonts w:ascii="仿宋_GB2312" w:hAnsi="宋体" w:eastAsia="仿宋"/>
                <w:sz w:val="32"/>
              </w:rPr>
            </w:pPr>
            <w:r>
              <w:rPr>
                <w:rFonts w:ascii="仿宋_GB2312" w:hAnsi="宋体" w:eastAsia="仿宋"/>
                <w:sz w:val="32"/>
              </w:rPr>
              <w:t>马尔康市生态环境局</w:t>
            </w:r>
          </w:p>
        </w:tc>
        <w:tc>
          <w:tcPr>
            <w:tcW w:w="2025" w:type="pct"/>
            <w:shd w:val="clear" w:color="auto" w:fill="auto"/>
            <w:vAlign w:val="center"/>
          </w:tcPr>
          <w:p w14:paraId="068D5468">
            <w:pPr>
              <w:spacing w:line="560" w:lineRule="exact"/>
              <w:ind w:firstLine="420"/>
              <w:jc w:val="right"/>
              <w:rPr>
                <w:rFonts w:ascii="仿宋_GB2312" w:hAnsi="宋体" w:eastAsia="仿宋"/>
                <w:sz w:val="32"/>
              </w:rPr>
            </w:pPr>
          </w:p>
        </w:tc>
      </w:tr>
      <w:tr w14:paraId="5E7C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06400B8A">
            <w:pPr>
              <w:spacing w:line="560" w:lineRule="exact"/>
              <w:ind w:firstLine="420"/>
              <w:rPr>
                <w:rFonts w:ascii="仿宋_GB2312" w:hAnsi="宋体" w:eastAsia="仿宋"/>
                <w:sz w:val="32"/>
              </w:rPr>
            </w:pPr>
            <w:r>
              <w:rPr>
                <w:rFonts w:ascii="仿宋_GB2312" w:hAnsi="宋体" w:eastAsia="仿宋"/>
                <w:sz w:val="32"/>
              </w:rPr>
              <w:t>3</w:t>
            </w:r>
          </w:p>
        </w:tc>
        <w:tc>
          <w:tcPr>
            <w:tcW w:w="2346" w:type="pct"/>
            <w:shd w:val="clear" w:color="auto" w:fill="auto"/>
            <w:vAlign w:val="center"/>
          </w:tcPr>
          <w:p w14:paraId="53F752BD">
            <w:pPr>
              <w:spacing w:line="560" w:lineRule="exact"/>
              <w:ind w:firstLine="420"/>
              <w:rPr>
                <w:rFonts w:ascii="仿宋_GB2312" w:hAnsi="宋体" w:eastAsia="仿宋"/>
                <w:sz w:val="32"/>
              </w:rPr>
            </w:pPr>
            <w:r>
              <w:rPr>
                <w:rFonts w:ascii="仿宋_GB2312" w:hAnsi="宋体" w:eastAsia="仿宋"/>
                <w:sz w:val="32"/>
              </w:rPr>
              <w:t>马尔康市公共服务中心</w:t>
            </w:r>
          </w:p>
        </w:tc>
        <w:tc>
          <w:tcPr>
            <w:tcW w:w="2025" w:type="pct"/>
            <w:shd w:val="clear" w:color="auto" w:fill="auto"/>
            <w:vAlign w:val="center"/>
          </w:tcPr>
          <w:p w14:paraId="6B68B505">
            <w:pPr>
              <w:spacing w:line="560" w:lineRule="exact"/>
              <w:ind w:firstLine="420"/>
              <w:jc w:val="right"/>
              <w:rPr>
                <w:rFonts w:ascii="仿宋_GB2312" w:hAnsi="宋体" w:eastAsia="仿宋"/>
                <w:sz w:val="32"/>
              </w:rPr>
            </w:pPr>
          </w:p>
        </w:tc>
      </w:tr>
      <w:tr w14:paraId="7DC9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65E77E80">
            <w:pPr>
              <w:spacing w:line="560" w:lineRule="exact"/>
              <w:ind w:firstLine="420"/>
              <w:rPr>
                <w:rFonts w:ascii="仿宋_GB2312" w:hAnsi="宋体" w:eastAsia="仿宋"/>
                <w:sz w:val="32"/>
              </w:rPr>
            </w:pPr>
            <w:r>
              <w:rPr>
                <w:rFonts w:ascii="仿宋_GB2312" w:hAnsi="宋体" w:eastAsia="仿宋"/>
                <w:sz w:val="32"/>
              </w:rPr>
              <w:t>4</w:t>
            </w:r>
          </w:p>
        </w:tc>
        <w:tc>
          <w:tcPr>
            <w:tcW w:w="2346" w:type="pct"/>
            <w:shd w:val="clear" w:color="auto" w:fill="auto"/>
            <w:vAlign w:val="center"/>
          </w:tcPr>
          <w:p w14:paraId="62C25CCB">
            <w:pPr>
              <w:spacing w:line="560" w:lineRule="exact"/>
              <w:ind w:firstLine="420"/>
              <w:rPr>
                <w:rFonts w:ascii="仿宋_GB2312" w:hAnsi="宋体" w:eastAsia="仿宋"/>
                <w:sz w:val="32"/>
              </w:rPr>
            </w:pPr>
            <w:r>
              <w:rPr>
                <w:rFonts w:ascii="仿宋_GB2312" w:hAnsi="宋体" w:eastAsia="仿宋"/>
                <w:sz w:val="32"/>
              </w:rPr>
              <w:t>马尔康市住房和城乡建设局</w:t>
            </w:r>
          </w:p>
        </w:tc>
        <w:tc>
          <w:tcPr>
            <w:tcW w:w="2025" w:type="pct"/>
            <w:shd w:val="clear" w:color="auto" w:fill="auto"/>
            <w:vAlign w:val="center"/>
          </w:tcPr>
          <w:p w14:paraId="16A16B7C">
            <w:pPr>
              <w:spacing w:line="560" w:lineRule="exact"/>
              <w:ind w:firstLine="420"/>
              <w:jc w:val="right"/>
              <w:rPr>
                <w:rFonts w:ascii="仿宋_GB2312" w:hAnsi="宋体" w:eastAsia="仿宋"/>
                <w:sz w:val="32"/>
              </w:rPr>
            </w:pPr>
          </w:p>
        </w:tc>
      </w:tr>
      <w:tr w14:paraId="082E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733D2559">
            <w:pPr>
              <w:spacing w:line="560" w:lineRule="exact"/>
              <w:ind w:firstLine="420"/>
              <w:rPr>
                <w:rFonts w:ascii="仿宋_GB2312" w:hAnsi="宋体" w:eastAsia="仿宋"/>
                <w:sz w:val="32"/>
              </w:rPr>
            </w:pPr>
            <w:r>
              <w:rPr>
                <w:rFonts w:ascii="仿宋_GB2312" w:hAnsi="宋体" w:eastAsia="仿宋"/>
                <w:sz w:val="32"/>
              </w:rPr>
              <w:t>5</w:t>
            </w:r>
          </w:p>
        </w:tc>
        <w:tc>
          <w:tcPr>
            <w:tcW w:w="2346" w:type="pct"/>
            <w:shd w:val="clear" w:color="auto" w:fill="auto"/>
            <w:vAlign w:val="center"/>
          </w:tcPr>
          <w:p w14:paraId="4F813786">
            <w:pPr>
              <w:spacing w:line="560" w:lineRule="exact"/>
              <w:ind w:firstLine="420"/>
              <w:rPr>
                <w:rFonts w:ascii="仿宋_GB2312" w:hAnsi="宋体" w:eastAsia="仿宋"/>
                <w:sz w:val="32"/>
              </w:rPr>
            </w:pPr>
            <w:r>
              <w:rPr>
                <w:rFonts w:ascii="仿宋_GB2312" w:hAnsi="宋体" w:eastAsia="仿宋"/>
                <w:sz w:val="32"/>
              </w:rPr>
              <w:t>马尔康市松岗镇人民政府</w:t>
            </w:r>
          </w:p>
        </w:tc>
        <w:tc>
          <w:tcPr>
            <w:tcW w:w="2025" w:type="pct"/>
            <w:shd w:val="clear" w:color="auto" w:fill="auto"/>
            <w:vAlign w:val="center"/>
          </w:tcPr>
          <w:p w14:paraId="05D828D0">
            <w:pPr>
              <w:spacing w:line="560" w:lineRule="exact"/>
              <w:ind w:firstLine="420"/>
              <w:jc w:val="right"/>
              <w:rPr>
                <w:rFonts w:ascii="仿宋_GB2312" w:hAnsi="宋体" w:eastAsia="仿宋"/>
                <w:sz w:val="32"/>
              </w:rPr>
            </w:pPr>
          </w:p>
        </w:tc>
      </w:tr>
      <w:tr w14:paraId="5E87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1B362497">
            <w:pPr>
              <w:spacing w:line="560" w:lineRule="exact"/>
              <w:ind w:firstLine="420"/>
              <w:rPr>
                <w:rFonts w:ascii="仿宋_GB2312" w:hAnsi="宋体" w:eastAsia="仿宋"/>
                <w:sz w:val="32"/>
              </w:rPr>
            </w:pPr>
            <w:r>
              <w:rPr>
                <w:rFonts w:ascii="仿宋_GB2312" w:hAnsi="宋体" w:eastAsia="仿宋"/>
                <w:sz w:val="32"/>
              </w:rPr>
              <w:t>6</w:t>
            </w:r>
          </w:p>
        </w:tc>
        <w:tc>
          <w:tcPr>
            <w:tcW w:w="2346" w:type="pct"/>
            <w:shd w:val="clear" w:color="auto" w:fill="auto"/>
            <w:vAlign w:val="center"/>
          </w:tcPr>
          <w:p w14:paraId="2D9B16E6">
            <w:pPr>
              <w:spacing w:line="560" w:lineRule="exact"/>
              <w:ind w:firstLine="420"/>
              <w:rPr>
                <w:rFonts w:ascii="仿宋_GB2312" w:hAnsi="宋体" w:eastAsia="仿宋"/>
                <w:sz w:val="32"/>
              </w:rPr>
            </w:pPr>
            <w:r>
              <w:rPr>
                <w:rFonts w:ascii="仿宋_GB2312" w:hAnsi="宋体" w:eastAsia="仿宋"/>
                <w:sz w:val="32"/>
              </w:rPr>
              <w:t>马尔康市应急管理局</w:t>
            </w:r>
          </w:p>
        </w:tc>
        <w:tc>
          <w:tcPr>
            <w:tcW w:w="2025" w:type="pct"/>
            <w:shd w:val="clear" w:color="auto" w:fill="auto"/>
            <w:vAlign w:val="center"/>
          </w:tcPr>
          <w:p w14:paraId="1A1D6E32">
            <w:pPr>
              <w:spacing w:line="560" w:lineRule="exact"/>
              <w:ind w:firstLine="420"/>
              <w:jc w:val="right"/>
              <w:rPr>
                <w:rFonts w:ascii="仿宋_GB2312" w:hAnsi="宋体" w:eastAsia="仿宋"/>
                <w:sz w:val="32"/>
              </w:rPr>
            </w:pPr>
          </w:p>
        </w:tc>
      </w:tr>
      <w:tr w14:paraId="01FC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4386B03D">
            <w:pPr>
              <w:spacing w:line="560" w:lineRule="exact"/>
              <w:ind w:firstLine="420"/>
              <w:rPr>
                <w:rFonts w:ascii="仿宋_GB2312" w:hAnsi="宋体" w:eastAsia="仿宋"/>
                <w:sz w:val="32"/>
              </w:rPr>
            </w:pPr>
            <w:r>
              <w:rPr>
                <w:rFonts w:ascii="仿宋_GB2312" w:hAnsi="宋体" w:eastAsia="仿宋"/>
                <w:sz w:val="32"/>
              </w:rPr>
              <w:t>7</w:t>
            </w:r>
          </w:p>
        </w:tc>
        <w:tc>
          <w:tcPr>
            <w:tcW w:w="2346" w:type="pct"/>
            <w:shd w:val="clear" w:color="auto" w:fill="auto"/>
            <w:vAlign w:val="center"/>
          </w:tcPr>
          <w:p w14:paraId="797674F9">
            <w:pPr>
              <w:spacing w:line="560" w:lineRule="exact"/>
              <w:ind w:firstLine="420"/>
              <w:rPr>
                <w:rFonts w:ascii="仿宋_GB2312" w:hAnsi="宋体" w:eastAsia="仿宋"/>
                <w:sz w:val="32"/>
              </w:rPr>
            </w:pPr>
            <w:r>
              <w:rPr>
                <w:rFonts w:ascii="仿宋_GB2312" w:eastAsia="仿宋"/>
                <w:sz w:val="32"/>
              </w:rPr>
              <w:t>马尔康市经济商务和信息化局</w:t>
            </w:r>
          </w:p>
        </w:tc>
        <w:tc>
          <w:tcPr>
            <w:tcW w:w="2025" w:type="pct"/>
            <w:shd w:val="clear" w:color="auto" w:fill="auto"/>
            <w:vAlign w:val="center"/>
          </w:tcPr>
          <w:p w14:paraId="6C2E0CD8">
            <w:pPr>
              <w:spacing w:line="560" w:lineRule="exact"/>
              <w:ind w:firstLine="420"/>
              <w:jc w:val="right"/>
              <w:rPr>
                <w:rFonts w:ascii="仿宋_GB2312" w:hAnsi="宋体" w:eastAsia="仿宋"/>
                <w:sz w:val="32"/>
              </w:rPr>
            </w:pPr>
          </w:p>
        </w:tc>
      </w:tr>
      <w:tr w14:paraId="1C54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1AEB8801">
            <w:pPr>
              <w:spacing w:line="560" w:lineRule="exact"/>
              <w:ind w:firstLine="420"/>
              <w:rPr>
                <w:rFonts w:ascii="仿宋_GB2312" w:hAnsi="宋体" w:eastAsia="仿宋"/>
                <w:sz w:val="32"/>
              </w:rPr>
            </w:pPr>
            <w:r>
              <w:rPr>
                <w:rFonts w:ascii="仿宋_GB2312" w:hAnsi="宋体" w:eastAsia="仿宋"/>
                <w:sz w:val="32"/>
              </w:rPr>
              <w:t>8</w:t>
            </w:r>
          </w:p>
        </w:tc>
        <w:tc>
          <w:tcPr>
            <w:tcW w:w="2346" w:type="pct"/>
            <w:shd w:val="clear" w:color="auto" w:fill="auto"/>
            <w:vAlign w:val="center"/>
          </w:tcPr>
          <w:p w14:paraId="7E192B23">
            <w:pPr>
              <w:spacing w:line="560" w:lineRule="exact"/>
              <w:ind w:firstLine="420"/>
              <w:rPr>
                <w:rFonts w:ascii="仿宋_GB2312" w:hAnsi="宋体" w:eastAsia="仿宋"/>
                <w:sz w:val="32"/>
              </w:rPr>
            </w:pPr>
            <w:r>
              <w:rPr>
                <w:rFonts w:ascii="仿宋_GB2312" w:eastAsia="仿宋"/>
                <w:sz w:val="32"/>
              </w:rPr>
              <w:t>马尔康市自然资源局</w:t>
            </w:r>
          </w:p>
        </w:tc>
        <w:tc>
          <w:tcPr>
            <w:tcW w:w="2025" w:type="pct"/>
            <w:shd w:val="clear" w:color="auto" w:fill="auto"/>
            <w:vAlign w:val="center"/>
          </w:tcPr>
          <w:p w14:paraId="692B0F66">
            <w:pPr>
              <w:spacing w:line="560" w:lineRule="exact"/>
              <w:ind w:firstLine="420"/>
              <w:jc w:val="right"/>
              <w:rPr>
                <w:rFonts w:ascii="仿宋_GB2312" w:hAnsi="宋体" w:eastAsia="仿宋"/>
                <w:sz w:val="32"/>
              </w:rPr>
            </w:pPr>
            <w:r>
              <w:rPr>
                <w:rFonts w:ascii="仿宋_GB2312" w:hAnsi="宋体" w:eastAsia="仿宋"/>
                <w:sz w:val="32"/>
              </w:rPr>
              <w:t>12,011,267.04</w:t>
            </w:r>
          </w:p>
        </w:tc>
      </w:tr>
      <w:tr w14:paraId="70DA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1FBB568B">
            <w:pPr>
              <w:spacing w:line="560" w:lineRule="exact"/>
              <w:ind w:firstLine="420"/>
              <w:rPr>
                <w:rFonts w:ascii="仿宋_GB2312" w:hAnsi="宋体" w:eastAsia="仿宋"/>
                <w:sz w:val="32"/>
              </w:rPr>
            </w:pPr>
            <w:r>
              <w:rPr>
                <w:rFonts w:ascii="仿宋_GB2312" w:hAnsi="宋体" w:eastAsia="仿宋"/>
                <w:sz w:val="32"/>
              </w:rPr>
              <w:t>9</w:t>
            </w:r>
          </w:p>
        </w:tc>
        <w:tc>
          <w:tcPr>
            <w:tcW w:w="2346" w:type="pct"/>
            <w:shd w:val="clear" w:color="auto" w:fill="auto"/>
            <w:vAlign w:val="center"/>
          </w:tcPr>
          <w:p w14:paraId="4925C8E3">
            <w:pPr>
              <w:spacing w:line="560" w:lineRule="exact"/>
              <w:ind w:firstLine="420"/>
              <w:rPr>
                <w:rFonts w:ascii="仿宋_GB2312" w:hAnsi="宋体" w:eastAsia="仿宋"/>
                <w:sz w:val="32"/>
              </w:rPr>
            </w:pPr>
            <w:r>
              <w:rPr>
                <w:rFonts w:ascii="仿宋_GB2312" w:eastAsia="仿宋"/>
                <w:sz w:val="32"/>
              </w:rPr>
              <w:t>马尔康市人民法院</w:t>
            </w:r>
          </w:p>
        </w:tc>
        <w:tc>
          <w:tcPr>
            <w:tcW w:w="2025" w:type="pct"/>
            <w:shd w:val="clear" w:color="auto" w:fill="auto"/>
            <w:vAlign w:val="center"/>
          </w:tcPr>
          <w:p w14:paraId="3D4ED076">
            <w:pPr>
              <w:spacing w:line="560" w:lineRule="exact"/>
              <w:ind w:firstLine="420"/>
              <w:jc w:val="right"/>
              <w:rPr>
                <w:rFonts w:ascii="仿宋_GB2312" w:hAnsi="宋体" w:eastAsia="仿宋"/>
                <w:sz w:val="32"/>
              </w:rPr>
            </w:pPr>
            <w:r>
              <w:rPr>
                <w:rFonts w:ascii="仿宋_GB2312" w:hAnsi="宋体" w:eastAsia="仿宋"/>
                <w:sz w:val="32"/>
              </w:rPr>
              <w:t>3,069,609.78</w:t>
            </w:r>
          </w:p>
        </w:tc>
      </w:tr>
      <w:tr w14:paraId="1EA0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07D190BF">
            <w:pPr>
              <w:spacing w:line="560" w:lineRule="exact"/>
              <w:ind w:firstLine="420"/>
              <w:rPr>
                <w:rFonts w:ascii="仿宋_GB2312" w:hAnsi="宋体" w:eastAsia="仿宋"/>
                <w:sz w:val="32"/>
              </w:rPr>
            </w:pPr>
            <w:r>
              <w:rPr>
                <w:rFonts w:ascii="仿宋_GB2312" w:hAnsi="宋体" w:eastAsia="仿宋"/>
                <w:sz w:val="32"/>
              </w:rPr>
              <w:t>10</w:t>
            </w:r>
          </w:p>
        </w:tc>
        <w:tc>
          <w:tcPr>
            <w:tcW w:w="2346" w:type="pct"/>
            <w:shd w:val="clear" w:color="auto" w:fill="auto"/>
            <w:vAlign w:val="center"/>
          </w:tcPr>
          <w:p w14:paraId="518815DA">
            <w:pPr>
              <w:spacing w:line="560" w:lineRule="exact"/>
              <w:ind w:firstLine="420"/>
              <w:rPr>
                <w:rFonts w:ascii="仿宋_GB2312" w:hAnsi="宋体" w:eastAsia="仿宋"/>
                <w:sz w:val="32"/>
              </w:rPr>
            </w:pPr>
            <w:r>
              <w:rPr>
                <w:rFonts w:ascii="仿宋_GB2312" w:eastAsia="仿宋"/>
                <w:sz w:val="32"/>
              </w:rPr>
              <w:t>马尔康市人民检察院</w:t>
            </w:r>
          </w:p>
        </w:tc>
        <w:tc>
          <w:tcPr>
            <w:tcW w:w="2025" w:type="pct"/>
            <w:shd w:val="clear" w:color="auto" w:fill="auto"/>
            <w:vAlign w:val="center"/>
          </w:tcPr>
          <w:p w14:paraId="064FD50F">
            <w:pPr>
              <w:spacing w:line="560" w:lineRule="exact"/>
              <w:ind w:firstLine="420"/>
              <w:jc w:val="right"/>
              <w:rPr>
                <w:rFonts w:ascii="仿宋_GB2312" w:hAnsi="宋体" w:eastAsia="仿宋"/>
                <w:sz w:val="32"/>
              </w:rPr>
            </w:pPr>
            <w:r>
              <w:rPr>
                <w:rFonts w:ascii="仿宋_GB2312" w:hAnsi="宋体" w:eastAsia="仿宋"/>
                <w:sz w:val="32"/>
              </w:rPr>
              <w:t>1,727,385.43</w:t>
            </w:r>
          </w:p>
        </w:tc>
      </w:tr>
      <w:tr w14:paraId="0696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36DB1972">
            <w:pPr>
              <w:spacing w:line="560" w:lineRule="exact"/>
              <w:ind w:firstLine="420"/>
              <w:rPr>
                <w:rFonts w:ascii="仿宋_GB2312" w:hAnsi="宋体" w:eastAsia="仿宋"/>
                <w:sz w:val="32"/>
              </w:rPr>
            </w:pPr>
            <w:r>
              <w:rPr>
                <w:rFonts w:ascii="仿宋_GB2312" w:hAnsi="宋体" w:eastAsia="仿宋"/>
                <w:sz w:val="32"/>
              </w:rPr>
              <w:t>11</w:t>
            </w:r>
          </w:p>
        </w:tc>
        <w:tc>
          <w:tcPr>
            <w:tcW w:w="2346" w:type="pct"/>
            <w:shd w:val="clear" w:color="auto" w:fill="auto"/>
            <w:vAlign w:val="center"/>
          </w:tcPr>
          <w:p w14:paraId="553C0DC1">
            <w:pPr>
              <w:spacing w:line="560" w:lineRule="exact"/>
              <w:ind w:firstLine="420"/>
              <w:rPr>
                <w:rFonts w:ascii="仿宋_GB2312" w:hAnsi="宋体" w:eastAsia="仿宋"/>
                <w:sz w:val="32"/>
              </w:rPr>
            </w:pPr>
            <w:r>
              <w:rPr>
                <w:rFonts w:ascii="仿宋_GB2312" w:eastAsia="仿宋"/>
                <w:sz w:val="32"/>
              </w:rPr>
              <w:t>马尔康市卫生健康局</w:t>
            </w:r>
          </w:p>
        </w:tc>
        <w:tc>
          <w:tcPr>
            <w:tcW w:w="2025" w:type="pct"/>
            <w:shd w:val="clear" w:color="auto" w:fill="auto"/>
            <w:vAlign w:val="center"/>
          </w:tcPr>
          <w:p w14:paraId="766D496D">
            <w:pPr>
              <w:spacing w:line="560" w:lineRule="exact"/>
              <w:ind w:firstLine="420"/>
              <w:jc w:val="right"/>
              <w:rPr>
                <w:rFonts w:ascii="仿宋_GB2312" w:hAnsi="宋体" w:eastAsia="仿宋"/>
                <w:sz w:val="32"/>
              </w:rPr>
            </w:pPr>
            <w:r>
              <w:rPr>
                <w:rFonts w:ascii="仿宋_GB2312" w:hAnsi="宋体" w:eastAsia="仿宋"/>
                <w:sz w:val="32"/>
              </w:rPr>
              <w:t>27,183,612.46</w:t>
            </w:r>
          </w:p>
        </w:tc>
      </w:tr>
      <w:tr w14:paraId="26DA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0E2ACF6D">
            <w:pPr>
              <w:spacing w:line="560" w:lineRule="exact"/>
              <w:ind w:firstLine="420"/>
              <w:rPr>
                <w:rFonts w:ascii="仿宋_GB2312" w:hAnsi="宋体" w:eastAsia="仿宋"/>
                <w:sz w:val="32"/>
              </w:rPr>
            </w:pPr>
            <w:r>
              <w:rPr>
                <w:rFonts w:ascii="仿宋_GB2312" w:hAnsi="宋体" w:eastAsia="仿宋"/>
                <w:sz w:val="32"/>
              </w:rPr>
              <w:t>12</w:t>
            </w:r>
          </w:p>
        </w:tc>
        <w:tc>
          <w:tcPr>
            <w:tcW w:w="2346" w:type="pct"/>
            <w:shd w:val="clear" w:color="auto" w:fill="auto"/>
            <w:vAlign w:val="center"/>
          </w:tcPr>
          <w:p w14:paraId="15F79D31">
            <w:pPr>
              <w:spacing w:line="560" w:lineRule="exact"/>
              <w:ind w:firstLine="420"/>
              <w:rPr>
                <w:rFonts w:ascii="仿宋_GB2312" w:hAnsi="宋体" w:eastAsia="仿宋"/>
                <w:sz w:val="32"/>
              </w:rPr>
            </w:pPr>
            <w:r>
              <w:rPr>
                <w:rFonts w:ascii="仿宋_GB2312" w:eastAsia="仿宋"/>
                <w:sz w:val="32"/>
              </w:rPr>
              <w:t>马尔康市林业和草原局</w:t>
            </w:r>
          </w:p>
        </w:tc>
        <w:tc>
          <w:tcPr>
            <w:tcW w:w="2025" w:type="pct"/>
            <w:shd w:val="clear" w:color="auto" w:fill="auto"/>
            <w:vAlign w:val="center"/>
          </w:tcPr>
          <w:p w14:paraId="46A85CFA">
            <w:pPr>
              <w:spacing w:line="560" w:lineRule="exact"/>
              <w:ind w:firstLine="420"/>
              <w:jc w:val="right"/>
              <w:rPr>
                <w:rFonts w:ascii="仿宋_GB2312" w:hAnsi="宋体" w:eastAsia="仿宋"/>
                <w:sz w:val="32"/>
              </w:rPr>
            </w:pPr>
            <w:r>
              <w:rPr>
                <w:rFonts w:ascii="仿宋_GB2312" w:hAnsi="宋体" w:eastAsia="仿宋"/>
                <w:sz w:val="32"/>
              </w:rPr>
              <w:t>26.932.326.05</w:t>
            </w:r>
          </w:p>
        </w:tc>
      </w:tr>
      <w:tr w14:paraId="63D7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shd w:val="clear" w:color="auto" w:fill="auto"/>
            <w:vAlign w:val="center"/>
          </w:tcPr>
          <w:p w14:paraId="0A2E6E9A">
            <w:pPr>
              <w:spacing w:line="560" w:lineRule="exact"/>
              <w:ind w:firstLine="420"/>
              <w:rPr>
                <w:rFonts w:ascii="仿宋_GB2312" w:hAnsi="宋体" w:eastAsia="仿宋"/>
                <w:sz w:val="32"/>
              </w:rPr>
            </w:pPr>
            <w:r>
              <w:rPr>
                <w:rFonts w:ascii="仿宋_GB2312" w:hAnsi="宋体" w:eastAsia="仿宋"/>
                <w:sz w:val="32"/>
              </w:rPr>
              <w:t>13</w:t>
            </w:r>
          </w:p>
        </w:tc>
        <w:tc>
          <w:tcPr>
            <w:tcW w:w="2346" w:type="pct"/>
            <w:shd w:val="clear" w:color="auto" w:fill="auto"/>
            <w:vAlign w:val="center"/>
          </w:tcPr>
          <w:p w14:paraId="045FA2E9">
            <w:pPr>
              <w:spacing w:line="560" w:lineRule="exact"/>
              <w:ind w:firstLine="420"/>
              <w:rPr>
                <w:rFonts w:ascii="仿宋_GB2312" w:hAnsi="宋体" w:eastAsia="仿宋"/>
                <w:sz w:val="32"/>
              </w:rPr>
            </w:pPr>
            <w:r>
              <w:rPr>
                <w:rFonts w:ascii="仿宋_GB2312" w:eastAsia="仿宋"/>
                <w:sz w:val="32"/>
              </w:rPr>
              <w:t>马尔康市水务局</w:t>
            </w:r>
          </w:p>
        </w:tc>
        <w:tc>
          <w:tcPr>
            <w:tcW w:w="2025" w:type="pct"/>
            <w:shd w:val="clear" w:color="auto" w:fill="auto"/>
            <w:vAlign w:val="center"/>
          </w:tcPr>
          <w:p w14:paraId="4F10B2EC">
            <w:pPr>
              <w:spacing w:line="560" w:lineRule="exact"/>
              <w:ind w:firstLine="420"/>
              <w:jc w:val="right"/>
              <w:rPr>
                <w:rFonts w:ascii="仿宋_GB2312" w:hAnsi="宋体" w:eastAsia="仿宋"/>
                <w:sz w:val="32"/>
              </w:rPr>
            </w:pPr>
          </w:p>
        </w:tc>
      </w:tr>
    </w:tbl>
    <w:p w14:paraId="457BDE3B">
      <w:pPr>
        <w:spacing w:line="560" w:lineRule="exact"/>
        <w:ind w:firstLine="562"/>
        <w:rPr>
          <w:rFonts w:hint="eastAsia"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三公经费方面：</w:t>
      </w:r>
      <w:r>
        <w:rPr>
          <w:rFonts w:hint="eastAsia" w:ascii="仿宋_GB2312" w:hAnsi="宋体" w:eastAsia="仿宋" w:cs="宋体"/>
          <w:sz w:val="32"/>
          <w:szCs w:val="28"/>
          <w:shd w:val="clear" w:color="auto" w:fill="FFFFFF"/>
        </w:rPr>
        <w:t>2019年共计</w:t>
      </w:r>
      <w:r>
        <w:rPr>
          <w:rFonts w:ascii="仿宋_GB2312" w:hAnsi="宋体" w:eastAsia="仿宋" w:cs="宋体"/>
          <w:sz w:val="32"/>
          <w:szCs w:val="28"/>
          <w:shd w:val="clear" w:color="auto" w:fill="FFFFFF"/>
        </w:rPr>
        <w:t>10</w:t>
      </w:r>
      <w:r>
        <w:rPr>
          <w:rFonts w:hint="eastAsia" w:ascii="仿宋_GB2312" w:hAnsi="宋体" w:eastAsia="仿宋" w:cs="宋体"/>
          <w:sz w:val="32"/>
          <w:szCs w:val="28"/>
          <w:shd w:val="clear" w:color="auto" w:fill="FFFFFF"/>
        </w:rPr>
        <w:t>个被评价部门严格执行“三公经费”预算，</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个被评价部门三公经费超预算，详见下表：</w:t>
      </w:r>
    </w:p>
    <w:p w14:paraId="3F747861">
      <w:pPr>
        <w:spacing w:line="560" w:lineRule="exact"/>
        <w:jc w:val="center"/>
        <w:rPr>
          <w:rFonts w:ascii="仿宋_GB2312" w:hAnsi="宋体" w:eastAsia="仿宋" w:cs="宋体"/>
          <w:sz w:val="32"/>
          <w:szCs w:val="28"/>
          <w:shd w:val="clear" w:color="auto" w:fill="FFFFFF"/>
        </w:rPr>
      </w:pPr>
      <w:r>
        <w:rPr>
          <w:rFonts w:hint="eastAsia" w:ascii="仿宋_GB2312" w:hAnsi="宋体" w:eastAsia="仿宋" w:cs="仿宋_GB2312"/>
          <w:bCs/>
          <w:sz w:val="32"/>
          <w:lang w:bidi="ar"/>
        </w:rPr>
        <w:t>表17 2018年三公经费超预算情况表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49"/>
        <w:gridCol w:w="5793"/>
      </w:tblGrid>
      <w:tr w14:paraId="256A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shd w:val="clear" w:color="auto" w:fill="BEBEBE"/>
            <w:vAlign w:val="center"/>
          </w:tcPr>
          <w:p w14:paraId="1EEB3931">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2149" w:type="dxa"/>
            <w:shd w:val="clear" w:color="auto" w:fill="BEBEBE"/>
            <w:vAlign w:val="center"/>
          </w:tcPr>
          <w:p w14:paraId="75C61E41">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部门</w:t>
            </w:r>
          </w:p>
        </w:tc>
        <w:tc>
          <w:tcPr>
            <w:tcW w:w="5793" w:type="dxa"/>
            <w:shd w:val="clear" w:color="auto" w:fill="BEBEBE"/>
            <w:vAlign w:val="center"/>
          </w:tcPr>
          <w:p w14:paraId="501D785A">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2018年三公经费超预算</w:t>
            </w:r>
          </w:p>
        </w:tc>
      </w:tr>
      <w:tr w14:paraId="6776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shd w:val="clear" w:color="auto" w:fill="auto"/>
            <w:vAlign w:val="center"/>
          </w:tcPr>
          <w:p w14:paraId="16A309B4">
            <w:pPr>
              <w:spacing w:line="560" w:lineRule="exact"/>
              <w:ind w:firstLine="420"/>
              <w:jc w:val="center"/>
              <w:rPr>
                <w:rFonts w:ascii="仿宋_GB2312" w:hAnsi="宋体" w:eastAsia="仿宋"/>
                <w:sz w:val="32"/>
              </w:rPr>
            </w:pPr>
            <w:r>
              <w:rPr>
                <w:rFonts w:ascii="仿宋_GB2312" w:hAnsi="宋体" w:eastAsia="仿宋"/>
                <w:sz w:val="32"/>
              </w:rPr>
              <w:t>1</w:t>
            </w:r>
          </w:p>
        </w:tc>
        <w:tc>
          <w:tcPr>
            <w:tcW w:w="2149" w:type="dxa"/>
            <w:shd w:val="clear" w:color="auto" w:fill="auto"/>
            <w:vAlign w:val="center"/>
          </w:tcPr>
          <w:p w14:paraId="3CD327E2">
            <w:pPr>
              <w:spacing w:line="560" w:lineRule="exact"/>
              <w:rPr>
                <w:rFonts w:ascii="仿宋_GB2312" w:hAnsi="宋体" w:eastAsia="仿宋"/>
                <w:sz w:val="32"/>
              </w:rPr>
            </w:pPr>
            <w:r>
              <w:rPr>
                <w:rFonts w:ascii="仿宋_GB2312" w:hAnsi="宋体" w:eastAsia="仿宋"/>
                <w:sz w:val="32"/>
              </w:rPr>
              <w:t>马尔康市公共服务中心</w:t>
            </w:r>
          </w:p>
        </w:tc>
        <w:tc>
          <w:tcPr>
            <w:tcW w:w="5793" w:type="dxa"/>
            <w:shd w:val="clear" w:color="auto" w:fill="auto"/>
            <w:vAlign w:val="center"/>
          </w:tcPr>
          <w:p w14:paraId="5FB09751">
            <w:pPr>
              <w:spacing w:line="560" w:lineRule="exact"/>
              <w:rPr>
                <w:rFonts w:ascii="仿宋_GB2312" w:hAnsi="宋体" w:eastAsia="仿宋"/>
                <w:sz w:val="32"/>
              </w:rPr>
            </w:pPr>
            <w:r>
              <w:rPr>
                <w:rFonts w:ascii="仿宋_GB2312" w:hAnsi="宋体" w:eastAsia="仿宋"/>
                <w:sz w:val="32"/>
              </w:rPr>
              <w:t>被评价单位2019年公务用车运行维护费实际执行4.83万元，年初预算2.28万元。</w:t>
            </w:r>
          </w:p>
        </w:tc>
      </w:tr>
      <w:tr w14:paraId="1CC9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shd w:val="clear" w:color="auto" w:fill="auto"/>
            <w:vAlign w:val="center"/>
          </w:tcPr>
          <w:p w14:paraId="5C1BCCB6">
            <w:pPr>
              <w:spacing w:line="560" w:lineRule="exact"/>
              <w:ind w:firstLine="420"/>
              <w:jc w:val="center"/>
              <w:rPr>
                <w:rFonts w:ascii="仿宋_GB2312" w:hAnsi="宋体" w:eastAsia="仿宋"/>
                <w:sz w:val="32"/>
              </w:rPr>
            </w:pPr>
            <w:r>
              <w:rPr>
                <w:rFonts w:ascii="仿宋_GB2312" w:hAnsi="宋体" w:eastAsia="仿宋"/>
                <w:sz w:val="32"/>
              </w:rPr>
              <w:t>2</w:t>
            </w:r>
          </w:p>
        </w:tc>
        <w:tc>
          <w:tcPr>
            <w:tcW w:w="2149" w:type="dxa"/>
            <w:shd w:val="clear" w:color="auto" w:fill="auto"/>
            <w:vAlign w:val="center"/>
          </w:tcPr>
          <w:p w14:paraId="50A969F6">
            <w:pPr>
              <w:spacing w:line="560" w:lineRule="exact"/>
              <w:rPr>
                <w:rFonts w:ascii="仿宋_GB2312" w:hAnsi="宋体" w:eastAsia="仿宋"/>
                <w:sz w:val="32"/>
              </w:rPr>
            </w:pPr>
            <w:r>
              <w:rPr>
                <w:rFonts w:ascii="仿宋_GB2312" w:hAnsi="宋体" w:eastAsia="仿宋"/>
                <w:sz w:val="32"/>
              </w:rPr>
              <w:t>马尔康市经济商务和信息化局</w:t>
            </w:r>
          </w:p>
        </w:tc>
        <w:tc>
          <w:tcPr>
            <w:tcW w:w="5793" w:type="dxa"/>
            <w:shd w:val="clear" w:color="auto" w:fill="auto"/>
            <w:vAlign w:val="center"/>
          </w:tcPr>
          <w:p w14:paraId="3607D89C">
            <w:pPr>
              <w:spacing w:line="560" w:lineRule="exact"/>
              <w:rPr>
                <w:rFonts w:ascii="仿宋_GB2312" w:hAnsi="宋体" w:eastAsia="仿宋"/>
                <w:sz w:val="32"/>
              </w:rPr>
            </w:pPr>
            <w:r>
              <w:rPr>
                <w:rFonts w:ascii="仿宋_GB2312" w:hAnsi="宋体" w:eastAsia="仿宋"/>
                <w:sz w:val="32"/>
              </w:rPr>
              <w:t>被评价单位2019年公务用车运行经费实际支出7.22万元，预算1.50万元。</w:t>
            </w:r>
          </w:p>
        </w:tc>
      </w:tr>
      <w:tr w14:paraId="5FEE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shd w:val="clear" w:color="auto" w:fill="auto"/>
            <w:vAlign w:val="center"/>
          </w:tcPr>
          <w:p w14:paraId="596B735C">
            <w:pPr>
              <w:spacing w:line="560" w:lineRule="exact"/>
              <w:ind w:firstLine="420"/>
              <w:jc w:val="center"/>
              <w:rPr>
                <w:rFonts w:ascii="仿宋_GB2312" w:hAnsi="宋体" w:eastAsia="仿宋"/>
                <w:sz w:val="32"/>
              </w:rPr>
            </w:pPr>
            <w:r>
              <w:rPr>
                <w:rFonts w:ascii="仿宋_GB2312" w:hAnsi="宋体" w:eastAsia="仿宋"/>
                <w:sz w:val="32"/>
              </w:rPr>
              <w:t>3</w:t>
            </w:r>
          </w:p>
        </w:tc>
        <w:tc>
          <w:tcPr>
            <w:tcW w:w="2149" w:type="dxa"/>
            <w:shd w:val="clear" w:color="auto" w:fill="auto"/>
            <w:vAlign w:val="center"/>
          </w:tcPr>
          <w:p w14:paraId="06B7C607">
            <w:pPr>
              <w:spacing w:line="560" w:lineRule="exact"/>
              <w:rPr>
                <w:rFonts w:ascii="仿宋_GB2312" w:hAnsi="宋体" w:eastAsia="仿宋"/>
                <w:sz w:val="32"/>
              </w:rPr>
            </w:pPr>
            <w:r>
              <w:rPr>
                <w:rFonts w:ascii="仿宋_GB2312" w:hAnsi="宋体" w:eastAsia="仿宋"/>
                <w:sz w:val="32"/>
              </w:rPr>
              <w:t>马尔康市自然资源局</w:t>
            </w:r>
          </w:p>
        </w:tc>
        <w:tc>
          <w:tcPr>
            <w:tcW w:w="5793" w:type="dxa"/>
            <w:shd w:val="clear" w:color="auto" w:fill="auto"/>
            <w:vAlign w:val="center"/>
          </w:tcPr>
          <w:p w14:paraId="2E1BA3FC">
            <w:pPr>
              <w:spacing w:line="560" w:lineRule="exact"/>
              <w:rPr>
                <w:rFonts w:ascii="仿宋_GB2312" w:hAnsi="宋体" w:eastAsia="仿宋"/>
                <w:sz w:val="32"/>
              </w:rPr>
            </w:pPr>
            <w:r>
              <w:rPr>
                <w:rFonts w:ascii="仿宋_GB2312" w:hAnsi="宋体" w:eastAsia="仿宋"/>
                <w:sz w:val="32"/>
              </w:rPr>
              <w:t>被评价单位2019年公务用车运行预算金额31,239.91元，公务用车运行决算金额71,364.41万元。</w:t>
            </w:r>
          </w:p>
        </w:tc>
      </w:tr>
    </w:tbl>
    <w:p w14:paraId="4338D960">
      <w:pPr>
        <w:spacing w:line="560" w:lineRule="exact"/>
        <w:ind w:firstLine="562"/>
        <w:rPr>
          <w:rFonts w:hint="eastAsia" w:ascii="仿宋_GB2312" w:hAnsi="宋体" w:eastAsia="仿宋" w:cs="宋体"/>
          <w:bCs/>
          <w:sz w:val="32"/>
          <w:szCs w:val="28"/>
          <w:shd w:val="clear" w:color="auto" w:fill="FFFFFF"/>
        </w:rPr>
      </w:pPr>
    </w:p>
    <w:p w14:paraId="246A940F">
      <w:pPr>
        <w:pStyle w:val="40"/>
        <w:spacing w:before="156" w:after="156" w:line="560" w:lineRule="exact"/>
        <w:ind w:firstLine="640"/>
        <w:rPr>
          <w:rFonts w:hint="eastAsia" w:ascii="仿宋_GB2312" w:hAnsi="仿宋_GB2312" w:eastAsia="仿宋" w:cs="仿宋_GB2312"/>
          <w:b w:val="0"/>
          <w:color w:val="auto"/>
          <w:sz w:val="32"/>
          <w:szCs w:val="28"/>
        </w:rPr>
      </w:pPr>
      <w:bookmarkStart w:id="38" w:name="_Toc11727"/>
      <w:r>
        <w:rPr>
          <w:rFonts w:hint="eastAsia" w:ascii="仿宋_GB2312" w:hAnsi="仿宋_GB2312" w:eastAsia="仿宋" w:cs="仿宋_GB2312"/>
          <w:b w:val="0"/>
          <w:color w:val="auto"/>
          <w:sz w:val="32"/>
          <w:szCs w:val="28"/>
        </w:rPr>
        <w:t>——综合管理情况</w:t>
      </w:r>
      <w:bookmarkEnd w:id="38"/>
    </w:p>
    <w:p w14:paraId="3CC61D6F">
      <w:pPr>
        <w:spacing w:line="560" w:lineRule="exact"/>
        <w:ind w:firstLine="560"/>
        <w:rPr>
          <w:rFonts w:ascii="仿宋_GB2312" w:hAnsi="宋体" w:eastAsia="仿宋"/>
          <w:sz w:val="32"/>
          <w:szCs w:val="28"/>
        </w:rPr>
      </w:pPr>
      <w:r>
        <w:rPr>
          <w:rFonts w:hint="eastAsia" w:ascii="仿宋_GB2312" w:hAnsi="宋体" w:eastAsia="仿宋"/>
          <w:sz w:val="32"/>
          <w:szCs w:val="28"/>
        </w:rPr>
        <w:t>该指标权重为40.00分，实得3</w:t>
      </w:r>
      <w:r>
        <w:rPr>
          <w:rFonts w:ascii="仿宋_GB2312" w:hAnsi="宋体" w:eastAsia="仿宋"/>
          <w:sz w:val="32"/>
          <w:szCs w:val="28"/>
        </w:rPr>
        <w:t>0.98</w:t>
      </w:r>
      <w:r>
        <w:rPr>
          <w:rFonts w:hint="eastAsia" w:ascii="仿宋_GB2312" w:hAnsi="宋体" w:eastAsia="仿宋"/>
          <w:sz w:val="32"/>
          <w:szCs w:val="28"/>
        </w:rPr>
        <w:t>分，用于考察部门政府采购情况、资产管理情况、内控制度健全性、信息公开情况、绩效评价情况、依法接受财政监督情况。</w:t>
      </w:r>
    </w:p>
    <w:p w14:paraId="304F2B26">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各分项指标得分和绩效分析如下：</w:t>
      </w:r>
    </w:p>
    <w:p w14:paraId="5F21CC88">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表18 综合管理类指标得分情况汇总表</w:t>
      </w:r>
    </w:p>
    <w:tbl>
      <w:tblPr>
        <w:tblStyle w:val="15"/>
        <w:tblpPr w:leftFromText="180" w:rightFromText="180" w:vertAnchor="text" w:horzAnchor="page" w:tblpXSpec="center" w:tblpY="322"/>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48ABE472">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6AEBA745">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681DAA59">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38726231">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73BA4BA1">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19127EB8">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tcPr>
          <w:p w14:paraId="7BB583B7">
            <w:pPr>
              <w:spacing w:line="560" w:lineRule="exact"/>
              <w:jc w:val="center"/>
              <w:rPr>
                <w:rFonts w:ascii="仿宋_GB2312" w:hAnsi="宋体" w:eastAsia="仿宋"/>
                <w:sz w:val="32"/>
              </w:rPr>
            </w:pPr>
            <w:r>
              <w:rPr>
                <w:rFonts w:ascii="仿宋_GB2312" w:hAnsi="宋体" w:eastAsia="仿宋"/>
                <w:sz w:val="32"/>
              </w:rPr>
              <w:t>综合管理</w:t>
            </w:r>
          </w:p>
        </w:tc>
        <w:tc>
          <w:tcPr>
            <w:tcW w:w="1379" w:type="pct"/>
            <w:vAlign w:val="center"/>
          </w:tcPr>
          <w:p w14:paraId="24EAB95B">
            <w:pPr>
              <w:spacing w:line="560" w:lineRule="exact"/>
              <w:jc w:val="center"/>
              <w:rPr>
                <w:rFonts w:ascii="仿宋_GB2312" w:hAnsi="Arial Narrow" w:eastAsia="仿宋"/>
                <w:sz w:val="32"/>
              </w:rPr>
            </w:pPr>
            <w:r>
              <w:rPr>
                <w:rFonts w:ascii="仿宋_GB2312" w:hAnsi="宋体" w:eastAsia="仿宋"/>
                <w:sz w:val="32"/>
              </w:rPr>
              <w:t>40.00</w:t>
            </w:r>
          </w:p>
        </w:tc>
        <w:tc>
          <w:tcPr>
            <w:tcW w:w="1346" w:type="pct"/>
            <w:vAlign w:val="center"/>
          </w:tcPr>
          <w:p w14:paraId="03ED5D48">
            <w:pPr>
              <w:spacing w:line="560" w:lineRule="exact"/>
              <w:jc w:val="center"/>
              <w:rPr>
                <w:rFonts w:ascii="仿宋_GB2312" w:hAnsi="Arial Narrow" w:eastAsia="仿宋"/>
                <w:sz w:val="32"/>
              </w:rPr>
            </w:pPr>
            <w:r>
              <w:rPr>
                <w:rFonts w:ascii="仿宋_GB2312" w:hAnsi="宋体" w:eastAsia="仿宋"/>
                <w:sz w:val="32"/>
              </w:rPr>
              <w:t>30.98</w:t>
            </w:r>
          </w:p>
        </w:tc>
        <w:tc>
          <w:tcPr>
            <w:tcW w:w="1370" w:type="pct"/>
            <w:vAlign w:val="center"/>
          </w:tcPr>
          <w:p w14:paraId="616496F6">
            <w:pPr>
              <w:spacing w:line="560" w:lineRule="exact"/>
              <w:jc w:val="center"/>
              <w:rPr>
                <w:rFonts w:ascii="仿宋_GB2312" w:hAnsi="Arial Narrow" w:eastAsia="仿宋"/>
                <w:sz w:val="32"/>
              </w:rPr>
            </w:pPr>
            <w:r>
              <w:rPr>
                <w:rFonts w:ascii="仿宋_GB2312" w:hAnsi="宋体" w:eastAsia="仿宋"/>
                <w:sz w:val="32"/>
              </w:rPr>
              <w:t>77.44%</w:t>
            </w:r>
          </w:p>
        </w:tc>
      </w:tr>
    </w:tbl>
    <w:p w14:paraId="7091CFDF">
      <w:pPr>
        <w:spacing w:line="560" w:lineRule="exact"/>
        <w:ind w:firstLine="562"/>
        <w:rPr>
          <w:rFonts w:hint="eastAsia"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资产管理信息系统建设情况：</w:t>
      </w:r>
      <w:r>
        <w:rPr>
          <w:rFonts w:hint="eastAsia" w:ascii="仿宋_GB2312" w:hAnsi="宋体" w:eastAsia="仿宋" w:cs="宋体"/>
          <w:sz w:val="32"/>
          <w:szCs w:val="28"/>
          <w:shd w:val="clear" w:color="auto" w:fill="FFFFFF"/>
        </w:rPr>
        <w:t>涉及考核的9个部门中6个部门将国有资产及时纳入了资产信息系统管理情况，并落实了人员负责管理系统。</w:t>
      </w:r>
      <w:r>
        <w:rPr>
          <w:rFonts w:ascii="仿宋_GB2312" w:hAnsi="宋体" w:eastAsia="仿宋" w:cs="宋体"/>
          <w:sz w:val="32"/>
          <w:szCs w:val="28"/>
          <w:shd w:val="clear" w:color="auto" w:fill="FFFFFF"/>
        </w:rPr>
        <w:t>5</w:t>
      </w:r>
      <w:r>
        <w:rPr>
          <w:rFonts w:hint="eastAsia" w:ascii="仿宋_GB2312" w:hAnsi="宋体" w:eastAsia="仿宋" w:cs="宋体"/>
          <w:sz w:val="32"/>
          <w:szCs w:val="28"/>
          <w:shd w:val="clear" w:color="auto" w:fill="FFFFFF"/>
        </w:rPr>
        <w:t>个部门资产管理信息系统数据与决算报表数据不符，详见下表：</w:t>
      </w:r>
    </w:p>
    <w:p w14:paraId="516E5A7F">
      <w:pPr>
        <w:spacing w:line="560" w:lineRule="exact"/>
        <w:jc w:val="center"/>
        <w:rPr>
          <w:rFonts w:hint="eastAsia" w:ascii="仿宋_GB2312" w:hAnsi="宋体" w:eastAsia="仿宋" w:cs="宋体"/>
          <w:sz w:val="32"/>
          <w:szCs w:val="28"/>
          <w:shd w:val="clear" w:color="auto" w:fill="FFFFFF"/>
        </w:rPr>
      </w:pPr>
      <w:r>
        <w:rPr>
          <w:rFonts w:hint="eastAsia" w:ascii="仿宋_GB2312" w:hAnsi="宋体" w:eastAsia="仿宋" w:cs="仿宋_GB2312"/>
          <w:bCs/>
          <w:sz w:val="32"/>
          <w:lang w:bidi="ar"/>
        </w:rPr>
        <w:t>表19 资产管理信息系统建设情况表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49"/>
        <w:gridCol w:w="5793"/>
      </w:tblGrid>
      <w:tr w14:paraId="78EB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shd w:val="clear" w:color="auto" w:fill="BEBEBE"/>
            <w:vAlign w:val="center"/>
          </w:tcPr>
          <w:p w14:paraId="395A4C1E">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2149" w:type="dxa"/>
            <w:shd w:val="clear" w:color="auto" w:fill="BEBEBE"/>
            <w:vAlign w:val="center"/>
          </w:tcPr>
          <w:p w14:paraId="3018887B">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部门</w:t>
            </w:r>
          </w:p>
        </w:tc>
        <w:tc>
          <w:tcPr>
            <w:tcW w:w="5793" w:type="dxa"/>
            <w:shd w:val="clear" w:color="auto" w:fill="BEBEBE"/>
            <w:vAlign w:val="center"/>
          </w:tcPr>
          <w:p w14:paraId="641F8F64">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2018年资产清查情况</w:t>
            </w:r>
          </w:p>
        </w:tc>
      </w:tr>
      <w:tr w14:paraId="4442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shd w:val="clear" w:color="auto" w:fill="auto"/>
            <w:vAlign w:val="center"/>
          </w:tcPr>
          <w:p w14:paraId="6BBA75E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2149" w:type="dxa"/>
            <w:shd w:val="clear" w:color="auto" w:fill="auto"/>
            <w:vAlign w:val="center"/>
          </w:tcPr>
          <w:p w14:paraId="091CEE00">
            <w:pPr>
              <w:spacing w:line="560" w:lineRule="exact"/>
              <w:rPr>
                <w:rFonts w:ascii="仿宋_GB2312" w:hAnsi="宋体" w:eastAsia="仿宋" w:cs="仿宋_GB2312"/>
                <w:sz w:val="32"/>
                <w:lang w:bidi="ar"/>
              </w:rPr>
            </w:pPr>
            <w:r>
              <w:rPr>
                <w:rFonts w:ascii="仿宋_GB2312" w:hAnsi="宋体" w:eastAsia="仿宋" w:cs="仿宋_GB2312"/>
                <w:sz w:val="32"/>
                <w:lang w:bidi="ar"/>
              </w:rPr>
              <w:t>马尔康市林业和草原局</w:t>
            </w:r>
          </w:p>
        </w:tc>
        <w:tc>
          <w:tcPr>
            <w:tcW w:w="5793" w:type="dxa"/>
            <w:shd w:val="clear" w:color="auto" w:fill="auto"/>
            <w:vAlign w:val="center"/>
          </w:tcPr>
          <w:p w14:paraId="40ACA1F2">
            <w:pPr>
              <w:spacing w:line="560" w:lineRule="exact"/>
              <w:rPr>
                <w:rFonts w:ascii="仿宋_GB2312" w:hAnsi="宋体" w:eastAsia="仿宋" w:cs="仿宋_GB2312"/>
                <w:sz w:val="32"/>
                <w:lang w:bidi="ar"/>
              </w:rPr>
            </w:pPr>
            <w:r>
              <w:rPr>
                <w:rFonts w:hint="eastAsia" w:ascii="仿宋_GB2312" w:hAnsi="宋体" w:eastAsia="仿宋" w:cs="仿宋_GB2312"/>
                <w:sz w:val="32"/>
                <w:lang w:eastAsia="zh-CN" w:bidi="ar"/>
              </w:rPr>
              <w:t>截至2019年</w:t>
            </w:r>
            <w:r>
              <w:rPr>
                <w:rFonts w:ascii="仿宋_GB2312" w:hAnsi="宋体" w:eastAsia="仿宋" w:cs="仿宋_GB2312"/>
                <w:sz w:val="32"/>
                <w:lang w:bidi="ar"/>
              </w:rPr>
              <w:t>12月31日 “行政事业单位资产管理系统”导出的固定资产卡片原值合计17,968,641.17元，与2019年总账数、决算报表固定资产原值20,571,119.33元不一致，差异2,602,478.16元;2、马尔康市林业和草原局2020年6月30日行政事业单位资产管理系统”导出的固定资产卡片原值合计18,052,422.17元，与2020年6月30日账面数20,255,366.16元不一致，差异2,202,943.99元。</w:t>
            </w:r>
          </w:p>
        </w:tc>
      </w:tr>
      <w:tr w14:paraId="6799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shd w:val="clear" w:color="auto" w:fill="auto"/>
            <w:vAlign w:val="center"/>
          </w:tcPr>
          <w:p w14:paraId="49B5257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2149" w:type="dxa"/>
            <w:shd w:val="clear" w:color="auto" w:fill="auto"/>
            <w:vAlign w:val="center"/>
          </w:tcPr>
          <w:p w14:paraId="5AF9486B">
            <w:pPr>
              <w:spacing w:line="560" w:lineRule="exact"/>
              <w:rPr>
                <w:rFonts w:ascii="仿宋_GB2312" w:hAnsi="宋体" w:eastAsia="仿宋" w:cs="仿宋_GB2312"/>
                <w:sz w:val="32"/>
                <w:lang w:bidi="ar"/>
              </w:rPr>
            </w:pPr>
            <w:r>
              <w:rPr>
                <w:rFonts w:ascii="仿宋_GB2312" w:hAnsi="宋体" w:eastAsia="仿宋" w:cs="仿宋_GB2312"/>
                <w:sz w:val="32"/>
                <w:lang w:bidi="ar"/>
              </w:rPr>
              <w:t>马尔康市人民法院</w:t>
            </w:r>
          </w:p>
        </w:tc>
        <w:tc>
          <w:tcPr>
            <w:tcW w:w="5793" w:type="dxa"/>
            <w:shd w:val="clear" w:color="auto" w:fill="auto"/>
            <w:vAlign w:val="center"/>
          </w:tcPr>
          <w:p w14:paraId="122FB59E">
            <w:pPr>
              <w:spacing w:line="560" w:lineRule="exact"/>
              <w:rPr>
                <w:rFonts w:ascii="仿宋_GB2312" w:hAnsi="宋体" w:eastAsia="仿宋" w:cs="仿宋_GB2312"/>
                <w:sz w:val="32"/>
                <w:lang w:bidi="ar"/>
              </w:rPr>
            </w:pPr>
            <w:r>
              <w:rPr>
                <w:rFonts w:ascii="仿宋_GB2312" w:hAnsi="宋体" w:eastAsia="仿宋" w:cs="仿宋_GB2312"/>
                <w:sz w:val="32"/>
                <w:lang w:bidi="ar"/>
              </w:rPr>
              <w:t>市法院2019年12月31日、2020年6月30日行政事业单位资产管理系统导出的固定资产卡片原值合计2,180.45元，与总账数、决算报表固定资产原值2,201.16元不一致，均差异20.71元。</w:t>
            </w:r>
          </w:p>
        </w:tc>
      </w:tr>
      <w:tr w14:paraId="03AA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shd w:val="clear" w:color="auto" w:fill="auto"/>
            <w:vAlign w:val="center"/>
          </w:tcPr>
          <w:p w14:paraId="18C2AED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2149" w:type="dxa"/>
            <w:shd w:val="clear" w:color="auto" w:fill="auto"/>
            <w:vAlign w:val="center"/>
          </w:tcPr>
          <w:p w14:paraId="0CE841BE">
            <w:pPr>
              <w:spacing w:line="560" w:lineRule="exact"/>
              <w:rPr>
                <w:rFonts w:ascii="仿宋_GB2312" w:hAnsi="宋体" w:eastAsia="仿宋" w:cs="仿宋_GB2312"/>
                <w:sz w:val="32"/>
                <w:lang w:bidi="ar"/>
              </w:rPr>
            </w:pPr>
            <w:r>
              <w:rPr>
                <w:rFonts w:ascii="仿宋_GB2312" w:hAnsi="宋体" w:eastAsia="仿宋" w:cs="仿宋_GB2312"/>
                <w:sz w:val="32"/>
                <w:lang w:bidi="ar"/>
              </w:rPr>
              <w:t>马尔康市卫生健康局</w:t>
            </w:r>
          </w:p>
        </w:tc>
        <w:tc>
          <w:tcPr>
            <w:tcW w:w="5793" w:type="dxa"/>
            <w:shd w:val="clear" w:color="auto" w:fill="auto"/>
            <w:vAlign w:val="center"/>
          </w:tcPr>
          <w:p w14:paraId="0C7029EB">
            <w:pPr>
              <w:spacing w:line="560" w:lineRule="exact"/>
              <w:rPr>
                <w:rFonts w:ascii="仿宋_GB2312" w:hAnsi="宋体" w:eastAsia="仿宋" w:cs="仿宋_GB2312"/>
                <w:sz w:val="32"/>
                <w:lang w:bidi="ar"/>
              </w:rPr>
            </w:pPr>
            <w:r>
              <w:rPr>
                <w:rFonts w:ascii="仿宋_GB2312" w:hAnsi="宋体" w:eastAsia="仿宋" w:cs="仿宋_GB2312"/>
                <w:sz w:val="32"/>
                <w:lang w:bidi="ar"/>
              </w:rPr>
              <w:t>市卫健局2019年12月31日 “行政事业单位资产管理系统”导出的固定资产原值合计7,967.17万元，与2019决算报表固定资产原值8,045.85万元不一致，差异78.69万元</w:t>
            </w:r>
          </w:p>
        </w:tc>
      </w:tr>
      <w:tr w14:paraId="5152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shd w:val="clear" w:color="auto" w:fill="auto"/>
            <w:vAlign w:val="center"/>
          </w:tcPr>
          <w:p w14:paraId="66CBFFD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2149" w:type="dxa"/>
            <w:shd w:val="clear" w:color="auto" w:fill="auto"/>
            <w:vAlign w:val="center"/>
          </w:tcPr>
          <w:p w14:paraId="6C138A3D">
            <w:pPr>
              <w:spacing w:line="560" w:lineRule="exact"/>
              <w:rPr>
                <w:rFonts w:ascii="仿宋_GB2312" w:hAnsi="宋体" w:eastAsia="仿宋" w:cs="仿宋_GB2312"/>
                <w:sz w:val="32"/>
                <w:lang w:bidi="ar"/>
              </w:rPr>
            </w:pPr>
            <w:r>
              <w:rPr>
                <w:rFonts w:ascii="仿宋_GB2312" w:hAnsi="宋体" w:eastAsia="仿宋" w:cs="仿宋_GB2312"/>
                <w:sz w:val="32"/>
                <w:lang w:bidi="ar"/>
              </w:rPr>
              <w:t>马尔康市人民检察院</w:t>
            </w:r>
          </w:p>
        </w:tc>
        <w:tc>
          <w:tcPr>
            <w:tcW w:w="5793" w:type="dxa"/>
            <w:shd w:val="clear" w:color="auto" w:fill="auto"/>
            <w:vAlign w:val="center"/>
          </w:tcPr>
          <w:p w14:paraId="11C7DF99">
            <w:pPr>
              <w:spacing w:line="560" w:lineRule="exact"/>
              <w:rPr>
                <w:rFonts w:ascii="仿宋_GB2312" w:hAnsi="宋体" w:eastAsia="仿宋" w:cs="仿宋_GB2312"/>
                <w:sz w:val="32"/>
                <w:lang w:bidi="ar"/>
              </w:rPr>
            </w:pPr>
            <w:r>
              <w:rPr>
                <w:rFonts w:ascii="仿宋_GB2312" w:hAnsi="宋体" w:eastAsia="仿宋" w:cs="仿宋_GB2312"/>
                <w:sz w:val="32"/>
                <w:lang w:bidi="ar"/>
              </w:rPr>
              <w:t>1、马尔康市人民检察院2019年12月31日、2020年6月30日“行政事业单位资产管理系统”导出的固定资产卡片原值合计18,952,237.27元，与2019年总账数、决算报表固定资产原值19,123,987.27元不一致，差异171,750.00元，与2020年6月30日账面数19131287.27元不一致，差异179,050.00。2、马尔康市人民检察院2020年2月22日购入高拍仪1个，金额3500元；2020年4月27号凭证，购“云审判”平板，金额3800元，上述新增固定资产未纳入2020年国有资产管理系统。</w:t>
            </w:r>
          </w:p>
        </w:tc>
      </w:tr>
      <w:tr w14:paraId="468F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shd w:val="clear" w:color="auto" w:fill="auto"/>
            <w:vAlign w:val="center"/>
          </w:tcPr>
          <w:p w14:paraId="5EBF179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w:t>
            </w:r>
          </w:p>
        </w:tc>
        <w:tc>
          <w:tcPr>
            <w:tcW w:w="2149" w:type="dxa"/>
            <w:shd w:val="clear" w:color="auto" w:fill="auto"/>
            <w:vAlign w:val="center"/>
          </w:tcPr>
          <w:p w14:paraId="300CA58A">
            <w:pPr>
              <w:spacing w:line="560" w:lineRule="exact"/>
              <w:rPr>
                <w:rFonts w:ascii="仿宋_GB2312" w:hAnsi="宋体" w:eastAsia="仿宋" w:cs="仿宋_GB2312"/>
                <w:sz w:val="32"/>
                <w:lang w:bidi="ar"/>
              </w:rPr>
            </w:pPr>
            <w:r>
              <w:rPr>
                <w:rFonts w:ascii="仿宋_GB2312" w:hAnsi="宋体" w:eastAsia="仿宋" w:cs="仿宋_GB2312"/>
                <w:sz w:val="32"/>
                <w:lang w:bidi="ar"/>
              </w:rPr>
              <w:t>马尔康市松岗镇人民政府</w:t>
            </w:r>
          </w:p>
        </w:tc>
        <w:tc>
          <w:tcPr>
            <w:tcW w:w="5793" w:type="dxa"/>
            <w:shd w:val="clear" w:color="auto" w:fill="auto"/>
            <w:vAlign w:val="center"/>
          </w:tcPr>
          <w:p w14:paraId="553E7378">
            <w:pPr>
              <w:spacing w:line="560" w:lineRule="exact"/>
              <w:rPr>
                <w:rFonts w:ascii="仿宋_GB2312" w:hAnsi="宋体" w:eastAsia="仿宋" w:cs="仿宋_GB2312"/>
                <w:sz w:val="32"/>
                <w:lang w:bidi="ar"/>
              </w:rPr>
            </w:pPr>
            <w:r>
              <w:rPr>
                <w:rFonts w:ascii="仿宋_GB2312" w:hAnsi="宋体" w:eastAsia="仿宋" w:cs="仿宋_GB2312"/>
                <w:sz w:val="32"/>
                <w:lang w:bidi="ar"/>
              </w:rPr>
              <w:t>松岗政府资产管理信息系统数据与决算报表数据不符。</w:t>
            </w:r>
          </w:p>
        </w:tc>
      </w:tr>
    </w:tbl>
    <w:p w14:paraId="537BE1B5">
      <w:pPr>
        <w:spacing w:line="560" w:lineRule="exact"/>
        <w:ind w:firstLine="560"/>
        <w:rPr>
          <w:rFonts w:ascii="仿宋_GB2312" w:hAnsi="宋体" w:eastAsia="仿宋" w:cs="宋体"/>
          <w:sz w:val="32"/>
          <w:szCs w:val="28"/>
          <w:shd w:val="clear" w:color="auto" w:fill="FFFFFF"/>
        </w:rPr>
      </w:pPr>
    </w:p>
    <w:p w14:paraId="38BFD567">
      <w:pPr>
        <w:spacing w:line="560" w:lineRule="exact"/>
        <w:ind w:firstLine="562"/>
        <w:rPr>
          <w:rFonts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行政事业单位资产清查开展情况</w:t>
      </w:r>
      <w:r>
        <w:rPr>
          <w:rFonts w:hint="eastAsia" w:ascii="仿宋_GB2312" w:hAnsi="宋体" w:eastAsia="仿宋" w:cs="宋体"/>
          <w:sz w:val="32"/>
          <w:szCs w:val="28"/>
          <w:shd w:val="clear" w:color="auto" w:fill="FFFFFF"/>
        </w:rPr>
        <w:t>：考核涉及的</w:t>
      </w:r>
      <w:r>
        <w:rPr>
          <w:rFonts w:ascii="仿宋_GB2312" w:hAnsi="宋体" w:eastAsia="仿宋" w:cs="宋体"/>
          <w:sz w:val="32"/>
          <w:szCs w:val="28"/>
          <w:shd w:val="clear" w:color="auto" w:fill="FFFFFF"/>
        </w:rPr>
        <w:t>9</w:t>
      </w:r>
      <w:r>
        <w:rPr>
          <w:rFonts w:hint="eastAsia" w:ascii="仿宋_GB2312" w:hAnsi="宋体" w:eastAsia="仿宋" w:cs="宋体"/>
          <w:sz w:val="32"/>
          <w:szCs w:val="28"/>
          <w:shd w:val="clear" w:color="auto" w:fill="FFFFFF"/>
        </w:rPr>
        <w:t>个部门均及时、准确、全面开展资产清查工作。</w:t>
      </w:r>
      <w:r>
        <w:rPr>
          <w:rFonts w:ascii="仿宋_GB2312" w:hAnsi="宋体" w:eastAsia="仿宋" w:cs="宋体"/>
          <w:sz w:val="32"/>
          <w:szCs w:val="28"/>
          <w:shd w:val="clear" w:color="auto" w:fill="FFFFFF"/>
        </w:rPr>
        <w:t>4</w:t>
      </w:r>
      <w:r>
        <w:rPr>
          <w:rFonts w:hint="eastAsia" w:ascii="仿宋_GB2312" w:hAnsi="宋体" w:eastAsia="仿宋" w:cs="宋体"/>
          <w:sz w:val="32"/>
          <w:szCs w:val="28"/>
          <w:shd w:val="clear" w:color="auto" w:fill="FFFFFF"/>
        </w:rPr>
        <w:t>个部门未对固定资产进行盘点：</w:t>
      </w:r>
    </w:p>
    <w:p w14:paraId="3389A6F4">
      <w:pPr>
        <w:spacing w:line="560" w:lineRule="exact"/>
        <w:ind w:firstLine="560"/>
        <w:rPr>
          <w:rFonts w:hint="eastAsia" w:ascii="仿宋_GB2312" w:hAnsi="宋体" w:eastAsia="仿宋" w:cs="宋体"/>
          <w:sz w:val="32"/>
          <w:szCs w:val="28"/>
          <w:shd w:val="clear" w:color="auto" w:fill="FFFFFF"/>
        </w:rPr>
      </w:pPr>
      <w:r>
        <w:rPr>
          <w:rFonts w:hint="eastAsia" w:ascii="仿宋_GB2312" w:hAnsi="宋体" w:eastAsia="仿宋" w:cs="宋体"/>
          <w:sz w:val="32"/>
          <w:szCs w:val="28"/>
          <w:shd w:val="clear" w:color="auto" w:fill="FFFFFF"/>
        </w:rPr>
        <w:t>马尔康市经济商务和信息化局、马尔康市住房和城乡建设局、马尔康市应急管理局、马尔康市经济商务和信息化局</w:t>
      </w:r>
    </w:p>
    <w:p w14:paraId="6CA509A5">
      <w:pPr>
        <w:spacing w:line="560" w:lineRule="exact"/>
        <w:ind w:firstLine="562"/>
        <w:rPr>
          <w:rFonts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行政事业单位资产报表上报情况：</w:t>
      </w:r>
      <w:r>
        <w:rPr>
          <w:rFonts w:hint="eastAsia" w:ascii="仿宋_GB2312" w:hAnsi="宋体" w:eastAsia="仿宋" w:cs="宋体"/>
          <w:sz w:val="32"/>
          <w:szCs w:val="28"/>
          <w:shd w:val="clear" w:color="auto" w:fill="FFFFFF"/>
        </w:rPr>
        <w:t>考核的1</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个部门中</w:t>
      </w:r>
      <w:r>
        <w:rPr>
          <w:rFonts w:ascii="仿宋_GB2312" w:hAnsi="宋体" w:eastAsia="仿宋" w:cs="宋体"/>
          <w:sz w:val="32"/>
          <w:szCs w:val="28"/>
          <w:shd w:val="clear" w:color="auto" w:fill="FFFFFF"/>
        </w:rPr>
        <w:t>10</w:t>
      </w:r>
      <w:r>
        <w:rPr>
          <w:rFonts w:hint="eastAsia" w:ascii="仿宋_GB2312" w:hAnsi="宋体" w:eastAsia="仿宋" w:cs="宋体"/>
          <w:sz w:val="32"/>
          <w:szCs w:val="28"/>
          <w:shd w:val="clear" w:color="auto" w:fill="FFFFFF"/>
        </w:rPr>
        <w:t>个部门落实了专人负责资产报表，及时上报了资产报表，报表填报规范，内容完整，数据真实。</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个部门未提交分析报告，对资产变动情况未作分析说明，为马尔康市经济商务和信息化局、马尔康市人民法院、马尔康市经济商务和信息化局。</w:t>
      </w:r>
    </w:p>
    <w:p w14:paraId="0287BBA1">
      <w:pPr>
        <w:spacing w:line="560" w:lineRule="exact"/>
        <w:ind w:firstLine="560"/>
        <w:rPr>
          <w:rFonts w:hint="eastAsia" w:ascii="仿宋_GB2312" w:hAnsi="宋体" w:eastAsia="仿宋" w:cs="宋体"/>
          <w:sz w:val="32"/>
          <w:szCs w:val="28"/>
          <w:shd w:val="clear" w:color="auto" w:fill="FFFFFF"/>
        </w:rPr>
      </w:pPr>
    </w:p>
    <w:p w14:paraId="36DD2529">
      <w:pPr>
        <w:spacing w:line="560" w:lineRule="exact"/>
        <w:ind w:firstLine="562"/>
        <w:rPr>
          <w:rFonts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内部控制度健全完整方面：</w:t>
      </w:r>
      <w:r>
        <w:rPr>
          <w:rFonts w:hint="eastAsia" w:ascii="仿宋_GB2312" w:hAnsi="宋体" w:eastAsia="仿宋" w:cs="宋体"/>
          <w:sz w:val="32"/>
          <w:szCs w:val="28"/>
          <w:shd w:val="clear" w:color="auto" w:fill="FFFFFF"/>
        </w:rPr>
        <w:t>考核的1</w:t>
      </w:r>
      <w:r>
        <w:rPr>
          <w:rFonts w:ascii="仿宋_GB2312" w:hAnsi="宋体" w:eastAsia="仿宋" w:cs="宋体"/>
          <w:sz w:val="32"/>
          <w:szCs w:val="28"/>
          <w:shd w:val="clear" w:color="auto" w:fill="FFFFFF"/>
        </w:rPr>
        <w:t>1</w:t>
      </w:r>
      <w:r>
        <w:rPr>
          <w:rFonts w:hint="eastAsia" w:ascii="仿宋_GB2312" w:hAnsi="宋体" w:eastAsia="仿宋" w:cs="宋体"/>
          <w:sz w:val="32"/>
          <w:szCs w:val="28"/>
          <w:shd w:val="clear" w:color="auto" w:fill="FFFFFF"/>
        </w:rPr>
        <w:t>个部门内部控制制度健全完整并执行良好，评价过程中未发现造成单位出现廉政风险或发生重大责任事故情况，有</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个部门内控制度不完善。</w:t>
      </w:r>
    </w:p>
    <w:p w14:paraId="47F7C7A8">
      <w:pPr>
        <w:spacing w:line="560" w:lineRule="exact"/>
        <w:ind w:firstLine="560"/>
        <w:rPr>
          <w:rFonts w:hint="eastAsia" w:ascii="仿宋_GB2312" w:hAnsi="宋体" w:eastAsia="仿宋" w:cs="宋体"/>
          <w:sz w:val="32"/>
          <w:szCs w:val="28"/>
          <w:shd w:val="clear" w:color="auto" w:fill="FFFFFF"/>
        </w:rPr>
      </w:pPr>
      <w:r>
        <w:rPr>
          <w:rFonts w:hint="eastAsia" w:ascii="仿宋_GB2312" w:hAnsi="宋体" w:eastAsia="仿宋" w:cs="宋体"/>
          <w:sz w:val="32"/>
          <w:szCs w:val="28"/>
          <w:shd w:val="clear" w:color="auto" w:fill="FFFFFF"/>
        </w:rPr>
        <w:t>马尔康市融媒体中心、马尔康市水务局、马尔康市公共服务中心</w:t>
      </w:r>
    </w:p>
    <w:p w14:paraId="5E0EB183">
      <w:pPr>
        <w:spacing w:line="560" w:lineRule="exact"/>
        <w:ind w:firstLine="562"/>
        <w:rPr>
          <w:rFonts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预算公开方面：</w:t>
      </w:r>
      <w:r>
        <w:rPr>
          <w:rFonts w:hint="eastAsia" w:ascii="仿宋_GB2312" w:hAnsi="宋体" w:eastAsia="仿宋" w:cs="宋体"/>
          <w:sz w:val="32"/>
          <w:szCs w:val="28"/>
          <w:shd w:val="clear" w:color="auto" w:fill="FFFFFF"/>
        </w:rPr>
        <w:t>考核的1</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个部门中有1</w:t>
      </w:r>
      <w:r>
        <w:rPr>
          <w:rFonts w:ascii="仿宋_GB2312" w:hAnsi="宋体" w:eastAsia="仿宋" w:cs="宋体"/>
          <w:sz w:val="32"/>
          <w:szCs w:val="28"/>
          <w:shd w:val="clear" w:color="auto" w:fill="FFFFFF"/>
        </w:rPr>
        <w:t>2</w:t>
      </w:r>
      <w:r>
        <w:rPr>
          <w:rFonts w:hint="eastAsia" w:ascii="仿宋_GB2312" w:hAnsi="宋体" w:eastAsia="仿宋" w:cs="宋体"/>
          <w:sz w:val="32"/>
          <w:szCs w:val="28"/>
          <w:shd w:val="clear" w:color="auto" w:fill="FFFFFF"/>
        </w:rPr>
        <w:t>个部门201</w:t>
      </w:r>
      <w:r>
        <w:rPr>
          <w:rFonts w:ascii="仿宋_GB2312" w:hAnsi="宋体" w:eastAsia="仿宋" w:cs="宋体"/>
          <w:sz w:val="32"/>
          <w:szCs w:val="28"/>
          <w:shd w:val="clear" w:color="auto" w:fill="FFFFFF"/>
        </w:rPr>
        <w:t>9</w:t>
      </w:r>
      <w:r>
        <w:rPr>
          <w:rFonts w:hint="eastAsia" w:ascii="仿宋_GB2312" w:hAnsi="宋体" w:eastAsia="仿宋" w:cs="宋体"/>
          <w:sz w:val="32"/>
          <w:szCs w:val="28"/>
          <w:shd w:val="clear" w:color="auto" w:fill="FFFFFF"/>
        </w:rPr>
        <w:t>年部门预算公开均在财政部门批复后二十日内通过茂县人民政府官网向社会公开了本部门预算，其中1个部门公开信息不够完整：</w:t>
      </w:r>
    </w:p>
    <w:p w14:paraId="01ED32E4">
      <w:pPr>
        <w:spacing w:line="560" w:lineRule="exact"/>
        <w:ind w:firstLine="560"/>
        <w:rPr>
          <w:rFonts w:hint="eastAsia" w:ascii="仿宋_GB2312" w:hAnsi="宋体" w:eastAsia="仿宋" w:cs="仿宋_GB2312"/>
          <w:sz w:val="32"/>
          <w:lang w:bidi="ar"/>
        </w:rPr>
      </w:pPr>
      <w:r>
        <w:rPr>
          <w:rFonts w:hint="eastAsia" w:ascii="仿宋_GB2312" w:hAnsi="宋体" w:eastAsia="仿宋" w:cs="仿宋_GB2312"/>
          <w:sz w:val="32"/>
          <w:szCs w:val="28"/>
          <w:lang w:bidi="ar"/>
        </w:rPr>
        <w:t>马尔康市卫生健康局</w:t>
      </w:r>
    </w:p>
    <w:p w14:paraId="1A820419">
      <w:pPr>
        <w:spacing w:line="560" w:lineRule="exact"/>
        <w:ind w:firstLine="562"/>
        <w:rPr>
          <w:rFonts w:hint="eastAsia"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绩效信息公开方面：</w:t>
      </w:r>
      <w:r>
        <w:rPr>
          <w:rFonts w:hint="eastAsia" w:ascii="仿宋_GB2312" w:hAnsi="宋体" w:eastAsia="仿宋" w:cs="宋体"/>
          <w:bCs/>
          <w:color w:val="FF0000"/>
          <w:sz w:val="32"/>
          <w:szCs w:val="28"/>
          <w:shd w:val="clear" w:color="auto" w:fill="FFFFFF"/>
        </w:rPr>
        <w:t>截止评价日，</w:t>
      </w:r>
      <w:r>
        <w:rPr>
          <w:rFonts w:hint="eastAsia" w:ascii="仿宋_GB2312" w:hAnsi="宋体" w:eastAsia="仿宋" w:cs="宋体"/>
          <w:color w:val="FF0000"/>
          <w:sz w:val="32"/>
          <w:szCs w:val="28"/>
          <w:shd w:val="clear" w:color="auto" w:fill="FFFFFF"/>
        </w:rPr>
        <w:t>考核的1</w:t>
      </w:r>
      <w:r>
        <w:rPr>
          <w:rFonts w:ascii="仿宋_GB2312" w:hAnsi="宋体" w:eastAsia="仿宋" w:cs="宋体"/>
          <w:color w:val="FF0000"/>
          <w:sz w:val="32"/>
          <w:szCs w:val="28"/>
          <w:shd w:val="clear" w:color="auto" w:fill="FFFFFF"/>
        </w:rPr>
        <w:t>3</w:t>
      </w:r>
      <w:r>
        <w:rPr>
          <w:rFonts w:hint="eastAsia" w:ascii="仿宋_GB2312" w:hAnsi="宋体" w:eastAsia="仿宋" w:cs="宋体"/>
          <w:color w:val="FF0000"/>
          <w:sz w:val="32"/>
          <w:szCs w:val="28"/>
          <w:shd w:val="clear" w:color="auto" w:fill="FFFFFF"/>
        </w:rPr>
        <w:t>个部门暂未公开部门整体支出绩效自评报告</w:t>
      </w:r>
    </w:p>
    <w:p w14:paraId="071ADF2D">
      <w:pPr>
        <w:spacing w:line="560" w:lineRule="exact"/>
        <w:ind w:firstLine="562"/>
        <w:rPr>
          <w:rFonts w:hint="eastAsia"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评价项目覆盖率：</w:t>
      </w:r>
      <w:r>
        <w:rPr>
          <w:rFonts w:hint="eastAsia" w:ascii="仿宋_GB2312" w:hAnsi="宋体" w:eastAsia="仿宋" w:cs="宋体"/>
          <w:sz w:val="32"/>
          <w:szCs w:val="28"/>
          <w:shd w:val="clear" w:color="auto" w:fill="FFFFFF"/>
        </w:rPr>
        <w:t>涉及预算编制重点项目的部门共计</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 xml:space="preserve">个，3个部门均完成了重点项目的绩效评价。 </w:t>
      </w:r>
    </w:p>
    <w:p w14:paraId="01A147B8">
      <w:pPr>
        <w:spacing w:line="560" w:lineRule="exact"/>
        <w:ind w:firstLine="562"/>
        <w:rPr>
          <w:rFonts w:hint="eastAsia"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评价层次：</w:t>
      </w:r>
      <w:r>
        <w:rPr>
          <w:rFonts w:hint="eastAsia" w:ascii="仿宋_GB2312" w:hAnsi="宋体" w:eastAsia="仿宋" w:cs="宋体"/>
          <w:sz w:val="32"/>
          <w:szCs w:val="28"/>
          <w:shd w:val="clear" w:color="auto" w:fill="FFFFFF"/>
        </w:rPr>
        <w:t>考核的1</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个部门中，共</w:t>
      </w:r>
      <w:r>
        <w:rPr>
          <w:rFonts w:ascii="仿宋_GB2312" w:hAnsi="宋体" w:eastAsia="仿宋" w:cs="宋体"/>
          <w:sz w:val="32"/>
          <w:szCs w:val="28"/>
          <w:shd w:val="clear" w:color="auto" w:fill="FFFFFF"/>
        </w:rPr>
        <w:t>1</w:t>
      </w:r>
      <w:r>
        <w:rPr>
          <w:rFonts w:hint="eastAsia" w:ascii="仿宋_GB2312" w:hAnsi="宋体" w:eastAsia="仿宋" w:cs="宋体"/>
          <w:sz w:val="32"/>
          <w:szCs w:val="28"/>
          <w:shd w:val="clear" w:color="auto" w:fill="FFFFFF"/>
        </w:rPr>
        <w:t>个部门在201</w:t>
      </w:r>
      <w:r>
        <w:rPr>
          <w:rFonts w:ascii="仿宋_GB2312" w:hAnsi="宋体" w:eastAsia="仿宋" w:cs="宋体"/>
          <w:sz w:val="32"/>
          <w:szCs w:val="28"/>
          <w:shd w:val="clear" w:color="auto" w:fill="FFFFFF"/>
        </w:rPr>
        <w:t>9</w:t>
      </w:r>
      <w:r>
        <w:rPr>
          <w:rFonts w:hint="eastAsia" w:ascii="仿宋_GB2312" w:hAnsi="宋体" w:eastAsia="仿宋" w:cs="宋体"/>
          <w:sz w:val="32"/>
          <w:szCs w:val="28"/>
          <w:shd w:val="clear" w:color="auto" w:fill="FFFFFF"/>
        </w:rPr>
        <w:t>年1月至2019年</w:t>
      </w:r>
      <w:r>
        <w:rPr>
          <w:rFonts w:ascii="仿宋_GB2312" w:hAnsi="宋体" w:eastAsia="仿宋" w:cs="宋体"/>
          <w:sz w:val="32"/>
          <w:szCs w:val="28"/>
          <w:shd w:val="clear" w:color="auto" w:fill="FFFFFF"/>
        </w:rPr>
        <w:t>12</w:t>
      </w:r>
      <w:r>
        <w:rPr>
          <w:rFonts w:hint="eastAsia" w:ascii="仿宋_GB2312" w:hAnsi="宋体" w:eastAsia="仿宋" w:cs="宋体"/>
          <w:sz w:val="32"/>
          <w:szCs w:val="28"/>
          <w:shd w:val="clear" w:color="auto" w:fill="FFFFFF"/>
        </w:rPr>
        <w:t>月期间对下级预算单位的得开展整体绩效评价，其余部门不涉及下级预算单位。</w:t>
      </w:r>
    </w:p>
    <w:p w14:paraId="463A935C">
      <w:pPr>
        <w:spacing w:line="560" w:lineRule="exact"/>
        <w:ind w:firstLine="562"/>
        <w:rPr>
          <w:rFonts w:hint="eastAsia"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评价结果报告：</w:t>
      </w:r>
      <w:r>
        <w:rPr>
          <w:rFonts w:hint="eastAsia" w:ascii="仿宋_GB2312" w:hAnsi="宋体" w:eastAsia="仿宋" w:cs="宋体"/>
          <w:sz w:val="32"/>
          <w:szCs w:val="28"/>
          <w:shd w:val="clear" w:color="auto" w:fill="FFFFFF"/>
        </w:rPr>
        <w:t>考核的1</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个部门均按要求向财政部门报告自评报告等相关绩效信息。</w:t>
      </w:r>
    </w:p>
    <w:p w14:paraId="6B535B2E">
      <w:pPr>
        <w:spacing w:line="560" w:lineRule="exact"/>
        <w:ind w:firstLine="562"/>
        <w:rPr>
          <w:rFonts w:hint="eastAsia"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是否按要求开展自查自纠：</w:t>
      </w:r>
      <w:r>
        <w:rPr>
          <w:rFonts w:hint="eastAsia" w:ascii="仿宋_GB2312" w:hAnsi="宋体" w:eastAsia="仿宋" w:cs="宋体"/>
          <w:sz w:val="32"/>
          <w:szCs w:val="28"/>
          <w:shd w:val="clear" w:color="auto" w:fill="FFFFFF"/>
        </w:rPr>
        <w:t>考核的10个部门中</w:t>
      </w:r>
      <w:r>
        <w:rPr>
          <w:rFonts w:ascii="仿宋_GB2312" w:hAnsi="宋体" w:eastAsia="仿宋" w:cs="宋体"/>
          <w:sz w:val="32"/>
          <w:szCs w:val="28"/>
          <w:shd w:val="clear" w:color="auto" w:fill="FFFFFF"/>
        </w:rPr>
        <w:t>10</w:t>
      </w:r>
      <w:r>
        <w:rPr>
          <w:rFonts w:hint="eastAsia" w:ascii="仿宋_GB2312" w:hAnsi="宋体" w:eastAsia="仿宋" w:cs="宋体"/>
          <w:sz w:val="32"/>
          <w:szCs w:val="28"/>
          <w:shd w:val="clear" w:color="auto" w:fill="FFFFFF"/>
        </w:rPr>
        <w:t>个部门均已开展了自查自纠，</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个部门未开展自查自纠，如下：</w:t>
      </w:r>
    </w:p>
    <w:p w14:paraId="02B137AC">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马尔康市公共服务中心、马尔康市生态环境局、马尔康市水务局</w:t>
      </w:r>
    </w:p>
    <w:p w14:paraId="2D208396">
      <w:pPr>
        <w:spacing w:line="560" w:lineRule="exact"/>
        <w:ind w:firstLine="562"/>
        <w:rPr>
          <w:rFonts w:ascii="仿宋_GB2312" w:hAnsi="宋体" w:eastAsia="仿宋" w:cs="宋体"/>
          <w:sz w:val="32"/>
          <w:szCs w:val="28"/>
          <w:shd w:val="clear" w:color="auto" w:fill="FFFFFF"/>
        </w:rPr>
      </w:pPr>
      <w:r>
        <w:rPr>
          <w:rFonts w:hint="eastAsia" w:ascii="仿宋_GB2312" w:hAnsi="宋体" w:eastAsia="仿宋" w:cs="宋体"/>
          <w:bCs/>
          <w:sz w:val="32"/>
          <w:szCs w:val="28"/>
          <w:shd w:val="clear" w:color="auto" w:fill="FFFFFF"/>
        </w:rPr>
        <w:t>重点检查发现违规违纪问题：</w:t>
      </w:r>
      <w:r>
        <w:rPr>
          <w:rFonts w:hint="eastAsia" w:ascii="仿宋_GB2312" w:hAnsi="宋体" w:eastAsia="仿宋" w:cs="宋体"/>
          <w:sz w:val="32"/>
          <w:szCs w:val="28"/>
          <w:shd w:val="clear" w:color="auto" w:fill="FFFFFF"/>
        </w:rPr>
        <w:t>考核的1</w:t>
      </w:r>
      <w:r>
        <w:rPr>
          <w:rFonts w:ascii="仿宋_GB2312" w:hAnsi="宋体" w:eastAsia="仿宋" w:cs="宋体"/>
          <w:sz w:val="32"/>
          <w:szCs w:val="28"/>
          <w:shd w:val="clear" w:color="auto" w:fill="FFFFFF"/>
        </w:rPr>
        <w:t>3</w:t>
      </w:r>
      <w:r>
        <w:rPr>
          <w:rFonts w:hint="eastAsia" w:ascii="仿宋_GB2312" w:hAnsi="宋体" w:eastAsia="仿宋" w:cs="宋体"/>
          <w:sz w:val="32"/>
          <w:szCs w:val="28"/>
          <w:shd w:val="clear" w:color="auto" w:fill="FFFFFF"/>
        </w:rPr>
        <w:t>个部门中，有</w:t>
      </w:r>
      <w:r>
        <w:rPr>
          <w:rFonts w:ascii="仿宋_GB2312" w:hAnsi="宋体" w:eastAsia="仿宋" w:cs="宋体"/>
          <w:sz w:val="32"/>
          <w:szCs w:val="28"/>
          <w:shd w:val="clear" w:color="auto" w:fill="FFFFFF"/>
        </w:rPr>
        <w:t>5</w:t>
      </w:r>
      <w:r>
        <w:rPr>
          <w:rFonts w:hint="eastAsia" w:ascii="仿宋_GB2312" w:hAnsi="宋体" w:eastAsia="仿宋" w:cs="宋体"/>
          <w:sz w:val="32"/>
          <w:szCs w:val="28"/>
          <w:shd w:val="clear" w:color="auto" w:fill="FFFFFF"/>
        </w:rPr>
        <w:t>个发现违规违纪问题。</w:t>
      </w:r>
    </w:p>
    <w:p w14:paraId="3F5CD38B">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马尔康市融媒体中心、马尔康市公共服务中心、马尔康市生态环境局、马尔康市人民法院、马尔康市卫生健康局</w:t>
      </w:r>
    </w:p>
    <w:p w14:paraId="0B35A907">
      <w:pPr>
        <w:spacing w:line="560" w:lineRule="exact"/>
        <w:ind w:firstLine="560"/>
        <w:rPr>
          <w:rFonts w:hint="eastAsia" w:ascii="仿宋_GB2312" w:hAnsi="宋体" w:eastAsia="仿宋" w:cs="仿宋_GB2312"/>
          <w:sz w:val="32"/>
          <w:szCs w:val="28"/>
          <w:lang w:bidi="ar"/>
        </w:rPr>
      </w:pPr>
    </w:p>
    <w:p w14:paraId="140AA526">
      <w:pPr>
        <w:pStyle w:val="40"/>
        <w:spacing w:before="156" w:after="156" w:line="560" w:lineRule="exact"/>
        <w:ind w:firstLine="640"/>
        <w:rPr>
          <w:rFonts w:ascii="仿宋_GB2312" w:hAnsi="仿宋_GB2312" w:eastAsia="仿宋" w:cs="仿宋_GB2312"/>
          <w:b w:val="0"/>
          <w:color w:val="auto"/>
          <w:sz w:val="32"/>
          <w:szCs w:val="28"/>
        </w:rPr>
      </w:pPr>
      <w:bookmarkStart w:id="39" w:name="_Toc6784"/>
      <w:r>
        <w:rPr>
          <w:rFonts w:hint="eastAsia" w:ascii="仿宋_GB2312" w:hAnsi="仿宋_GB2312" w:eastAsia="仿宋" w:cs="仿宋_GB2312"/>
          <w:b w:val="0"/>
          <w:color w:val="auto"/>
          <w:sz w:val="32"/>
          <w:szCs w:val="28"/>
        </w:rPr>
        <w:t>——整体效益</w:t>
      </w:r>
      <w:bookmarkEnd w:id="39"/>
    </w:p>
    <w:p w14:paraId="2C55240D">
      <w:pPr>
        <w:spacing w:line="560" w:lineRule="exact"/>
        <w:ind w:firstLine="560"/>
        <w:rPr>
          <w:rFonts w:hint="eastAsia" w:ascii="仿宋_GB2312" w:hAnsi="宋体" w:eastAsia="仿宋" w:cs="仿宋_GB2312"/>
          <w:bCs/>
          <w:sz w:val="32"/>
          <w:lang w:bidi="ar"/>
        </w:rPr>
      </w:pPr>
      <w:r>
        <w:rPr>
          <w:rFonts w:hint="eastAsia" w:ascii="仿宋_GB2312" w:hAnsi="宋体" w:eastAsia="仿宋" w:cs="仿宋_GB2312"/>
          <w:sz w:val="32"/>
          <w:szCs w:val="28"/>
          <w:lang w:bidi="ar"/>
        </w:rPr>
        <w:t>该指标</w:t>
      </w:r>
      <w:r>
        <w:rPr>
          <w:rFonts w:ascii="仿宋_GB2312" w:hAnsi="宋体" w:eastAsia="仿宋" w:cs="仿宋_GB2312"/>
          <w:sz w:val="32"/>
          <w:szCs w:val="28"/>
          <w:lang w:bidi="ar"/>
        </w:rPr>
        <w:t>权重为</w:t>
      </w:r>
      <w:r>
        <w:rPr>
          <w:rFonts w:hint="eastAsia" w:ascii="仿宋_GB2312" w:hAnsi="宋体" w:eastAsia="仿宋" w:cs="仿宋_GB2312"/>
          <w:sz w:val="32"/>
          <w:szCs w:val="28"/>
          <w:lang w:bidi="ar"/>
        </w:rPr>
        <w:t>30.00</w:t>
      </w:r>
      <w:r>
        <w:rPr>
          <w:rFonts w:ascii="仿宋_GB2312" w:hAnsi="宋体" w:eastAsia="仿宋" w:cs="仿宋_GB2312"/>
          <w:sz w:val="32"/>
          <w:szCs w:val="28"/>
          <w:lang w:bidi="ar"/>
        </w:rPr>
        <w:t>分，</w:t>
      </w:r>
      <w:r>
        <w:rPr>
          <w:rFonts w:hint="eastAsia" w:ascii="仿宋_GB2312" w:hAnsi="宋体" w:eastAsia="仿宋" w:cs="仿宋_GB2312"/>
          <w:sz w:val="32"/>
          <w:szCs w:val="28"/>
          <w:lang w:bidi="ar"/>
        </w:rPr>
        <w:t>实得</w:t>
      </w:r>
      <w:r>
        <w:rPr>
          <w:rFonts w:ascii="仿宋_GB2312" w:hAnsi="宋体" w:eastAsia="仿宋" w:cs="仿宋_GB2312"/>
          <w:sz w:val="32"/>
          <w:szCs w:val="28"/>
          <w:lang w:bidi="ar"/>
        </w:rPr>
        <w:t>24.67</w:t>
      </w:r>
      <w:r>
        <w:rPr>
          <w:rFonts w:hint="eastAsia" w:ascii="仿宋_GB2312" w:hAnsi="宋体" w:eastAsia="仿宋" w:cs="仿宋_GB2312"/>
          <w:sz w:val="32"/>
          <w:szCs w:val="28"/>
          <w:lang w:bidi="ar"/>
        </w:rPr>
        <w:t>分，</w:t>
      </w:r>
      <w:r>
        <w:rPr>
          <w:rFonts w:ascii="仿宋_GB2312" w:hAnsi="宋体" w:eastAsia="仿宋" w:cs="仿宋_GB2312"/>
          <w:sz w:val="32"/>
          <w:szCs w:val="28"/>
          <w:lang w:bidi="ar"/>
        </w:rPr>
        <w:t>用于考察</w:t>
      </w:r>
      <w:r>
        <w:rPr>
          <w:rFonts w:hint="eastAsia" w:ascii="仿宋_GB2312" w:hAnsi="宋体" w:eastAsia="仿宋" w:cs="仿宋_GB2312"/>
          <w:sz w:val="32"/>
          <w:szCs w:val="28"/>
          <w:lang w:bidi="ar"/>
        </w:rPr>
        <w:t>部门重点项目绩效评价结果和部门职能完成情况特性指标。各分项指标得分和绩效分析如下：</w:t>
      </w:r>
    </w:p>
    <w:p w14:paraId="2C50D6EB">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表21 整体效益类指标得分情况汇总表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2F707917">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77614DD6">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5ED74464">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7D0DC58B">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0EDF941E">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29A50BBB">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tcPr>
          <w:p w14:paraId="171A681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整体效益</w:t>
            </w:r>
          </w:p>
        </w:tc>
        <w:tc>
          <w:tcPr>
            <w:tcW w:w="1379" w:type="pct"/>
            <w:vAlign w:val="center"/>
          </w:tcPr>
          <w:p w14:paraId="156D8241">
            <w:pPr>
              <w:spacing w:line="560" w:lineRule="exact"/>
              <w:jc w:val="center"/>
              <w:rPr>
                <w:rFonts w:ascii="仿宋_GB2312" w:hAnsi="Arial Narrow" w:eastAsia="仿宋"/>
                <w:bCs/>
                <w:sz w:val="32"/>
              </w:rPr>
            </w:pPr>
            <w:r>
              <w:rPr>
                <w:rFonts w:ascii="仿宋_GB2312" w:hAnsi="宋体" w:eastAsia="仿宋" w:cs="仿宋_GB2312"/>
                <w:sz w:val="32"/>
                <w:lang w:bidi="ar"/>
              </w:rPr>
              <w:t>30.00</w:t>
            </w:r>
          </w:p>
        </w:tc>
        <w:tc>
          <w:tcPr>
            <w:tcW w:w="1346" w:type="pct"/>
            <w:vAlign w:val="center"/>
          </w:tcPr>
          <w:p w14:paraId="31D19DC8">
            <w:pPr>
              <w:spacing w:line="560" w:lineRule="exact"/>
              <w:jc w:val="center"/>
              <w:rPr>
                <w:rFonts w:ascii="仿宋_GB2312" w:hAnsi="Arial Narrow" w:eastAsia="仿宋"/>
                <w:bCs/>
                <w:sz w:val="32"/>
              </w:rPr>
            </w:pPr>
            <w:r>
              <w:rPr>
                <w:rFonts w:ascii="仿宋_GB2312" w:hAnsi="宋体" w:eastAsia="仿宋" w:cs="仿宋_GB2312"/>
                <w:sz w:val="32"/>
                <w:lang w:bidi="ar"/>
              </w:rPr>
              <w:t>24.67</w:t>
            </w:r>
          </w:p>
        </w:tc>
        <w:tc>
          <w:tcPr>
            <w:tcW w:w="1370" w:type="pct"/>
            <w:vAlign w:val="center"/>
          </w:tcPr>
          <w:p w14:paraId="274D7C07">
            <w:pPr>
              <w:spacing w:line="560" w:lineRule="exact"/>
              <w:jc w:val="center"/>
              <w:rPr>
                <w:rFonts w:ascii="仿宋_GB2312" w:hAnsi="Arial Narrow" w:eastAsia="仿宋"/>
                <w:bCs/>
                <w:sz w:val="32"/>
              </w:rPr>
            </w:pPr>
            <w:r>
              <w:rPr>
                <w:rFonts w:ascii="仿宋_GB2312" w:hAnsi="宋体" w:eastAsia="仿宋" w:cs="仿宋_GB2312"/>
                <w:sz w:val="32"/>
                <w:lang w:bidi="ar"/>
              </w:rPr>
              <w:t>82.23%</w:t>
            </w:r>
          </w:p>
        </w:tc>
      </w:tr>
    </w:tbl>
    <w:p w14:paraId="39CD66D0">
      <w:pPr>
        <w:spacing w:line="560" w:lineRule="exact"/>
        <w:ind w:firstLine="562"/>
        <w:rPr>
          <w:rFonts w:ascii="仿宋_GB2312" w:hAnsi="宋体" w:eastAsia="仿宋" w:cs="仿宋_GB2312"/>
          <w:bCs/>
          <w:sz w:val="32"/>
          <w:szCs w:val="28"/>
          <w:lang w:bidi="ar"/>
        </w:rPr>
      </w:pPr>
      <w:r>
        <w:rPr>
          <w:rFonts w:ascii="仿宋_GB2312" w:hAnsi="宋体" w:eastAsia="仿宋" w:cs="仿宋_GB2312"/>
          <w:bCs/>
          <w:sz w:val="32"/>
          <w:szCs w:val="28"/>
          <w:lang w:bidi="ar"/>
        </w:rPr>
        <w:t>重点项目绩效评价结果</w:t>
      </w:r>
      <w:r>
        <w:rPr>
          <w:rFonts w:hint="eastAsia" w:ascii="仿宋_GB2312" w:hAnsi="宋体" w:eastAsia="仿宋" w:cs="仿宋_GB2312"/>
          <w:bCs/>
          <w:sz w:val="32"/>
          <w:szCs w:val="28"/>
          <w:lang w:bidi="ar"/>
        </w:rPr>
        <w:t>：阿底村防洪堤工程的建成改善了马尔康市汛期河流水位暴涨时严重威胁两岸居民生命财产及农田设施的情况，为保护两岸居民生命财产和解除贫困村发展致富的后顾之忧，改善当地老百姓生活生产条件，提升阿底村的综合环境方面起到了较大的作用。</w:t>
      </w:r>
    </w:p>
    <w:p w14:paraId="05FA8481">
      <w:pPr>
        <w:spacing w:line="560" w:lineRule="exact"/>
        <w:ind w:firstLine="560"/>
        <w:rPr>
          <w:rFonts w:ascii="仿宋_GB2312" w:hAnsi="宋体" w:eastAsia="仿宋" w:cs="仿宋_GB2312"/>
          <w:bCs/>
          <w:sz w:val="32"/>
          <w:szCs w:val="28"/>
          <w:lang w:bidi="ar"/>
        </w:rPr>
      </w:pPr>
      <w:r>
        <w:rPr>
          <w:rFonts w:hint="eastAsia" w:ascii="仿宋_GB2312" w:hAnsi="宋体" w:eastAsia="仿宋" w:cs="仿宋_GB2312"/>
          <w:bCs/>
          <w:sz w:val="32"/>
          <w:szCs w:val="28"/>
          <w:lang w:bidi="ar"/>
        </w:rPr>
        <w:t>地质灾害防治项目-地质灾害避险搬迁安置项目2019年完成搬迁3户，地质灾害综合防治体系建设专职检测项目完成专职检测点数365个，地质灾害综合防治体系建设避险搬迁安置项目完成搬迁安置户数2户，地质灾害防治项目-州档案局后山危岩排危除险项目、地质灾害防治项目-木尔宗乡斯米村德塔滑坡排危除险2019年项目未开工，2020年6月开工；地质灾害防治项目-马尔康镇昌木桥沟坝体下沟槽维修加固项目2019年未实施，2020年7月已移交给马尔康镇人民政府组织实施；地质灾害防治项目-龙尔甲乡石木榴村呷堆泥石流治理工程清淤项目2019年未实施，2020年7月已移交给龙尔甲乡人民政府组织实施。</w:t>
      </w:r>
    </w:p>
    <w:p w14:paraId="6420382F">
      <w:pPr>
        <w:spacing w:line="560" w:lineRule="exact"/>
        <w:ind w:firstLine="560"/>
        <w:rPr>
          <w:rFonts w:hint="eastAsia" w:ascii="仿宋_GB2312" w:hAnsi="宋体" w:eastAsia="仿宋" w:cs="宋体"/>
          <w:sz w:val="32"/>
          <w:szCs w:val="28"/>
          <w:shd w:val="clear" w:color="auto" w:fill="FFFFFF"/>
        </w:rPr>
      </w:pPr>
      <w:r>
        <w:rPr>
          <w:rFonts w:hint="eastAsia" w:ascii="仿宋_GB2312" w:hAnsi="宋体" w:eastAsia="仿宋" w:cs="宋体"/>
          <w:sz w:val="32"/>
          <w:szCs w:val="28"/>
          <w:shd w:val="clear" w:color="auto" w:fill="FFFFFF"/>
        </w:rPr>
        <w:t>重要道路绿化及城区绿化提升项目使项目区的植被得以恢复，对区域内的水土保持起到一定作用，增加了G317路段和S209路段道路两侧、马尔康城区范围的绿化效果，部分改善了项目区域的生态环境，改善了城市形象，美化了旅游环境，提升了州内旅游体验，为美丽阿坝州起到了基础性支撑。</w:t>
      </w:r>
    </w:p>
    <w:p w14:paraId="3E6ECDC4">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部门职能完成情况特性指标：</w:t>
      </w:r>
      <w:r>
        <w:rPr>
          <w:rFonts w:hint="eastAsia" w:ascii="仿宋_GB2312" w:hAnsi="宋体" w:eastAsia="仿宋" w:cs="仿宋_GB2312"/>
          <w:sz w:val="32"/>
          <w:szCs w:val="28"/>
          <w:lang w:bidi="ar"/>
        </w:rPr>
        <w:t>201</w:t>
      </w:r>
      <w:r>
        <w:rPr>
          <w:rFonts w:ascii="仿宋_GB2312" w:hAnsi="宋体" w:eastAsia="仿宋" w:cs="仿宋_GB2312"/>
          <w:sz w:val="32"/>
          <w:szCs w:val="28"/>
          <w:lang w:bidi="ar"/>
        </w:rPr>
        <w:t>9</w:t>
      </w:r>
      <w:r>
        <w:rPr>
          <w:rFonts w:hint="eastAsia" w:ascii="仿宋_GB2312" w:hAnsi="宋体" w:eastAsia="仿宋" w:cs="仿宋_GB2312"/>
          <w:sz w:val="32"/>
          <w:szCs w:val="28"/>
          <w:lang w:bidi="ar"/>
        </w:rPr>
        <w:t>年涉及考核的1</w:t>
      </w:r>
      <w:r>
        <w:rPr>
          <w:rFonts w:ascii="仿宋_GB2312" w:hAnsi="宋体" w:eastAsia="仿宋" w:cs="仿宋_GB2312"/>
          <w:sz w:val="32"/>
          <w:szCs w:val="28"/>
          <w:lang w:bidi="ar"/>
        </w:rPr>
        <w:t>3</w:t>
      </w:r>
      <w:r>
        <w:rPr>
          <w:rFonts w:hint="eastAsia" w:ascii="仿宋_GB2312" w:hAnsi="宋体" w:eastAsia="仿宋" w:cs="仿宋_GB2312"/>
          <w:sz w:val="32"/>
          <w:szCs w:val="28"/>
          <w:lang w:bidi="ar"/>
        </w:rPr>
        <w:t>个部门完成工作（部分）情况如下表：</w:t>
      </w:r>
    </w:p>
    <w:p w14:paraId="1A8241F6">
      <w:pPr>
        <w:spacing w:line="560" w:lineRule="exact"/>
        <w:ind w:firstLine="560"/>
        <w:rPr>
          <w:rFonts w:hint="eastAsia" w:ascii="仿宋_GB2312" w:hAnsi="宋体" w:eastAsia="仿宋" w:cs="仿宋_GB2312"/>
          <w:sz w:val="32"/>
          <w:szCs w:val="28"/>
          <w:lang w:bidi="ar"/>
        </w:rPr>
      </w:pPr>
    </w:p>
    <w:p w14:paraId="0B650DFA">
      <w:pPr>
        <w:spacing w:line="560" w:lineRule="exact"/>
        <w:ind w:firstLine="560"/>
        <w:rPr>
          <w:rFonts w:hint="eastAsia" w:ascii="仿宋_GB2312" w:hAnsi="宋体" w:eastAsia="仿宋" w:cs="仿宋_GB2312"/>
          <w:sz w:val="32"/>
          <w:szCs w:val="28"/>
          <w:lang w:bidi="ar"/>
        </w:rPr>
        <w:sectPr>
          <w:headerReference r:id="rId5" w:type="first"/>
          <w:footerReference r:id="rId8" w:type="first"/>
          <w:headerReference r:id="rId3" w:type="default"/>
          <w:footerReference r:id="rId6" w:type="default"/>
          <w:headerReference r:id="rId4" w:type="even"/>
          <w:footerReference r:id="rId7" w:type="even"/>
          <w:pgSz w:w="11906" w:h="16838"/>
          <w:pgMar w:top="1304" w:right="1418" w:bottom="1276" w:left="1418" w:header="851" w:footer="992" w:gutter="284"/>
          <w:pgNumType w:start="1"/>
          <w:cols w:space="720" w:num="1"/>
          <w:docGrid w:type="lines" w:linePitch="312" w:charSpace="0"/>
        </w:sect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2712"/>
        <w:gridCol w:w="10766"/>
      </w:tblGrid>
      <w:tr w14:paraId="52E3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shd w:val="clear" w:color="auto" w:fill="BEBEBE"/>
            <w:vAlign w:val="center"/>
          </w:tcPr>
          <w:p w14:paraId="012D4EB0">
            <w:pPr>
              <w:spacing w:line="560" w:lineRule="exact"/>
              <w:jc w:val="center"/>
              <w:rPr>
                <w:rFonts w:ascii="仿宋_GB2312" w:hAnsi="宋体" w:eastAsia="仿宋" w:cs="仿宋_GB2312"/>
                <w:sz w:val="32"/>
                <w:lang w:bidi="ar"/>
              </w:rPr>
            </w:pPr>
            <w:r>
              <w:rPr>
                <w:rFonts w:ascii="仿宋_GB2312" w:hAnsi="宋体" w:eastAsia="仿宋" w:cs="仿宋_GB2312"/>
                <w:bCs/>
                <w:sz w:val="32"/>
                <w:lang w:bidi="ar"/>
              </w:rPr>
              <w:t>序号</w:t>
            </w:r>
          </w:p>
        </w:tc>
        <w:tc>
          <w:tcPr>
            <w:tcW w:w="2712" w:type="dxa"/>
            <w:shd w:val="clear" w:color="auto" w:fill="BEBEBE"/>
            <w:vAlign w:val="center"/>
          </w:tcPr>
          <w:p w14:paraId="2B41A73F">
            <w:pPr>
              <w:spacing w:line="560" w:lineRule="exact"/>
              <w:jc w:val="center"/>
              <w:rPr>
                <w:rFonts w:ascii="仿宋_GB2312" w:hAnsi="宋体" w:eastAsia="仿宋" w:cs="仿宋_GB2312"/>
                <w:sz w:val="32"/>
                <w:lang w:bidi="ar"/>
              </w:rPr>
            </w:pPr>
            <w:r>
              <w:rPr>
                <w:rFonts w:ascii="仿宋_GB2312" w:hAnsi="宋体" w:eastAsia="仿宋" w:cs="仿宋_GB2312"/>
                <w:bCs/>
                <w:sz w:val="32"/>
                <w:lang w:bidi="ar"/>
              </w:rPr>
              <w:t>部门</w:t>
            </w:r>
          </w:p>
        </w:tc>
        <w:tc>
          <w:tcPr>
            <w:tcW w:w="10766" w:type="dxa"/>
            <w:shd w:val="clear" w:color="auto" w:fill="BEBEBE"/>
            <w:vAlign w:val="center"/>
          </w:tcPr>
          <w:p w14:paraId="4FCCD1EA">
            <w:pPr>
              <w:spacing w:line="560" w:lineRule="exact"/>
              <w:jc w:val="center"/>
              <w:rPr>
                <w:rFonts w:ascii="仿宋_GB2312" w:hAnsi="宋体" w:eastAsia="仿宋" w:cs="仿宋_GB2312"/>
                <w:sz w:val="32"/>
                <w:lang w:bidi="ar"/>
              </w:rPr>
            </w:pPr>
            <w:r>
              <w:rPr>
                <w:rFonts w:ascii="仿宋_GB2312" w:hAnsi="宋体" w:eastAsia="仿宋" w:cs="仿宋_GB2312"/>
                <w:bCs/>
                <w:sz w:val="32"/>
                <w:lang w:bidi="ar"/>
              </w:rPr>
              <w:t>部门职能完成情况</w:t>
            </w:r>
          </w:p>
        </w:tc>
      </w:tr>
      <w:tr w14:paraId="219A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shd w:val="clear" w:color="auto" w:fill="auto"/>
            <w:vAlign w:val="center"/>
          </w:tcPr>
          <w:p w14:paraId="7C86042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2712" w:type="dxa"/>
            <w:shd w:val="clear" w:color="auto" w:fill="auto"/>
            <w:vAlign w:val="center"/>
          </w:tcPr>
          <w:p w14:paraId="5FF56F3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马尔康市融媒体中心</w:t>
            </w:r>
          </w:p>
        </w:tc>
        <w:tc>
          <w:tcPr>
            <w:tcW w:w="10766" w:type="dxa"/>
            <w:shd w:val="clear" w:color="auto" w:fill="auto"/>
            <w:vAlign w:val="center"/>
          </w:tcPr>
          <w:p w14:paraId="321681AE">
            <w:pPr>
              <w:spacing w:line="560" w:lineRule="exact"/>
              <w:rPr>
                <w:rFonts w:ascii="仿宋_GB2312" w:hAnsi="宋体" w:eastAsia="仿宋" w:cs="仿宋_GB2312"/>
                <w:sz w:val="32"/>
                <w:lang w:bidi="ar"/>
              </w:rPr>
            </w:pPr>
            <w:r>
              <w:rPr>
                <w:rFonts w:ascii="仿宋_GB2312" w:hAnsi="宋体" w:eastAsia="仿宋" w:cs="仿宋_GB2312"/>
                <w:sz w:val="32"/>
                <w:lang w:bidi="ar"/>
              </w:rPr>
              <w:t>围绕市委、市政府工作大局和中心工作，开辟了“新中国成立70周年”、“不忘初心</w:t>
            </w:r>
            <w:r>
              <w:rPr>
                <w:rFonts w:hint="eastAsia" w:ascii="仿宋_GB2312" w:hAnsi="宋体" w:eastAsia="仿宋" w:cs="仿宋_GB2312"/>
                <w:sz w:val="32"/>
                <w:lang w:eastAsia="zh-CN" w:bidi="ar"/>
              </w:rPr>
              <w:t>、</w:t>
            </w:r>
            <w:r>
              <w:rPr>
                <w:rFonts w:ascii="仿宋_GB2312" w:hAnsi="宋体" w:eastAsia="仿宋" w:cs="仿宋_GB2312"/>
                <w:sz w:val="32"/>
                <w:lang w:bidi="ar"/>
              </w:rPr>
              <w:t>牢记使命”、“精准扶贫在行动”、“绿水青山就是金山银山”、“我身边的共产党员”、“最美马尔康人”、“盛世嘉绒.舞动吉祥”、“民族团结进步”等主题宣传专栏，及时宣传报道马尔康市贯彻落实中央、省委、州委新思路、新举措，充分展示马尔康市各条战线在十九大精神指引下取得的新进展、新成效，进一步激发全县上下干事创业的激情和动力。9月17日，正式挂牌融媒体中心以来，完成“马尔康在线”综合点击量达3万人次。市融媒体中心全新制播本土文艺作品《每周一歌》，法治栏目《普法故事会》、《法网》;历史剧《大揭密》、《档案》等栏目。在黄金时段还安排播出有一批市直相关单位提供的与全市中心工作紧密相关的视频类公益广告，字幕类的公益广告。</w:t>
            </w:r>
          </w:p>
        </w:tc>
      </w:tr>
      <w:tr w14:paraId="616E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shd w:val="clear" w:color="auto" w:fill="auto"/>
            <w:vAlign w:val="center"/>
          </w:tcPr>
          <w:p w14:paraId="6A5412C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2712" w:type="dxa"/>
            <w:shd w:val="clear" w:color="auto" w:fill="auto"/>
            <w:vAlign w:val="center"/>
          </w:tcPr>
          <w:p w14:paraId="228D9D0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马尔康市生态环境局</w:t>
            </w:r>
          </w:p>
        </w:tc>
        <w:tc>
          <w:tcPr>
            <w:tcW w:w="10766" w:type="dxa"/>
            <w:shd w:val="clear" w:color="auto" w:fill="auto"/>
            <w:vAlign w:val="center"/>
          </w:tcPr>
          <w:p w14:paraId="4182245F">
            <w:pPr>
              <w:spacing w:line="560" w:lineRule="exact"/>
              <w:rPr>
                <w:rFonts w:ascii="仿宋_GB2312" w:hAnsi="宋体" w:eastAsia="仿宋" w:cs="仿宋_GB2312"/>
                <w:sz w:val="32"/>
                <w:lang w:bidi="ar"/>
              </w:rPr>
            </w:pPr>
            <w:r>
              <w:rPr>
                <w:rFonts w:ascii="仿宋_GB2312" w:hAnsi="宋体" w:eastAsia="仿宋" w:cs="仿宋_GB2312"/>
                <w:sz w:val="32"/>
                <w:lang w:bidi="ar"/>
              </w:rPr>
              <w:t>按照环境保护督察总体部署，中央、省、对马尔康市开展了环保督察，并向马尔康市反馈和移交了相关环境信访问题。根据整改问题清单，截</w:t>
            </w:r>
            <w:r>
              <w:rPr>
                <w:rFonts w:hint="eastAsia" w:ascii="仿宋_GB2312" w:hAnsi="宋体" w:eastAsia="仿宋" w:cs="仿宋_GB2312"/>
                <w:sz w:val="32"/>
                <w:lang w:eastAsia="zh-CN" w:bidi="ar"/>
              </w:rPr>
              <w:t>至</w:t>
            </w:r>
            <w:bookmarkStart w:id="59" w:name="_GoBack"/>
            <w:bookmarkEnd w:id="59"/>
            <w:r>
              <w:rPr>
                <w:rFonts w:ascii="仿宋_GB2312" w:hAnsi="宋体" w:eastAsia="仿宋" w:cs="仿宋_GB2312"/>
                <w:sz w:val="32"/>
                <w:lang w:bidi="ar"/>
              </w:rPr>
              <w:t>目前，中央第五环境保护督察组向四川反馈督察意见，全市涉及5大类28项，完成整改任务21项、销号10项，完成率75%;中央环保督察信访举报问题涉及全市3项，完成整改任务3项、销号3项，完成率100%; 省环保督察反馈全市问题14项，完成整改任务13项、销号12项，垃圾填埋场问题已整改完成未销号，完成率93%;省环保督察“回头看”阿坝州督察组移交现场核查问题线索涉及全市6项，完成整改任务4项、销号3项、梭磨河下游沿线本真村等已完成砂石治理但未销号，完成率66.67%;自然保护区专项督察问题1项，完成1项、销号1项。完成率100%。建立健全生态环境保护长效机制，持续推进马尔康市生态文明建设，制定了《马尔康市环境保护委员会议事规则》等工作。</w:t>
            </w:r>
          </w:p>
        </w:tc>
      </w:tr>
      <w:tr w14:paraId="0FEE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shd w:val="clear" w:color="auto" w:fill="auto"/>
            <w:vAlign w:val="center"/>
          </w:tcPr>
          <w:p w14:paraId="62E8ED1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2712" w:type="dxa"/>
            <w:shd w:val="clear" w:color="auto" w:fill="auto"/>
            <w:vAlign w:val="center"/>
          </w:tcPr>
          <w:p w14:paraId="412681C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马尔康市公共服务中心</w:t>
            </w:r>
          </w:p>
        </w:tc>
        <w:tc>
          <w:tcPr>
            <w:tcW w:w="10766" w:type="dxa"/>
            <w:shd w:val="clear" w:color="auto" w:fill="auto"/>
            <w:vAlign w:val="center"/>
          </w:tcPr>
          <w:p w14:paraId="2C8D5AA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继续完善工作措施、加大对各项工作的监管和服务力度，确保顺利完成各项工作目标任务。其主要工作思路是：</w:t>
            </w:r>
            <w:r>
              <w:rPr>
                <w:rFonts w:hint="eastAsia" w:ascii="仿宋_GB2312" w:hAnsi="宋体" w:eastAsia="仿宋" w:cs="仿宋_GB2312"/>
                <w:sz w:val="32"/>
                <w:lang w:bidi="ar"/>
              </w:rPr>
              <w:t>深入学习贯彻党的十九大精神</w:t>
            </w:r>
            <w:r>
              <w:rPr>
                <w:rFonts w:ascii="仿宋_GB2312" w:hAnsi="宋体" w:eastAsia="仿宋" w:cs="仿宋_GB2312"/>
                <w:sz w:val="32"/>
                <w:lang w:bidi="ar"/>
              </w:rPr>
              <w:t>、以习近平总书记来川视察重要讲话精神为指导，认真执行党和国家的各项路线、方针、政策，紧紧围绕市委、市人民政府的中心工作，进一步规范和完善管理职能，不断提高服务水平和保障能力，为全市经济社会又好又快发展作出积极贡献。进一步提升政务接待水平，提升队伍整体素质强化制度建设等。</w:t>
            </w:r>
          </w:p>
        </w:tc>
      </w:tr>
      <w:tr w14:paraId="72B6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shd w:val="clear" w:color="auto" w:fill="auto"/>
            <w:vAlign w:val="center"/>
          </w:tcPr>
          <w:p w14:paraId="38AA8EA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2712" w:type="dxa"/>
            <w:shd w:val="clear" w:color="auto" w:fill="auto"/>
            <w:vAlign w:val="center"/>
          </w:tcPr>
          <w:p w14:paraId="045BB9E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马尔康市住房和城乡建设局</w:t>
            </w:r>
          </w:p>
        </w:tc>
        <w:tc>
          <w:tcPr>
            <w:tcW w:w="10766" w:type="dxa"/>
            <w:shd w:val="clear" w:color="auto" w:fill="auto"/>
            <w:vAlign w:val="center"/>
          </w:tcPr>
          <w:p w14:paraId="1E04BBF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市住建局阿底村防洪堤综合治理工程项目、阿底村安置房配套基础设施建设项目等项目已完工，正在审计阶段。维宏达广场基础设施建设（一、二期）项目已完成总工程量的90%。马尔康市红星桥建设等8个项目开展前期工作，市住建局针对马店民贸公司、嘉绒憩宫火柴厂、街心花园3个地块旧城改造进行摸底调查、效益初步分析、房屋土地测绘评估等，并根据目前的设计方案及市场情况对3个地块的开发成本进行了初步测算。委托第三方对31户藏区新居建设实行全程质量安全监管，目前竣工29户，藏区新居惠民惠农 “一卡通”支付23户，57万元补助资金。完成马尔康市240套公租房。招标审批备案76项，并对这76个建设项目招标会议进行现场监督等工作。</w:t>
            </w:r>
          </w:p>
        </w:tc>
      </w:tr>
      <w:tr w14:paraId="31C2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shd w:val="clear" w:color="auto" w:fill="auto"/>
            <w:vAlign w:val="center"/>
          </w:tcPr>
          <w:p w14:paraId="68563CF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5</w:t>
            </w:r>
          </w:p>
        </w:tc>
        <w:tc>
          <w:tcPr>
            <w:tcW w:w="2712" w:type="dxa"/>
            <w:shd w:val="clear" w:color="auto" w:fill="auto"/>
            <w:vAlign w:val="center"/>
          </w:tcPr>
          <w:p w14:paraId="51B7AFCC">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马尔康市松岗镇人民政府</w:t>
            </w:r>
          </w:p>
        </w:tc>
        <w:tc>
          <w:tcPr>
            <w:tcW w:w="10766" w:type="dxa"/>
            <w:shd w:val="clear" w:color="auto" w:fill="auto"/>
            <w:vAlign w:val="center"/>
          </w:tcPr>
          <w:p w14:paraId="16709C69">
            <w:pPr>
              <w:spacing w:line="560" w:lineRule="exact"/>
              <w:rPr>
                <w:rFonts w:ascii="仿宋_GB2312" w:hAnsi="宋体" w:eastAsia="仿宋" w:cs="仿宋_GB2312"/>
                <w:sz w:val="32"/>
                <w:lang w:bidi="ar"/>
              </w:rPr>
            </w:pPr>
            <w:r>
              <w:rPr>
                <w:rFonts w:ascii="仿宋_GB2312" w:hAnsi="宋体" w:eastAsia="仿宋" w:cs="仿宋_GB2312"/>
                <w:sz w:val="32"/>
                <w:lang w:bidi="ar"/>
              </w:rPr>
              <w:t>全镇蔬菜种植153亩，主要种植莴笋、莲花白、白菜等蔬菜。中药材种植521余亩，主要种植大黄、赤芍、秦艽。洛威村45亩花椒种植初具规模。全镇养殖牲畜达10308余头，其中养殖猪3657余头，牛6451余头，羊200只。</w:t>
            </w:r>
          </w:p>
          <w:p w14:paraId="74B13D01">
            <w:pPr>
              <w:spacing w:line="560" w:lineRule="exact"/>
              <w:rPr>
                <w:rFonts w:ascii="仿宋_GB2312" w:hAnsi="宋体" w:eastAsia="仿宋" w:cs="仿宋_GB2312"/>
                <w:sz w:val="32"/>
                <w:lang w:bidi="ar"/>
              </w:rPr>
            </w:pPr>
            <w:r>
              <w:rPr>
                <w:rFonts w:ascii="仿宋_GB2312" w:hAnsi="宋体" w:eastAsia="仿宋" w:cs="仿宋_GB2312"/>
                <w:sz w:val="32"/>
                <w:lang w:bidi="ar"/>
              </w:rPr>
              <w:t>集体经济发展持续向好，全镇8个行政村因村施策建立了村集体经济，各村集体经济收入超出指标任务。</w:t>
            </w:r>
          </w:p>
          <w:p w14:paraId="0FF342AE">
            <w:pPr>
              <w:spacing w:line="560" w:lineRule="exact"/>
              <w:rPr>
                <w:rFonts w:ascii="仿宋_GB2312" w:hAnsi="宋体" w:eastAsia="仿宋" w:cs="仿宋_GB2312"/>
                <w:sz w:val="32"/>
                <w:lang w:bidi="ar"/>
              </w:rPr>
            </w:pPr>
            <w:r>
              <w:rPr>
                <w:rFonts w:ascii="仿宋_GB2312" w:hAnsi="宋体" w:eastAsia="仿宋" w:cs="仿宋_GB2312"/>
                <w:sz w:val="32"/>
                <w:lang w:bidi="ar"/>
              </w:rPr>
              <w:t>镇建档立卡贫困户74户274人，今年已全脱贫，巩固提升和回头看、回头帮工作正有序推进。全镇共发放民政保障资金1077280元。全镇九年义务教育普及率达到100％，初中入学率100％。全年公共服务共接件2980余件，办结2980余件，办结率100%，群众满意率达98%。</w:t>
            </w:r>
          </w:p>
        </w:tc>
      </w:tr>
    </w:tbl>
    <w:p w14:paraId="057BCC40">
      <w:pPr>
        <w:spacing w:line="560" w:lineRule="exact"/>
        <w:ind w:firstLine="560"/>
        <w:rPr>
          <w:rFonts w:ascii="仿宋_GB2312" w:hAnsi="宋体" w:eastAsia="仿宋" w:cs="仿宋_GB2312"/>
          <w:sz w:val="32"/>
          <w:szCs w:val="28"/>
          <w:lang w:bidi="ar"/>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713"/>
        <w:gridCol w:w="10753"/>
      </w:tblGrid>
      <w:tr w14:paraId="29E7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BEBEBE"/>
            <w:vAlign w:val="center"/>
          </w:tcPr>
          <w:p w14:paraId="3BB375FE">
            <w:pPr>
              <w:spacing w:line="560" w:lineRule="exact"/>
              <w:jc w:val="center"/>
              <w:rPr>
                <w:rFonts w:ascii="仿宋_GB2312" w:hAnsi="宋体" w:eastAsia="仿宋" w:cs="仿宋_GB2312"/>
                <w:sz w:val="32"/>
                <w:lang w:bidi="ar"/>
              </w:rPr>
            </w:pPr>
            <w:r>
              <w:rPr>
                <w:rFonts w:ascii="仿宋_GB2312" w:hAnsi="宋体" w:eastAsia="仿宋" w:cs="仿宋_GB2312"/>
                <w:bCs/>
                <w:sz w:val="32"/>
                <w:lang w:bidi="ar"/>
              </w:rPr>
              <w:t>序号</w:t>
            </w:r>
          </w:p>
        </w:tc>
        <w:tc>
          <w:tcPr>
            <w:tcW w:w="2713" w:type="dxa"/>
            <w:shd w:val="clear" w:color="auto" w:fill="BEBEBE"/>
            <w:vAlign w:val="center"/>
          </w:tcPr>
          <w:p w14:paraId="54F1270A">
            <w:pPr>
              <w:spacing w:line="560" w:lineRule="exact"/>
              <w:jc w:val="center"/>
              <w:rPr>
                <w:rFonts w:ascii="仿宋_GB2312" w:hAnsi="宋体" w:eastAsia="仿宋" w:cs="仿宋_GB2312"/>
                <w:sz w:val="32"/>
                <w:lang w:bidi="ar"/>
              </w:rPr>
            </w:pPr>
            <w:r>
              <w:rPr>
                <w:rFonts w:ascii="仿宋_GB2312" w:hAnsi="宋体" w:eastAsia="仿宋" w:cs="仿宋_GB2312"/>
                <w:bCs/>
                <w:sz w:val="32"/>
                <w:lang w:bidi="ar"/>
              </w:rPr>
              <w:t>部门</w:t>
            </w:r>
          </w:p>
        </w:tc>
        <w:tc>
          <w:tcPr>
            <w:tcW w:w="10753" w:type="dxa"/>
            <w:shd w:val="clear" w:color="auto" w:fill="BEBEBE"/>
            <w:vAlign w:val="center"/>
          </w:tcPr>
          <w:p w14:paraId="5F0F4783">
            <w:pPr>
              <w:spacing w:line="560" w:lineRule="exact"/>
              <w:jc w:val="center"/>
              <w:rPr>
                <w:rFonts w:ascii="仿宋_GB2312" w:hAnsi="宋体" w:eastAsia="仿宋" w:cs="仿宋_GB2312"/>
                <w:sz w:val="32"/>
                <w:lang w:bidi="ar"/>
              </w:rPr>
            </w:pPr>
            <w:r>
              <w:rPr>
                <w:rFonts w:ascii="仿宋_GB2312" w:hAnsi="宋体" w:eastAsia="仿宋" w:cs="仿宋_GB2312"/>
                <w:bCs/>
                <w:sz w:val="32"/>
                <w:lang w:bidi="ar"/>
              </w:rPr>
              <w:t>部门职能完成情况</w:t>
            </w:r>
          </w:p>
        </w:tc>
      </w:tr>
      <w:tr w14:paraId="224A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tcPr>
          <w:p w14:paraId="158C338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6</w:t>
            </w:r>
          </w:p>
        </w:tc>
        <w:tc>
          <w:tcPr>
            <w:tcW w:w="2713" w:type="dxa"/>
            <w:shd w:val="clear" w:color="auto" w:fill="auto"/>
            <w:vAlign w:val="center"/>
          </w:tcPr>
          <w:p w14:paraId="5BE82423">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马尔康市应急管理局</w:t>
            </w:r>
          </w:p>
        </w:tc>
        <w:tc>
          <w:tcPr>
            <w:tcW w:w="10753" w:type="dxa"/>
            <w:shd w:val="clear" w:color="auto" w:fill="auto"/>
            <w:vAlign w:val="center"/>
          </w:tcPr>
          <w:p w14:paraId="7627321D">
            <w:pPr>
              <w:spacing w:line="560" w:lineRule="exact"/>
              <w:rPr>
                <w:rFonts w:ascii="仿宋_GB2312" w:hAnsi="宋体" w:eastAsia="仿宋" w:cs="仿宋_GB2312"/>
                <w:sz w:val="32"/>
                <w:lang w:bidi="ar"/>
              </w:rPr>
            </w:pPr>
            <w:r>
              <w:rPr>
                <w:rFonts w:ascii="仿宋_GB2312" w:hAnsi="宋体" w:eastAsia="仿宋" w:cs="仿宋_GB2312"/>
                <w:sz w:val="32"/>
                <w:lang w:bidi="ar"/>
              </w:rPr>
              <w:t>市应急局继续加强安全生产工作的监督管理。2019年共排查非煤矿山、烟花爆竹、危险化学品等重点企业158家次，发现隐患问题629条，完成整改629条。同时进一步做好春运、全国两会、国庆等重点时期安全生产工作，组织开展联合检查25次，专项安全检查40次，督查巡查17次，对全市14个乡镇进行全覆盖督查检查工作。加强对各乡镇、部门、各企业管理人员、安全员和作业人员的安全生产法律法规和技能宣传教育培训，组织培训班3期，培训人员共计300余人，发放各类宣传资料25000余份。市应急局切实加强应急救援预案体系建设。2019年先后开展防汛抗洪、危化、道路交通、旅游景区等应急演练6场，参演人数2618人，通过演练，有效提升了应急救援快速反映、快速处置、抢险救援能力。加强宣传教育，增强防灾减灾意识，举办5.12防灾减灾宣传活动，现场培训教育群众使用防灾减灾应急处置装备。</w:t>
            </w:r>
          </w:p>
        </w:tc>
      </w:tr>
      <w:tr w14:paraId="531F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tcPr>
          <w:p w14:paraId="62F9BF4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7</w:t>
            </w:r>
          </w:p>
        </w:tc>
        <w:tc>
          <w:tcPr>
            <w:tcW w:w="2713" w:type="dxa"/>
            <w:shd w:val="clear" w:color="auto" w:fill="auto"/>
            <w:vAlign w:val="center"/>
          </w:tcPr>
          <w:p w14:paraId="3F7DB5AB">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马尔康市经济商务和信息化局</w:t>
            </w:r>
          </w:p>
        </w:tc>
        <w:tc>
          <w:tcPr>
            <w:tcW w:w="10753" w:type="dxa"/>
            <w:shd w:val="clear" w:color="auto" w:fill="auto"/>
            <w:vAlign w:val="center"/>
          </w:tcPr>
          <w:p w14:paraId="3483C3B9">
            <w:pPr>
              <w:spacing w:line="560" w:lineRule="exact"/>
              <w:rPr>
                <w:rFonts w:ascii="仿宋_GB2312" w:hAnsi="宋体" w:eastAsia="仿宋" w:cs="仿宋_GB2312"/>
                <w:sz w:val="32"/>
                <w:lang w:bidi="ar"/>
              </w:rPr>
            </w:pPr>
            <w:r>
              <w:rPr>
                <w:rFonts w:ascii="仿宋_GB2312" w:hAnsi="宋体" w:eastAsia="仿宋" w:cs="仿宋_GB2312"/>
                <w:sz w:val="32"/>
                <w:lang w:bidi="ar"/>
              </w:rPr>
              <w:t>市经信局工业经济发展向好。大禹水电龙头滩电站顺利投产，助力金鑫公司生产自救，促进工业产值达上千万。深化“一岗双责”责任体系，与加油站、民爆公司等企业签订安全生产责任书28份。积极开展电力设施隐患治理工作、汛期地质灾害排查、“安全生产月”等活动，做到每月至少深入企业进行安全生产检查1次等，查出安全隐患22处，已全部整改完成。与州经信局、各通信企业、公安、武警等部门联合开展“法律进企业”集中法治宣传教育活动，外引内推，助力招商引资项目落地。通过点对点、产业化招商、招商推介会等成功签约4个招商引资项目，总投资达3.16亿。2019年，招商引资累计完成108478万元，完成州下达目标任务130%，其中国内省外到位资金99158万元，完成州下达任务的220%。引培并重，推动电子商务平稳发展。促进电信、移动等公司投资1200万元，新建+改造基站43个。无线电监测不断优化。</w:t>
            </w:r>
          </w:p>
        </w:tc>
      </w:tr>
      <w:tr w14:paraId="67E5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tcPr>
          <w:p w14:paraId="036A625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8</w:t>
            </w:r>
          </w:p>
        </w:tc>
        <w:tc>
          <w:tcPr>
            <w:tcW w:w="2713" w:type="dxa"/>
            <w:shd w:val="clear" w:color="auto" w:fill="auto"/>
            <w:vAlign w:val="center"/>
          </w:tcPr>
          <w:p w14:paraId="4CBD10C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马尔康市自然资源局</w:t>
            </w:r>
          </w:p>
        </w:tc>
        <w:tc>
          <w:tcPr>
            <w:tcW w:w="10753" w:type="dxa"/>
            <w:shd w:val="clear" w:color="auto" w:fill="auto"/>
            <w:vAlign w:val="center"/>
          </w:tcPr>
          <w:p w14:paraId="3B83B209">
            <w:pPr>
              <w:spacing w:line="560" w:lineRule="exact"/>
              <w:rPr>
                <w:rFonts w:ascii="仿宋_GB2312" w:hAnsi="宋体" w:eastAsia="仿宋" w:cs="仿宋_GB2312"/>
                <w:sz w:val="32"/>
                <w:lang w:bidi="ar"/>
              </w:rPr>
            </w:pPr>
            <w:r>
              <w:rPr>
                <w:rFonts w:ascii="仿宋_GB2312" w:hAnsi="宋体" w:eastAsia="仿宋" w:cs="仿宋_GB2312"/>
                <w:sz w:val="32"/>
                <w:lang w:bidi="ar"/>
              </w:rPr>
              <w:t>农村宅基地审批共9宗，其中新建4宗，总面积1.12亩；原拆原建5件，总面积1.5亩；划拨用地3宗，共计13.7133亩，实现土地收益303.1073万元。完成马尔康市卓阿组团日瓦坝片区（B04-9）地块西侧部分国有建设用地使用权拍卖工作，出让面积10000平方米，实现土地收入1750万元。完成马尔康市老城区组团C03-4、C03-5地块（阿底村红十字会旁）国有建设用地使用权拍卖工作，出让面积6600平方米，实现土地收入915万元。完成全市二期14个乡镇规划区内测量，总面积6平方公里，包含宗地857块。不动产查档查询2510宗；法院查解封10宗。登记颁证数量质量均居全州首位。着力加强生态治理，狠抓地质灾害治理工作，完成了马尔康镇达萨社区公墓沟泥石流治理工程的施工建设任务等。</w:t>
            </w:r>
          </w:p>
        </w:tc>
      </w:tr>
      <w:tr w14:paraId="37EC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tcPr>
          <w:p w14:paraId="48DBC55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9</w:t>
            </w:r>
          </w:p>
        </w:tc>
        <w:tc>
          <w:tcPr>
            <w:tcW w:w="2713" w:type="dxa"/>
            <w:shd w:val="clear" w:color="auto" w:fill="auto"/>
            <w:vAlign w:val="center"/>
          </w:tcPr>
          <w:p w14:paraId="78F3375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马尔康市人民法院</w:t>
            </w:r>
          </w:p>
        </w:tc>
        <w:tc>
          <w:tcPr>
            <w:tcW w:w="10753" w:type="dxa"/>
            <w:shd w:val="clear" w:color="auto" w:fill="auto"/>
            <w:vAlign w:val="center"/>
          </w:tcPr>
          <w:p w14:paraId="71E7AF1D">
            <w:pPr>
              <w:spacing w:line="560" w:lineRule="exact"/>
              <w:rPr>
                <w:rFonts w:ascii="仿宋_GB2312" w:hAnsi="宋体" w:eastAsia="仿宋" w:cs="仿宋_GB2312"/>
                <w:sz w:val="32"/>
                <w:lang w:bidi="ar"/>
              </w:rPr>
            </w:pPr>
            <w:r>
              <w:rPr>
                <w:rFonts w:ascii="仿宋_GB2312" w:hAnsi="宋体" w:eastAsia="仿宋" w:cs="仿宋_GB2312"/>
                <w:sz w:val="32"/>
                <w:lang w:bidi="ar"/>
              </w:rPr>
              <w:t>2019年市法院受理各类案件621件。其中，受理民事案件354件、审结336件，审结率94.9%；刑事案件39件、审结37件，审结率95%；行政案件10件，审结10件，审结率100%；执行案件214件、执结198件，执结率92.5%；司法救助2件，诉前财产保全2件，案件总数比去年同期增长48.2%。主要办案质量、效率、效果指标继续保持在全州法院前列。</w:t>
            </w:r>
          </w:p>
        </w:tc>
      </w:tr>
      <w:tr w14:paraId="61A0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tcPr>
          <w:p w14:paraId="458E8C5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10</w:t>
            </w:r>
          </w:p>
        </w:tc>
        <w:tc>
          <w:tcPr>
            <w:tcW w:w="2713" w:type="dxa"/>
            <w:shd w:val="clear" w:color="auto" w:fill="auto"/>
            <w:vAlign w:val="center"/>
          </w:tcPr>
          <w:p w14:paraId="378E6AB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马尔康市人民检察院</w:t>
            </w:r>
          </w:p>
        </w:tc>
        <w:tc>
          <w:tcPr>
            <w:tcW w:w="10753" w:type="dxa"/>
            <w:shd w:val="clear" w:color="auto" w:fill="auto"/>
            <w:vAlign w:val="center"/>
          </w:tcPr>
          <w:p w14:paraId="1EE18CD8">
            <w:pPr>
              <w:spacing w:line="560" w:lineRule="exact"/>
              <w:rPr>
                <w:rFonts w:ascii="仿宋_GB2312" w:hAnsi="宋体" w:eastAsia="仿宋" w:cs="仿宋_GB2312"/>
                <w:sz w:val="32"/>
                <w:lang w:bidi="ar"/>
              </w:rPr>
            </w:pPr>
            <w:r>
              <w:rPr>
                <w:rFonts w:ascii="仿宋_GB2312" w:hAnsi="宋体" w:eastAsia="仿宋" w:cs="仿宋_GB2312"/>
                <w:sz w:val="32"/>
                <w:lang w:bidi="ar"/>
              </w:rPr>
              <w:t>市检察院2019年受理提请审查逮捕案件40件68人，经审查批准逮捕57人，决定逮捕1人，不批准逮捕9人，在办1人。共受理审查起诉各类刑事案件50件102人，其中上年积存7件9人，目前已经提起公诉39件71人，8件28人正在审查办理中，不起诉3件3人。开展案件“回头看”，共制定大型宣传标语21幅，发放宣传资料11200余份，开展法治宣传163次，接受法律咨询265余次。依法办理国家司法救助案件3件3人，共计发放司法救助金2万元。“格桑梅朵”青少年法治教育实践基地开馆以来，将“走出去”与“请进来”有机结合，采取“菜单式”和“订单式”相结合的方式，先后组织80批次6000余名中小学生开展“祖国在心中·法治伴成长”爱国主义教育、“双牵手”亲职教育。</w:t>
            </w:r>
          </w:p>
        </w:tc>
      </w:tr>
      <w:tr w14:paraId="2B96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tcPr>
          <w:p w14:paraId="01C946D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11</w:t>
            </w:r>
          </w:p>
        </w:tc>
        <w:tc>
          <w:tcPr>
            <w:tcW w:w="2713" w:type="dxa"/>
            <w:shd w:val="clear" w:color="auto" w:fill="auto"/>
            <w:vAlign w:val="center"/>
          </w:tcPr>
          <w:p w14:paraId="219FFFFA">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马尔康市卫生健康局</w:t>
            </w:r>
          </w:p>
        </w:tc>
        <w:tc>
          <w:tcPr>
            <w:tcW w:w="10753" w:type="dxa"/>
            <w:shd w:val="clear" w:color="auto" w:fill="auto"/>
            <w:vAlign w:val="center"/>
          </w:tcPr>
          <w:p w14:paraId="6785D137">
            <w:pPr>
              <w:spacing w:line="560" w:lineRule="exact"/>
              <w:rPr>
                <w:rFonts w:ascii="仿宋_GB2312" w:hAnsi="宋体" w:eastAsia="仿宋" w:cs="宋体"/>
                <w:sz w:val="32"/>
              </w:rPr>
            </w:pPr>
            <w:r>
              <w:rPr>
                <w:rFonts w:ascii="仿宋_GB2312" w:hAnsi="宋体" w:eastAsia="仿宋" w:cs="宋体"/>
                <w:sz w:val="32"/>
              </w:rPr>
              <w:t>巩固完善基本药物制度和基层运行新机制。医疗联合体的初步建立。州人民医院派驻1名常务副院长、4名专家不定期坐诊，对市人民医院做到了管理指导、技术帮扶和人员培训三到位，实现了科室内会诊。加快推进家庭医生签约服务。已组建家庭医生团队32个，签约51370人，签约率达到87%。医疗卫生服务硬件能力建设持续推进。建立了马尔康包虫病防控实验室等；马尔康市沙尔宗镇卫生院业务用房扩建及附属设施建设项目的建设。公共卫生工作持续加强。传染病管理和疾病防控能力得到提升。发挥卫计行业优势助力脱贫攻坚。一是全市3666位建档立卡贫困人员的个人参合费由市级财政全额解决，参合率达到100%。实现贫困患者在市域内住院、依规转诊至市域外住院、慢性病门诊维持治疗医疗费用个人支付占比均控制在5%以内。</w:t>
            </w:r>
          </w:p>
        </w:tc>
      </w:tr>
      <w:tr w14:paraId="4B13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tcPr>
          <w:p w14:paraId="7897D9E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12</w:t>
            </w:r>
          </w:p>
        </w:tc>
        <w:tc>
          <w:tcPr>
            <w:tcW w:w="2713" w:type="dxa"/>
            <w:shd w:val="clear" w:color="auto" w:fill="auto"/>
            <w:vAlign w:val="center"/>
          </w:tcPr>
          <w:p w14:paraId="65FDC374">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马尔康市林业和草原局</w:t>
            </w:r>
          </w:p>
        </w:tc>
        <w:tc>
          <w:tcPr>
            <w:tcW w:w="10753" w:type="dxa"/>
            <w:shd w:val="clear" w:color="auto" w:fill="auto"/>
            <w:vAlign w:val="center"/>
          </w:tcPr>
          <w:p w14:paraId="60D6B275">
            <w:pPr>
              <w:spacing w:line="560" w:lineRule="exact"/>
              <w:rPr>
                <w:rFonts w:ascii="仿宋_GB2312" w:hAnsi="宋体" w:eastAsia="仿宋" w:cs="宋体"/>
                <w:sz w:val="32"/>
              </w:rPr>
            </w:pPr>
            <w:r>
              <w:rPr>
                <w:rFonts w:ascii="仿宋_GB2312" w:hAnsi="宋体" w:eastAsia="仿宋" w:cs="宋体"/>
                <w:sz w:val="32"/>
              </w:rPr>
              <w:t>2019年兑现面积8,000.00亩（2005年7,000.00亩，2006年1,000.00亩），前一轮退耕还林工程完善政策补助资金208万元和2017年6,000.00亩补助资金180万元。扎实开展森林防火工作，圆满完成了州下达的一般森林火灾损失率控制在0.1‰以内和无人员伤亡事故发生的年度目标任务。林草局承担建设脚梭两河绿色走廊项目1个，即马尔康市重要道路绿化项目。该项目于2019年3月12日开工建设以来，施工单位已经按照合同约定全面完成了设计内的82.19公里的绿化工作并已转入养护期。</w:t>
            </w:r>
          </w:p>
        </w:tc>
      </w:tr>
      <w:tr w14:paraId="258D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tcPr>
          <w:p w14:paraId="7096FB8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13</w:t>
            </w:r>
          </w:p>
        </w:tc>
        <w:tc>
          <w:tcPr>
            <w:tcW w:w="2713" w:type="dxa"/>
            <w:shd w:val="clear" w:color="auto" w:fill="auto"/>
            <w:vAlign w:val="center"/>
          </w:tcPr>
          <w:p w14:paraId="14A5AF5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马尔康市水务局</w:t>
            </w:r>
          </w:p>
        </w:tc>
        <w:tc>
          <w:tcPr>
            <w:tcW w:w="10753" w:type="dxa"/>
            <w:shd w:val="clear" w:color="auto" w:fill="auto"/>
            <w:vAlign w:val="center"/>
          </w:tcPr>
          <w:p w14:paraId="19DC7F79">
            <w:pPr>
              <w:spacing w:line="560" w:lineRule="exact"/>
              <w:rPr>
                <w:rFonts w:ascii="仿宋_GB2312" w:hAnsi="宋体" w:eastAsia="仿宋" w:cs="宋体"/>
                <w:sz w:val="32"/>
              </w:rPr>
            </w:pPr>
            <w:r>
              <w:rPr>
                <w:rFonts w:ascii="仿宋_GB2312" w:hAnsi="宋体" w:eastAsia="仿宋" w:cs="宋体"/>
                <w:sz w:val="32"/>
              </w:rPr>
              <w:t>着力推进农村安全饮水工作。积极推进马尔康市农村饮水安全巩固提升项目，共涉及9个乡镇，17个行政村、2处寺庙。建设集中供水工程24处，分散供水9处。积极推进梭磨两河水利工程工作、高效节水灌溉工程等。全面推行河长制工作。编制出台了《马尔康市总河长制运行规则》。对辖区内的河道开展定期与不定期的巡查，严厉打击非法制砂行为，已关停63家砂石加工点、撤除砂石加工点43家、清理撤除8艘抽砂船舶。落实水旱灾害防御工作，积极推进水土保持工作及堤防建设工作。</w:t>
            </w:r>
          </w:p>
        </w:tc>
      </w:tr>
    </w:tbl>
    <w:p w14:paraId="3E73DB22">
      <w:pPr>
        <w:spacing w:line="560" w:lineRule="exact"/>
        <w:rPr>
          <w:rFonts w:hint="eastAsia" w:eastAsia="仿宋"/>
          <w:sz w:val="32"/>
          <w:szCs w:val="30"/>
        </w:rPr>
        <w:sectPr>
          <w:footerReference r:id="rId9" w:type="default"/>
          <w:pgSz w:w="16838" w:h="11906" w:orient="landscape"/>
          <w:pgMar w:top="1418" w:right="1304" w:bottom="1418" w:left="1276" w:header="851" w:footer="992" w:gutter="284"/>
          <w:cols w:space="720" w:num="1"/>
          <w:docGrid w:type="lines" w:linePitch="312" w:charSpace="0"/>
        </w:sectPr>
      </w:pPr>
    </w:p>
    <w:p w14:paraId="68A26B7A">
      <w:pPr>
        <w:pStyle w:val="40"/>
        <w:spacing w:before="156" w:after="156" w:line="560" w:lineRule="exact"/>
        <w:ind w:firstLine="640"/>
        <w:rPr>
          <w:rFonts w:eastAsia="仿宋"/>
          <w:b w:val="0"/>
          <w:color w:val="auto"/>
          <w:sz w:val="32"/>
        </w:rPr>
      </w:pPr>
      <w:bookmarkStart w:id="40" w:name="_Toc10993"/>
      <w:r>
        <w:rPr>
          <w:rFonts w:eastAsia="仿宋"/>
          <w:b w:val="0"/>
          <w:color w:val="auto"/>
          <w:sz w:val="32"/>
        </w:rPr>
        <w:t>3</w:t>
      </w:r>
      <w:r>
        <w:rPr>
          <w:rFonts w:hint="eastAsia" w:eastAsia="仿宋"/>
          <w:b w:val="0"/>
          <w:color w:val="auto"/>
          <w:sz w:val="32"/>
        </w:rPr>
        <w:t>、财政政策</w:t>
      </w:r>
    </w:p>
    <w:p w14:paraId="2F7F261A">
      <w:pPr>
        <w:pStyle w:val="40"/>
        <w:spacing w:before="156" w:after="156" w:line="560" w:lineRule="exact"/>
        <w:ind w:firstLine="640"/>
        <w:rPr>
          <w:rFonts w:hint="eastAsia" w:ascii="仿宋_GB2312" w:hAnsi="仿宋_GB2312" w:eastAsia="仿宋" w:cs="仿宋_GB2312"/>
          <w:b w:val="0"/>
          <w:color w:val="auto"/>
          <w:sz w:val="32"/>
          <w:szCs w:val="28"/>
        </w:rPr>
      </w:pPr>
      <w:r>
        <w:rPr>
          <w:rFonts w:hint="eastAsia" w:ascii="仿宋_GB2312" w:hAnsi="仿宋_GB2312" w:eastAsia="仿宋" w:cs="仿宋_GB2312"/>
          <w:b w:val="0"/>
          <w:color w:val="auto"/>
          <w:sz w:val="32"/>
          <w:szCs w:val="28"/>
        </w:rPr>
        <w:t>——经济性分析</w:t>
      </w:r>
    </w:p>
    <w:p w14:paraId="465DBAEA">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该指标</w:t>
      </w:r>
      <w:r>
        <w:rPr>
          <w:rFonts w:ascii="仿宋_GB2312" w:hAnsi="宋体" w:eastAsia="仿宋" w:cs="仿宋_GB2312"/>
          <w:sz w:val="32"/>
          <w:szCs w:val="28"/>
          <w:lang w:bidi="ar"/>
        </w:rPr>
        <w:t>权重为</w:t>
      </w:r>
      <w:r>
        <w:rPr>
          <w:rFonts w:hint="eastAsia" w:ascii="仿宋_GB2312" w:hAnsi="宋体" w:eastAsia="仿宋" w:cs="仿宋_GB2312"/>
          <w:sz w:val="32"/>
          <w:szCs w:val="28"/>
          <w:lang w:bidi="ar"/>
        </w:rPr>
        <w:t>20</w:t>
      </w:r>
      <w:r>
        <w:rPr>
          <w:rFonts w:ascii="仿宋_GB2312" w:hAnsi="宋体" w:eastAsia="仿宋" w:cs="仿宋_GB2312"/>
          <w:sz w:val="32"/>
          <w:szCs w:val="28"/>
          <w:lang w:bidi="ar"/>
        </w:rPr>
        <w:t>分，</w:t>
      </w:r>
      <w:r>
        <w:rPr>
          <w:rFonts w:hint="eastAsia" w:ascii="仿宋_GB2312" w:hAnsi="宋体" w:eastAsia="仿宋" w:cs="仿宋_GB2312"/>
          <w:sz w:val="32"/>
          <w:szCs w:val="28"/>
          <w:lang w:bidi="ar"/>
        </w:rPr>
        <w:t>实得</w:t>
      </w:r>
      <w:r>
        <w:rPr>
          <w:rFonts w:ascii="仿宋_GB2312" w:hAnsi="宋体" w:eastAsia="仿宋" w:cs="仿宋_GB2312"/>
          <w:sz w:val="32"/>
          <w:szCs w:val="28"/>
          <w:lang w:bidi="ar"/>
        </w:rPr>
        <w:t>20</w:t>
      </w:r>
      <w:r>
        <w:rPr>
          <w:rFonts w:hint="eastAsia" w:ascii="仿宋_GB2312" w:hAnsi="宋体" w:eastAsia="仿宋" w:cs="仿宋_GB2312"/>
          <w:sz w:val="32"/>
          <w:szCs w:val="28"/>
          <w:lang w:bidi="ar"/>
        </w:rPr>
        <w:t>分，</w:t>
      </w:r>
      <w:r>
        <w:rPr>
          <w:rFonts w:ascii="仿宋_GB2312" w:hAnsi="宋体" w:eastAsia="仿宋" w:cs="仿宋_GB2312"/>
          <w:sz w:val="32"/>
          <w:szCs w:val="28"/>
          <w:lang w:bidi="ar"/>
        </w:rPr>
        <w:t>用于考察项目</w:t>
      </w:r>
      <w:r>
        <w:rPr>
          <w:rFonts w:hint="eastAsia" w:ascii="仿宋_GB2312" w:hAnsi="宋体" w:eastAsia="仿宋" w:cs="仿宋_GB2312"/>
          <w:sz w:val="32"/>
          <w:szCs w:val="28"/>
          <w:lang w:bidi="ar"/>
        </w:rPr>
        <w:t>政策是否与国家、地方政策及发展战略相关、政策设定是否符合目标区域、目标群体需求。</w:t>
      </w:r>
    </w:p>
    <w:p w14:paraId="22B6B342">
      <w:pPr>
        <w:spacing w:line="560" w:lineRule="exact"/>
        <w:ind w:firstLine="560"/>
        <w:rPr>
          <w:rFonts w:ascii="仿宋_GB2312" w:hAnsi="宋体" w:eastAsia="仿宋" w:cs="仿宋_GB2312"/>
          <w:sz w:val="32"/>
          <w:szCs w:val="28"/>
          <w:lang w:bidi="ar"/>
        </w:rPr>
      </w:pPr>
      <w:r>
        <w:rPr>
          <w:rFonts w:ascii="仿宋_GB2312" w:hAnsi="宋体" w:eastAsia="仿宋" w:cs="仿宋_GB2312"/>
          <w:sz w:val="32"/>
          <w:szCs w:val="28"/>
          <w:lang w:bidi="ar"/>
        </w:rPr>
        <w:t>具体评价指标和得分情况如下：</w:t>
      </w:r>
    </w:p>
    <w:p w14:paraId="2656611F">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经济性指标得分情况汇总表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70EFD394">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303E589D">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6ECE98D3">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58570468">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301CC778">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7F858918">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vAlign w:val="center"/>
          </w:tcPr>
          <w:p w14:paraId="7A074800">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经济性</w:t>
            </w:r>
          </w:p>
        </w:tc>
        <w:tc>
          <w:tcPr>
            <w:tcW w:w="1379" w:type="pct"/>
            <w:vAlign w:val="center"/>
          </w:tcPr>
          <w:p w14:paraId="716663AA">
            <w:pPr>
              <w:spacing w:line="560" w:lineRule="exact"/>
              <w:jc w:val="center"/>
              <w:rPr>
                <w:rFonts w:ascii="仿宋_GB2312" w:hAnsi="Arial Narrow" w:eastAsia="仿宋"/>
                <w:bCs/>
                <w:sz w:val="32"/>
              </w:rPr>
            </w:pPr>
            <w:r>
              <w:rPr>
                <w:rFonts w:ascii="仿宋_GB2312" w:hAnsi="宋体" w:eastAsia="仿宋" w:cs="仿宋_GB2312"/>
                <w:sz w:val="32"/>
                <w:lang w:bidi="ar"/>
              </w:rPr>
              <w:t>20.00</w:t>
            </w:r>
          </w:p>
        </w:tc>
        <w:tc>
          <w:tcPr>
            <w:tcW w:w="1346" w:type="pct"/>
            <w:vAlign w:val="center"/>
          </w:tcPr>
          <w:p w14:paraId="0288CACF">
            <w:pPr>
              <w:spacing w:line="560" w:lineRule="exact"/>
              <w:jc w:val="center"/>
              <w:rPr>
                <w:rFonts w:ascii="仿宋_GB2312" w:hAnsi="Arial Narrow" w:eastAsia="仿宋"/>
                <w:bCs/>
                <w:sz w:val="32"/>
              </w:rPr>
            </w:pPr>
            <w:r>
              <w:rPr>
                <w:rFonts w:ascii="仿宋_GB2312" w:hAnsi="宋体" w:eastAsia="仿宋" w:cs="仿宋_GB2312"/>
                <w:sz w:val="32"/>
                <w:lang w:bidi="ar"/>
              </w:rPr>
              <w:t>20.00</w:t>
            </w:r>
          </w:p>
        </w:tc>
        <w:tc>
          <w:tcPr>
            <w:tcW w:w="1370" w:type="pct"/>
            <w:vAlign w:val="center"/>
          </w:tcPr>
          <w:p w14:paraId="5BE5BCF0">
            <w:pPr>
              <w:spacing w:line="560" w:lineRule="exact"/>
              <w:jc w:val="center"/>
              <w:rPr>
                <w:rFonts w:ascii="仿宋_GB2312" w:hAnsi="Arial Narrow" w:eastAsia="仿宋"/>
                <w:bCs/>
                <w:sz w:val="32"/>
              </w:rPr>
            </w:pPr>
            <w:r>
              <w:rPr>
                <w:rFonts w:ascii="仿宋_GB2312" w:hAnsi="宋体" w:eastAsia="仿宋" w:cs="仿宋_GB2312"/>
                <w:sz w:val="32"/>
                <w:lang w:bidi="ar"/>
              </w:rPr>
              <w:t>100.00%</w:t>
            </w:r>
          </w:p>
        </w:tc>
      </w:tr>
    </w:tbl>
    <w:p w14:paraId="4D1A2FDF">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bCs/>
          <w:sz w:val="32"/>
          <w:szCs w:val="28"/>
          <w:lang w:bidi="ar"/>
        </w:rPr>
        <w:t>科学性、合理性：</w:t>
      </w:r>
      <w:r>
        <w:rPr>
          <w:rFonts w:hint="eastAsia" w:ascii="仿宋_GB2312" w:hAnsi="宋体" w:eastAsia="仿宋" w:cs="仿宋_GB2312"/>
          <w:sz w:val="32"/>
          <w:szCs w:val="28"/>
          <w:lang w:bidi="ar"/>
        </w:rPr>
        <w:t>共</w:t>
      </w:r>
      <w:r>
        <w:rPr>
          <w:rFonts w:ascii="仿宋_GB2312" w:hAnsi="宋体" w:eastAsia="仿宋" w:cs="仿宋_GB2312"/>
          <w:sz w:val="32"/>
          <w:szCs w:val="28"/>
          <w:lang w:bidi="ar"/>
        </w:rPr>
        <w:t>5</w:t>
      </w:r>
      <w:r>
        <w:rPr>
          <w:rFonts w:hint="eastAsia" w:ascii="仿宋_GB2312" w:hAnsi="宋体" w:eastAsia="仿宋" w:cs="仿宋_GB2312"/>
          <w:sz w:val="32"/>
          <w:szCs w:val="28"/>
          <w:lang w:bidi="ar"/>
        </w:rPr>
        <w:t>个考核项目政策与国家、地方政策及发展战略相关、政策设定符合目标区域、目标群体需求。</w:t>
      </w:r>
    </w:p>
    <w:p w14:paraId="3C4AD453">
      <w:pPr>
        <w:pStyle w:val="40"/>
        <w:spacing w:before="156" w:after="156" w:line="560" w:lineRule="exact"/>
        <w:ind w:firstLine="640"/>
        <w:rPr>
          <w:rFonts w:hint="eastAsia" w:ascii="仿宋_GB2312" w:hAnsi="仿宋_GB2312" w:eastAsia="仿宋" w:cs="仿宋_GB2312"/>
          <w:b w:val="0"/>
          <w:color w:val="auto"/>
          <w:sz w:val="32"/>
          <w:szCs w:val="28"/>
        </w:rPr>
      </w:pPr>
      <w:bookmarkStart w:id="41" w:name="_Hlk57733709"/>
      <w:r>
        <w:rPr>
          <w:rFonts w:hint="eastAsia" w:ascii="仿宋_GB2312" w:hAnsi="仿宋_GB2312" w:eastAsia="仿宋" w:cs="仿宋_GB2312"/>
          <w:b w:val="0"/>
          <w:color w:val="auto"/>
          <w:sz w:val="32"/>
          <w:szCs w:val="28"/>
        </w:rPr>
        <w:t>——效率性分析</w:t>
      </w:r>
    </w:p>
    <w:p w14:paraId="4C6FF3E3">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该指标</w:t>
      </w:r>
      <w:r>
        <w:rPr>
          <w:rFonts w:ascii="仿宋_GB2312" w:hAnsi="宋体" w:eastAsia="仿宋" w:cs="仿宋_GB2312"/>
          <w:sz w:val="32"/>
          <w:szCs w:val="28"/>
          <w:lang w:bidi="ar"/>
        </w:rPr>
        <w:t>权重为</w:t>
      </w:r>
      <w:r>
        <w:rPr>
          <w:rFonts w:hint="eastAsia" w:ascii="仿宋_GB2312" w:hAnsi="宋体" w:eastAsia="仿宋" w:cs="仿宋_GB2312"/>
          <w:sz w:val="32"/>
          <w:szCs w:val="28"/>
          <w:lang w:bidi="ar"/>
        </w:rPr>
        <w:t>30</w:t>
      </w:r>
      <w:r>
        <w:rPr>
          <w:rFonts w:ascii="仿宋_GB2312" w:hAnsi="宋体" w:eastAsia="仿宋" w:cs="仿宋_GB2312"/>
          <w:sz w:val="32"/>
          <w:szCs w:val="28"/>
          <w:lang w:bidi="ar"/>
        </w:rPr>
        <w:t>分，</w:t>
      </w:r>
      <w:r>
        <w:rPr>
          <w:rFonts w:hint="eastAsia" w:ascii="仿宋_GB2312" w:hAnsi="宋体" w:eastAsia="仿宋" w:cs="仿宋_GB2312"/>
          <w:sz w:val="32"/>
          <w:szCs w:val="28"/>
          <w:lang w:bidi="ar"/>
        </w:rPr>
        <w:t>实得</w:t>
      </w:r>
      <w:r>
        <w:rPr>
          <w:rFonts w:ascii="仿宋_GB2312" w:hAnsi="宋体" w:eastAsia="仿宋" w:cs="仿宋_GB2312"/>
          <w:sz w:val="32"/>
          <w:szCs w:val="28"/>
          <w:lang w:bidi="ar"/>
        </w:rPr>
        <w:t>22.16</w:t>
      </w:r>
      <w:r>
        <w:rPr>
          <w:rFonts w:hint="eastAsia" w:ascii="仿宋_GB2312" w:hAnsi="宋体" w:eastAsia="仿宋" w:cs="仿宋_GB2312"/>
          <w:sz w:val="32"/>
          <w:szCs w:val="28"/>
          <w:lang w:bidi="ar"/>
        </w:rPr>
        <w:t>分，</w:t>
      </w:r>
      <w:r>
        <w:rPr>
          <w:rFonts w:ascii="仿宋_GB2312" w:hAnsi="宋体" w:eastAsia="仿宋" w:cs="仿宋_GB2312"/>
          <w:sz w:val="32"/>
          <w:szCs w:val="28"/>
          <w:lang w:bidi="ar"/>
        </w:rPr>
        <w:t>用于考察项目</w:t>
      </w:r>
      <w:r>
        <w:rPr>
          <w:rFonts w:hint="eastAsia" w:ascii="仿宋_GB2312" w:hAnsi="宋体" w:eastAsia="仿宋" w:cs="仿宋_GB2312"/>
          <w:sz w:val="32"/>
          <w:szCs w:val="28"/>
          <w:lang w:bidi="ar"/>
        </w:rPr>
        <w:t>政策管理制度办法是否健全，保障措施是否规范有效；资金拨付使用是否按进度，有无滞后现象。财政资金投资带动社会资金投入的情况；政策预期目标的实现程度。</w:t>
      </w:r>
    </w:p>
    <w:p w14:paraId="1B9A0720">
      <w:pPr>
        <w:spacing w:line="560" w:lineRule="exact"/>
        <w:ind w:firstLine="560"/>
        <w:rPr>
          <w:rFonts w:ascii="仿宋_GB2312" w:hAnsi="宋体" w:eastAsia="仿宋" w:cs="仿宋_GB2312"/>
          <w:sz w:val="32"/>
          <w:szCs w:val="28"/>
          <w:lang w:bidi="ar"/>
        </w:rPr>
      </w:pPr>
      <w:r>
        <w:rPr>
          <w:rFonts w:ascii="仿宋_GB2312" w:hAnsi="宋体" w:eastAsia="仿宋" w:cs="仿宋_GB2312"/>
          <w:sz w:val="32"/>
          <w:szCs w:val="28"/>
          <w:lang w:bidi="ar"/>
        </w:rPr>
        <w:t>具体评价指标和得分情况如下：</w:t>
      </w:r>
    </w:p>
    <w:p w14:paraId="11595647">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效率性指标得分情况汇总表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779DF6BE">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73BE4ED2">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551F2BC5">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64B1D0F9">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0732C5C5">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0675E805">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vAlign w:val="center"/>
          </w:tcPr>
          <w:p w14:paraId="1EA317CE">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效率性</w:t>
            </w:r>
          </w:p>
        </w:tc>
        <w:tc>
          <w:tcPr>
            <w:tcW w:w="1379" w:type="pct"/>
            <w:vAlign w:val="center"/>
          </w:tcPr>
          <w:p w14:paraId="4F0E7AB3">
            <w:pPr>
              <w:spacing w:line="560" w:lineRule="exact"/>
              <w:jc w:val="center"/>
              <w:rPr>
                <w:rFonts w:ascii="仿宋_GB2312" w:hAnsi="Arial Narrow" w:eastAsia="仿宋"/>
                <w:bCs/>
                <w:sz w:val="32"/>
              </w:rPr>
            </w:pPr>
            <w:r>
              <w:rPr>
                <w:rFonts w:ascii="仿宋_GB2312" w:hAnsi="宋体" w:eastAsia="仿宋" w:cs="仿宋_GB2312"/>
                <w:sz w:val="32"/>
                <w:lang w:bidi="ar"/>
              </w:rPr>
              <w:t>30.00</w:t>
            </w:r>
          </w:p>
        </w:tc>
        <w:tc>
          <w:tcPr>
            <w:tcW w:w="1346" w:type="pct"/>
            <w:vAlign w:val="center"/>
          </w:tcPr>
          <w:p w14:paraId="0530E19C">
            <w:pPr>
              <w:spacing w:line="560" w:lineRule="exact"/>
              <w:jc w:val="center"/>
              <w:rPr>
                <w:rFonts w:ascii="仿宋_GB2312" w:hAnsi="Arial Narrow" w:eastAsia="仿宋"/>
                <w:bCs/>
                <w:sz w:val="32"/>
              </w:rPr>
            </w:pPr>
            <w:r>
              <w:rPr>
                <w:rFonts w:ascii="仿宋_GB2312" w:hAnsi="宋体" w:eastAsia="仿宋" w:cs="仿宋_GB2312"/>
                <w:sz w:val="32"/>
                <w:lang w:bidi="ar"/>
              </w:rPr>
              <w:t>22.16</w:t>
            </w:r>
          </w:p>
        </w:tc>
        <w:tc>
          <w:tcPr>
            <w:tcW w:w="1370" w:type="pct"/>
            <w:vAlign w:val="center"/>
          </w:tcPr>
          <w:p w14:paraId="7DBC5787">
            <w:pPr>
              <w:spacing w:line="560" w:lineRule="exact"/>
              <w:jc w:val="center"/>
              <w:rPr>
                <w:rFonts w:ascii="仿宋_GB2312" w:hAnsi="Arial Narrow" w:eastAsia="仿宋"/>
                <w:bCs/>
                <w:sz w:val="32"/>
              </w:rPr>
            </w:pPr>
            <w:r>
              <w:rPr>
                <w:rFonts w:ascii="仿宋_GB2312" w:hAnsi="宋体" w:eastAsia="仿宋" w:cs="仿宋_GB2312"/>
                <w:sz w:val="32"/>
                <w:lang w:bidi="ar"/>
              </w:rPr>
              <w:t>73.87%</w:t>
            </w:r>
          </w:p>
        </w:tc>
      </w:tr>
    </w:tbl>
    <w:p w14:paraId="58A73857">
      <w:pPr>
        <w:spacing w:line="560" w:lineRule="exact"/>
        <w:ind w:firstLine="562"/>
        <w:rPr>
          <w:rFonts w:ascii="仿宋_GB2312" w:hAnsi="宋体" w:eastAsia="仿宋" w:cs="仿宋_GB2312"/>
          <w:sz w:val="32"/>
          <w:szCs w:val="28"/>
          <w:lang w:bidi="ar"/>
        </w:rPr>
      </w:pPr>
      <w:bookmarkStart w:id="42" w:name="_Hlk57733249"/>
      <w:r>
        <w:rPr>
          <w:rFonts w:hint="eastAsia" w:ascii="仿宋_GB2312" w:hAnsi="宋体" w:eastAsia="仿宋" w:cs="仿宋_GB2312"/>
          <w:bCs/>
          <w:sz w:val="32"/>
          <w:szCs w:val="28"/>
          <w:lang w:bidi="ar"/>
        </w:rPr>
        <w:t>管理效率</w:t>
      </w:r>
      <w:r>
        <w:rPr>
          <w:rFonts w:hint="eastAsia" w:ascii="仿宋_GB2312" w:hAnsi="宋体" w:eastAsia="仿宋" w:cs="仿宋_GB2312"/>
          <w:sz w:val="32"/>
          <w:szCs w:val="28"/>
          <w:lang w:bidi="ar"/>
        </w:rPr>
        <w:t>：共</w:t>
      </w:r>
      <w:r>
        <w:rPr>
          <w:rFonts w:ascii="仿宋_GB2312" w:hAnsi="宋体" w:eastAsia="仿宋" w:cs="仿宋_GB2312"/>
          <w:sz w:val="32"/>
          <w:szCs w:val="28"/>
          <w:lang w:bidi="ar"/>
        </w:rPr>
        <w:t>1</w:t>
      </w:r>
      <w:r>
        <w:rPr>
          <w:rFonts w:hint="eastAsia" w:ascii="仿宋_GB2312" w:hAnsi="宋体" w:eastAsia="仿宋" w:cs="仿宋_GB2312"/>
          <w:sz w:val="32"/>
          <w:szCs w:val="28"/>
          <w:lang w:bidi="ar"/>
        </w:rPr>
        <w:t>个考核项目政策制度健全,</w:t>
      </w:r>
      <w:r>
        <w:rPr>
          <w:rFonts w:ascii="仿宋_GB2312" w:hAnsi="宋体" w:eastAsia="仿宋" w:cs="仿宋_GB2312"/>
          <w:sz w:val="32"/>
          <w:szCs w:val="28"/>
          <w:lang w:bidi="ar"/>
        </w:rPr>
        <w:t>4</w:t>
      </w:r>
      <w:r>
        <w:rPr>
          <w:rFonts w:hint="eastAsia" w:ascii="仿宋_GB2312" w:hAnsi="宋体" w:eastAsia="仿宋" w:cs="仿宋_GB2312"/>
          <w:sz w:val="32"/>
          <w:szCs w:val="28"/>
          <w:lang w:bidi="ar"/>
        </w:rPr>
        <w:t>个考核项目政策制度不够健全或执行有待提高，详见下表：</w:t>
      </w:r>
    </w:p>
    <w:bookmarkEnd w:id="41"/>
    <w:bookmarkEnd w:id="42"/>
    <w:p w14:paraId="64DCB646">
      <w:pPr>
        <w:spacing w:line="560" w:lineRule="exact"/>
        <w:ind w:firstLine="482"/>
        <w:jc w:val="center"/>
        <w:rPr>
          <w:rFonts w:hint="eastAsia" w:ascii="仿宋_GB2312" w:hAnsi="宋体" w:eastAsia="仿宋" w:cs="仿宋_GB2312"/>
          <w:sz w:val="32"/>
          <w:szCs w:val="28"/>
          <w:lang w:bidi="ar"/>
        </w:rPr>
      </w:pPr>
      <w:r>
        <w:rPr>
          <w:rFonts w:hint="eastAsia" w:ascii="仿宋_GB2312" w:hAnsi="宋体" w:eastAsia="仿宋" w:cs="仿宋_GB2312"/>
          <w:bCs/>
          <w:sz w:val="32"/>
          <w:lang w:bidi="ar"/>
        </w:rPr>
        <w:t>管理效率情况表</w:t>
      </w:r>
    </w:p>
    <w:tbl>
      <w:tblPr>
        <w:tblStyle w:val="15"/>
        <w:tblW w:w="0" w:type="auto"/>
        <w:tblInd w:w="0" w:type="dxa"/>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891"/>
        <w:gridCol w:w="4297"/>
        <w:gridCol w:w="3814"/>
      </w:tblGrid>
      <w:tr w14:paraId="16EFEDBB">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blHeader/>
        </w:trPr>
        <w:tc>
          <w:tcPr>
            <w:tcW w:w="891" w:type="dxa"/>
            <w:shd w:val="clear" w:color="auto" w:fill="auto"/>
            <w:vAlign w:val="center"/>
          </w:tcPr>
          <w:p w14:paraId="0E2EE251">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4297" w:type="dxa"/>
            <w:shd w:val="clear" w:color="auto" w:fill="auto"/>
            <w:vAlign w:val="center"/>
          </w:tcPr>
          <w:p w14:paraId="156CCD20">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项目名称</w:t>
            </w:r>
          </w:p>
        </w:tc>
        <w:tc>
          <w:tcPr>
            <w:tcW w:w="3814" w:type="dxa"/>
            <w:shd w:val="clear" w:color="auto" w:fill="auto"/>
            <w:vAlign w:val="center"/>
          </w:tcPr>
          <w:p w14:paraId="23D65EFD">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问题</w:t>
            </w:r>
          </w:p>
        </w:tc>
      </w:tr>
      <w:tr w14:paraId="1EB16CB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1DA6B959">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1</w:t>
            </w:r>
          </w:p>
        </w:tc>
        <w:tc>
          <w:tcPr>
            <w:tcW w:w="4297" w:type="dxa"/>
            <w:shd w:val="clear" w:color="auto" w:fill="auto"/>
            <w:vAlign w:val="center"/>
          </w:tcPr>
          <w:p w14:paraId="3CD293F4">
            <w:pPr>
              <w:spacing w:line="560" w:lineRule="exact"/>
              <w:rPr>
                <w:rFonts w:ascii="仿宋_GB2312" w:hAnsi="宋体" w:eastAsia="仿宋" w:cs="仿宋_GB2312"/>
                <w:sz w:val="32"/>
                <w:lang w:bidi="ar"/>
              </w:rPr>
            </w:pPr>
            <w:r>
              <w:rPr>
                <w:rFonts w:ascii="仿宋_GB2312" w:hAnsi="宋体" w:eastAsia="仿宋" w:cs="仿宋_GB2312"/>
                <w:sz w:val="32"/>
                <w:lang w:bidi="ar"/>
              </w:rPr>
              <w:t>2019年基层组织活动和公共服务运行</w:t>
            </w:r>
          </w:p>
        </w:tc>
        <w:tc>
          <w:tcPr>
            <w:tcW w:w="3814" w:type="dxa"/>
            <w:shd w:val="clear" w:color="auto" w:fill="auto"/>
            <w:vAlign w:val="center"/>
          </w:tcPr>
          <w:p w14:paraId="11B549E9">
            <w:pPr>
              <w:spacing w:line="560" w:lineRule="exact"/>
              <w:rPr>
                <w:rFonts w:ascii="仿宋_GB2312" w:hAnsi="宋体" w:eastAsia="仿宋" w:cs="仿宋_GB2312"/>
                <w:sz w:val="32"/>
                <w:lang w:bidi="ar"/>
              </w:rPr>
            </w:pPr>
            <w:r>
              <w:rPr>
                <w:rFonts w:ascii="仿宋_GB2312" w:hAnsi="宋体" w:eastAsia="仿宋" w:cs="仿宋_GB2312"/>
                <w:sz w:val="32"/>
                <w:lang w:bidi="ar"/>
              </w:rPr>
              <w:t>实施过程中，部分乡镇存在费用报销单审批不全、实施方案未盖章等问题</w:t>
            </w:r>
          </w:p>
        </w:tc>
      </w:tr>
      <w:tr w14:paraId="58743D36">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6E34A842">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4297" w:type="dxa"/>
            <w:shd w:val="clear" w:color="auto" w:fill="auto"/>
            <w:vAlign w:val="center"/>
          </w:tcPr>
          <w:p w14:paraId="04E7C8BC">
            <w:pPr>
              <w:spacing w:line="560" w:lineRule="exact"/>
              <w:rPr>
                <w:rFonts w:ascii="仿宋_GB2312" w:hAnsi="宋体" w:eastAsia="仿宋" w:cs="仿宋_GB2312"/>
                <w:sz w:val="32"/>
                <w:lang w:bidi="ar"/>
              </w:rPr>
            </w:pPr>
            <w:r>
              <w:rPr>
                <w:rFonts w:ascii="仿宋_GB2312" w:hAnsi="宋体" w:eastAsia="仿宋" w:cs="仿宋_GB2312"/>
                <w:sz w:val="32"/>
                <w:lang w:bidi="ar"/>
              </w:rPr>
              <w:t>城乡居民养老保险项目</w:t>
            </w:r>
          </w:p>
        </w:tc>
        <w:tc>
          <w:tcPr>
            <w:tcW w:w="3814" w:type="dxa"/>
            <w:shd w:val="clear" w:color="auto" w:fill="auto"/>
            <w:vAlign w:val="center"/>
          </w:tcPr>
          <w:p w14:paraId="77186350">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未制定相关管理制度</w:t>
            </w:r>
          </w:p>
        </w:tc>
      </w:tr>
      <w:tr w14:paraId="7C67E3B8">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4E8D5B05">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4297" w:type="dxa"/>
            <w:shd w:val="clear" w:color="auto" w:fill="auto"/>
            <w:vAlign w:val="center"/>
          </w:tcPr>
          <w:p w14:paraId="45054F92">
            <w:pPr>
              <w:spacing w:line="560" w:lineRule="exact"/>
              <w:rPr>
                <w:rFonts w:ascii="仿宋_GB2312" w:hAnsi="宋体" w:eastAsia="仿宋" w:cs="仿宋_GB2312"/>
                <w:sz w:val="32"/>
                <w:lang w:bidi="ar"/>
              </w:rPr>
            </w:pPr>
            <w:r>
              <w:rPr>
                <w:rFonts w:ascii="仿宋_GB2312" w:hAnsi="宋体" w:eastAsia="仿宋" w:cs="仿宋_GB2312"/>
                <w:sz w:val="32"/>
                <w:lang w:bidi="ar"/>
              </w:rPr>
              <w:t>农资补贴项目</w:t>
            </w:r>
          </w:p>
        </w:tc>
        <w:tc>
          <w:tcPr>
            <w:tcW w:w="3814" w:type="dxa"/>
            <w:shd w:val="clear" w:color="auto" w:fill="auto"/>
            <w:vAlign w:val="center"/>
          </w:tcPr>
          <w:p w14:paraId="778B782C">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未制定相关管理制度</w:t>
            </w:r>
          </w:p>
        </w:tc>
      </w:tr>
      <w:tr w14:paraId="25EE2390">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1AB2C271">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4</w:t>
            </w:r>
          </w:p>
        </w:tc>
        <w:tc>
          <w:tcPr>
            <w:tcW w:w="4297" w:type="dxa"/>
            <w:shd w:val="clear" w:color="auto" w:fill="auto"/>
            <w:vAlign w:val="center"/>
          </w:tcPr>
          <w:p w14:paraId="4770D3F1">
            <w:pPr>
              <w:spacing w:line="560" w:lineRule="exact"/>
              <w:rPr>
                <w:rFonts w:ascii="仿宋_GB2312" w:hAnsi="宋体" w:eastAsia="仿宋" w:cs="仿宋_GB2312"/>
                <w:sz w:val="32"/>
                <w:lang w:bidi="ar"/>
              </w:rPr>
            </w:pPr>
            <w:r>
              <w:rPr>
                <w:rFonts w:ascii="仿宋_GB2312" w:hAnsi="宋体" w:eastAsia="仿宋" w:cs="仿宋_GB2312"/>
                <w:sz w:val="32"/>
                <w:lang w:bidi="ar"/>
              </w:rPr>
              <w:t>州级专项扶贫项目</w:t>
            </w:r>
          </w:p>
        </w:tc>
        <w:tc>
          <w:tcPr>
            <w:tcW w:w="3814" w:type="dxa"/>
            <w:shd w:val="clear" w:color="auto" w:fill="auto"/>
            <w:vAlign w:val="center"/>
          </w:tcPr>
          <w:p w14:paraId="40ED09A9">
            <w:pPr>
              <w:spacing w:line="560" w:lineRule="exact"/>
              <w:rPr>
                <w:rFonts w:ascii="仿宋_GB2312" w:hAnsi="宋体" w:eastAsia="仿宋" w:cs="仿宋_GB2312"/>
                <w:sz w:val="32"/>
                <w:lang w:bidi="ar"/>
              </w:rPr>
            </w:pPr>
            <w:r>
              <w:rPr>
                <w:rFonts w:ascii="仿宋_GB2312" w:hAnsi="宋体" w:eastAsia="仿宋" w:cs="仿宋_GB2312"/>
                <w:sz w:val="32"/>
                <w:lang w:bidi="ar"/>
              </w:rPr>
              <w:t>未制定相关管理制度</w:t>
            </w:r>
          </w:p>
        </w:tc>
      </w:tr>
    </w:tbl>
    <w:p w14:paraId="0C29F68E">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bCs/>
          <w:sz w:val="32"/>
          <w:szCs w:val="28"/>
          <w:lang w:bidi="ar"/>
        </w:rPr>
        <w:t>执行效率</w:t>
      </w:r>
      <w:r>
        <w:rPr>
          <w:rFonts w:hint="eastAsia" w:ascii="仿宋_GB2312" w:hAnsi="宋体" w:eastAsia="仿宋" w:cs="仿宋_GB2312"/>
          <w:sz w:val="32"/>
          <w:szCs w:val="28"/>
          <w:lang w:bidi="ar"/>
        </w:rPr>
        <w:t>：共</w:t>
      </w:r>
      <w:r>
        <w:rPr>
          <w:rFonts w:ascii="仿宋_GB2312" w:hAnsi="宋体" w:eastAsia="仿宋" w:cs="仿宋_GB2312"/>
          <w:sz w:val="32"/>
          <w:szCs w:val="28"/>
          <w:lang w:bidi="ar"/>
        </w:rPr>
        <w:t>2</w:t>
      </w:r>
      <w:r>
        <w:rPr>
          <w:rFonts w:hint="eastAsia" w:ascii="仿宋_GB2312" w:hAnsi="宋体" w:eastAsia="仿宋" w:cs="仿宋_GB2312"/>
          <w:sz w:val="32"/>
          <w:szCs w:val="28"/>
          <w:lang w:bidi="ar"/>
        </w:rPr>
        <w:t>个考核项目政策资金按进度使用拨付,</w:t>
      </w:r>
      <w:r>
        <w:rPr>
          <w:rFonts w:ascii="仿宋_GB2312" w:hAnsi="宋体" w:eastAsia="仿宋" w:cs="仿宋_GB2312"/>
          <w:sz w:val="32"/>
          <w:szCs w:val="28"/>
          <w:lang w:bidi="ar"/>
        </w:rPr>
        <w:t>3</w:t>
      </w:r>
      <w:r>
        <w:rPr>
          <w:rFonts w:hint="eastAsia" w:ascii="仿宋_GB2312" w:hAnsi="宋体" w:eastAsia="仿宋" w:cs="仿宋_GB2312"/>
          <w:sz w:val="32"/>
          <w:szCs w:val="28"/>
          <w:lang w:bidi="ar"/>
        </w:rPr>
        <w:t>个考核项目资金使用不及时或者使用不规范，详见下表：</w:t>
      </w:r>
    </w:p>
    <w:p w14:paraId="468F123D">
      <w:pPr>
        <w:spacing w:line="560" w:lineRule="exact"/>
        <w:ind w:firstLine="482"/>
        <w:jc w:val="center"/>
        <w:rPr>
          <w:rFonts w:hint="eastAsia" w:ascii="仿宋_GB2312" w:hAnsi="宋体" w:eastAsia="仿宋" w:cs="仿宋_GB2312"/>
          <w:sz w:val="32"/>
          <w:szCs w:val="28"/>
          <w:lang w:bidi="ar"/>
        </w:rPr>
      </w:pPr>
      <w:r>
        <w:rPr>
          <w:rFonts w:hint="eastAsia" w:ascii="仿宋_GB2312" w:hAnsi="宋体" w:eastAsia="仿宋" w:cs="仿宋_GB2312"/>
          <w:bCs/>
          <w:sz w:val="32"/>
          <w:lang w:bidi="ar"/>
        </w:rPr>
        <w:t>执行效率情况表</w:t>
      </w:r>
    </w:p>
    <w:tbl>
      <w:tblPr>
        <w:tblStyle w:val="15"/>
        <w:tblW w:w="0" w:type="auto"/>
        <w:tblInd w:w="0" w:type="dxa"/>
        <w:tblBorders>
          <w:top w:val="single" w:color="auto" w:sz="8" w:space="0"/>
          <w:left w:val="none" w:color="auto" w:sz="0" w:space="0"/>
          <w:bottom w:val="single" w:color="auto" w:sz="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891"/>
        <w:gridCol w:w="3895"/>
        <w:gridCol w:w="4216"/>
      </w:tblGrid>
      <w:tr w14:paraId="3AB1CB24">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rPr>
          <w:tblHeader/>
        </w:trPr>
        <w:tc>
          <w:tcPr>
            <w:tcW w:w="891" w:type="dxa"/>
            <w:shd w:val="clear" w:color="auto" w:fill="auto"/>
            <w:vAlign w:val="center"/>
          </w:tcPr>
          <w:p w14:paraId="63E72B47">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序号</w:t>
            </w:r>
          </w:p>
        </w:tc>
        <w:tc>
          <w:tcPr>
            <w:tcW w:w="3895" w:type="dxa"/>
            <w:shd w:val="clear" w:color="auto" w:fill="auto"/>
            <w:vAlign w:val="center"/>
          </w:tcPr>
          <w:p w14:paraId="2B1FD4E7">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项目名称</w:t>
            </w:r>
          </w:p>
        </w:tc>
        <w:tc>
          <w:tcPr>
            <w:tcW w:w="4216" w:type="dxa"/>
            <w:shd w:val="clear" w:color="auto" w:fill="auto"/>
            <w:vAlign w:val="center"/>
          </w:tcPr>
          <w:p w14:paraId="1250F48D">
            <w:pPr>
              <w:spacing w:line="560" w:lineRule="exact"/>
              <w:jc w:val="center"/>
              <w:rPr>
                <w:rFonts w:ascii="仿宋_GB2312" w:hAnsi="宋体" w:eastAsia="仿宋" w:cs="仿宋_GB2312"/>
                <w:bCs/>
                <w:sz w:val="32"/>
                <w:lang w:bidi="ar"/>
              </w:rPr>
            </w:pPr>
            <w:r>
              <w:rPr>
                <w:rFonts w:ascii="仿宋_GB2312" w:hAnsi="宋体" w:eastAsia="仿宋" w:cs="仿宋_GB2312"/>
                <w:bCs/>
                <w:sz w:val="32"/>
                <w:lang w:bidi="ar"/>
              </w:rPr>
              <w:t>问题</w:t>
            </w:r>
          </w:p>
        </w:tc>
      </w:tr>
      <w:tr w14:paraId="4C1D7FC3">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3A4B660F">
            <w:pPr>
              <w:spacing w:line="560" w:lineRule="exact"/>
              <w:jc w:val="center"/>
              <w:rPr>
                <w:rFonts w:ascii="仿宋_GB2312" w:hAnsi="宋体" w:eastAsia="仿宋" w:cs="仿宋_GB2312"/>
                <w:sz w:val="32"/>
                <w:lang w:bidi="ar"/>
              </w:rPr>
            </w:pPr>
            <w:bookmarkStart w:id="43" w:name="_Hlk57733662"/>
            <w:r>
              <w:rPr>
                <w:rFonts w:ascii="仿宋_GB2312" w:hAnsi="宋体" w:eastAsia="仿宋" w:cs="仿宋_GB2312"/>
                <w:sz w:val="32"/>
                <w:lang w:bidi="ar"/>
              </w:rPr>
              <w:t>1</w:t>
            </w:r>
          </w:p>
        </w:tc>
        <w:tc>
          <w:tcPr>
            <w:tcW w:w="3895" w:type="dxa"/>
            <w:shd w:val="clear" w:color="auto" w:fill="auto"/>
            <w:vAlign w:val="center"/>
          </w:tcPr>
          <w:p w14:paraId="28CBD384">
            <w:pPr>
              <w:spacing w:line="560" w:lineRule="exact"/>
              <w:rPr>
                <w:rFonts w:ascii="仿宋_GB2312" w:hAnsi="宋体" w:eastAsia="仿宋" w:cs="仿宋_GB2312"/>
                <w:sz w:val="32"/>
                <w:lang w:bidi="ar"/>
              </w:rPr>
            </w:pPr>
            <w:r>
              <w:rPr>
                <w:rFonts w:ascii="仿宋_GB2312" w:hAnsi="宋体" w:eastAsia="仿宋" w:cs="仿宋_GB2312"/>
                <w:sz w:val="32"/>
                <w:lang w:bidi="ar"/>
              </w:rPr>
              <w:t>2019年基层组织活动和公共服务运行</w:t>
            </w:r>
          </w:p>
        </w:tc>
        <w:tc>
          <w:tcPr>
            <w:tcW w:w="4216" w:type="dxa"/>
            <w:shd w:val="clear" w:color="auto" w:fill="auto"/>
            <w:vAlign w:val="center"/>
          </w:tcPr>
          <w:p w14:paraId="41437C9A">
            <w:pPr>
              <w:spacing w:line="560" w:lineRule="exact"/>
              <w:rPr>
                <w:rFonts w:ascii="仿宋_GB2312" w:hAnsi="宋体" w:eastAsia="仿宋" w:cs="仿宋_GB2312"/>
                <w:sz w:val="32"/>
                <w:lang w:bidi="ar"/>
              </w:rPr>
            </w:pPr>
            <w:r>
              <w:rPr>
                <w:rFonts w:ascii="仿宋_GB2312" w:hAnsi="宋体" w:eastAsia="仿宋" w:cs="仿宋_GB2312"/>
                <w:sz w:val="32"/>
                <w:lang w:bidi="ar"/>
              </w:rPr>
              <w:t>存在部分乡镇未严格按程序执行，如村民意见汇总表中实际签名与汇总人数不符、项目实施时间早于审批通过时间等问题</w:t>
            </w:r>
          </w:p>
        </w:tc>
      </w:tr>
      <w:bookmarkEnd w:id="43"/>
      <w:tr w14:paraId="169D2006">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91" w:type="dxa"/>
            <w:shd w:val="clear" w:color="auto" w:fill="auto"/>
            <w:vAlign w:val="center"/>
          </w:tcPr>
          <w:p w14:paraId="06740C1F">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2</w:t>
            </w:r>
          </w:p>
        </w:tc>
        <w:tc>
          <w:tcPr>
            <w:tcW w:w="3895" w:type="dxa"/>
            <w:shd w:val="clear" w:color="auto" w:fill="auto"/>
            <w:vAlign w:val="center"/>
          </w:tcPr>
          <w:p w14:paraId="4375CE20">
            <w:pPr>
              <w:spacing w:line="560" w:lineRule="exact"/>
              <w:rPr>
                <w:rFonts w:ascii="仿宋_GB2312" w:hAnsi="宋体" w:eastAsia="仿宋" w:cs="仿宋_GB2312"/>
                <w:sz w:val="32"/>
                <w:lang w:bidi="ar"/>
              </w:rPr>
            </w:pPr>
            <w:r>
              <w:rPr>
                <w:rFonts w:ascii="仿宋_GB2312" w:hAnsi="宋体" w:eastAsia="仿宋" w:cs="仿宋_GB2312"/>
                <w:sz w:val="32"/>
                <w:lang w:bidi="ar"/>
              </w:rPr>
              <w:t>林业改革发展资金</w:t>
            </w:r>
          </w:p>
        </w:tc>
        <w:tc>
          <w:tcPr>
            <w:tcW w:w="4216" w:type="dxa"/>
            <w:shd w:val="clear" w:color="auto" w:fill="auto"/>
            <w:vAlign w:val="center"/>
          </w:tcPr>
          <w:p w14:paraId="6F31E496">
            <w:pPr>
              <w:spacing w:line="560" w:lineRule="exact"/>
              <w:rPr>
                <w:rFonts w:ascii="仿宋_GB2312" w:hAnsi="宋体" w:eastAsia="仿宋" w:cs="仿宋_GB2312"/>
                <w:sz w:val="32"/>
                <w:lang w:bidi="ar"/>
              </w:rPr>
            </w:pPr>
            <w:r>
              <w:rPr>
                <w:rFonts w:ascii="仿宋_GB2312" w:hAnsi="宋体" w:eastAsia="仿宋" w:cs="仿宋_GB2312"/>
                <w:sz w:val="32"/>
                <w:lang w:bidi="ar"/>
              </w:rPr>
              <w:t>2019年资金未使用</w:t>
            </w:r>
          </w:p>
        </w:tc>
      </w:tr>
      <w:tr w14:paraId="391E4C0D">
        <w:tblPrEx>
          <w:tblBorders>
            <w:top w:val="single" w:color="auto" w:sz="8" w:space="0"/>
            <w:left w:val="none" w:color="auto" w:sz="0" w:space="0"/>
            <w:bottom w:val="single" w:color="auto" w:sz="8" w:space="0"/>
            <w:right w:val="none" w:color="auto" w:sz="0" w:space="0"/>
            <w:insideH w:val="dotted" w:color="auto" w:sz="4" w:space="0"/>
            <w:insideV w:val="dotted" w:color="auto" w:sz="4" w:space="0"/>
          </w:tblBorders>
        </w:tblPrEx>
        <w:tc>
          <w:tcPr>
            <w:tcW w:w="891" w:type="dxa"/>
            <w:shd w:val="clear" w:color="auto" w:fill="auto"/>
            <w:vAlign w:val="center"/>
          </w:tcPr>
          <w:p w14:paraId="4CE3EAF6">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3</w:t>
            </w:r>
          </w:p>
        </w:tc>
        <w:tc>
          <w:tcPr>
            <w:tcW w:w="3895" w:type="dxa"/>
            <w:shd w:val="clear" w:color="auto" w:fill="auto"/>
            <w:vAlign w:val="center"/>
          </w:tcPr>
          <w:p w14:paraId="7748C449">
            <w:pPr>
              <w:spacing w:line="560" w:lineRule="exact"/>
              <w:rPr>
                <w:rFonts w:ascii="仿宋_GB2312" w:hAnsi="宋体" w:eastAsia="仿宋" w:cs="仿宋_GB2312"/>
                <w:sz w:val="32"/>
                <w:lang w:bidi="ar"/>
              </w:rPr>
            </w:pPr>
            <w:r>
              <w:rPr>
                <w:rFonts w:ascii="仿宋_GB2312" w:hAnsi="宋体" w:eastAsia="仿宋" w:cs="仿宋_GB2312"/>
                <w:sz w:val="32"/>
                <w:lang w:bidi="ar"/>
              </w:rPr>
              <w:t>农资补贴项目</w:t>
            </w:r>
          </w:p>
        </w:tc>
        <w:tc>
          <w:tcPr>
            <w:tcW w:w="4216" w:type="dxa"/>
            <w:shd w:val="clear" w:color="auto" w:fill="auto"/>
            <w:vAlign w:val="center"/>
          </w:tcPr>
          <w:p w14:paraId="510A98DF">
            <w:pPr>
              <w:spacing w:line="560" w:lineRule="exact"/>
              <w:rPr>
                <w:rFonts w:ascii="仿宋_GB2312" w:hAnsi="宋体" w:eastAsia="仿宋" w:cs="仿宋_GB2312"/>
                <w:sz w:val="32"/>
                <w:lang w:bidi="ar"/>
              </w:rPr>
            </w:pPr>
            <w:r>
              <w:rPr>
                <w:rFonts w:ascii="仿宋_GB2312" w:hAnsi="宋体" w:eastAsia="仿宋" w:cs="仿宋_GB2312"/>
                <w:sz w:val="32"/>
                <w:lang w:bidi="ar"/>
              </w:rPr>
              <w:t>预算资金14万元，2019年资金共使用12.17万元，完成86.90%</w:t>
            </w:r>
          </w:p>
        </w:tc>
      </w:tr>
    </w:tbl>
    <w:p w14:paraId="42A96687">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bCs/>
          <w:sz w:val="32"/>
          <w:szCs w:val="28"/>
          <w:lang w:bidi="ar"/>
        </w:rPr>
        <w:t>政策效率</w:t>
      </w:r>
      <w:r>
        <w:rPr>
          <w:rFonts w:hint="eastAsia" w:ascii="仿宋_GB2312" w:hAnsi="宋体" w:eastAsia="仿宋" w:cs="仿宋_GB2312"/>
          <w:sz w:val="32"/>
          <w:szCs w:val="28"/>
          <w:lang w:bidi="ar"/>
        </w:rPr>
        <w:t>：共</w:t>
      </w:r>
      <w:r>
        <w:rPr>
          <w:rFonts w:ascii="仿宋_GB2312" w:hAnsi="宋体" w:eastAsia="仿宋" w:cs="仿宋_GB2312"/>
          <w:sz w:val="32"/>
          <w:szCs w:val="28"/>
          <w:lang w:bidi="ar"/>
        </w:rPr>
        <w:t>4</w:t>
      </w:r>
      <w:r>
        <w:rPr>
          <w:rFonts w:hint="eastAsia" w:ascii="仿宋_GB2312" w:hAnsi="宋体" w:eastAsia="仿宋" w:cs="仿宋_GB2312"/>
          <w:sz w:val="32"/>
          <w:szCs w:val="28"/>
          <w:lang w:bidi="ar"/>
        </w:rPr>
        <w:t>个考核项目政策达到预期目标的实现程度,</w:t>
      </w:r>
      <w:r>
        <w:rPr>
          <w:rFonts w:ascii="仿宋_GB2312" w:hAnsi="宋体" w:eastAsia="仿宋" w:cs="仿宋_GB2312"/>
          <w:sz w:val="32"/>
          <w:szCs w:val="28"/>
          <w:lang w:bidi="ar"/>
        </w:rPr>
        <w:t>1</w:t>
      </w:r>
      <w:r>
        <w:rPr>
          <w:rFonts w:hint="eastAsia" w:ascii="仿宋_GB2312" w:hAnsi="宋体" w:eastAsia="仿宋" w:cs="仿宋_GB2312"/>
          <w:sz w:val="32"/>
          <w:szCs w:val="28"/>
          <w:lang w:bidi="ar"/>
        </w:rPr>
        <w:t>个考核项目资金未完全完成，2019年基层组织活动和公共服务运行分配到各村的资金有限，因此影响了各村各项指标状态的提升改变程度。</w:t>
      </w:r>
    </w:p>
    <w:p w14:paraId="2B670CAA">
      <w:pPr>
        <w:pStyle w:val="40"/>
        <w:spacing w:before="156" w:after="156" w:line="560" w:lineRule="exact"/>
        <w:ind w:firstLine="640"/>
        <w:rPr>
          <w:rFonts w:hint="eastAsia" w:ascii="仿宋_GB2312" w:hAnsi="仿宋_GB2312" w:eastAsia="仿宋" w:cs="仿宋_GB2312"/>
          <w:b w:val="0"/>
          <w:color w:val="auto"/>
          <w:sz w:val="32"/>
          <w:szCs w:val="28"/>
        </w:rPr>
      </w:pPr>
      <w:r>
        <w:rPr>
          <w:rFonts w:hint="eastAsia" w:ascii="仿宋_GB2312" w:hAnsi="仿宋_GB2312" w:eastAsia="仿宋" w:cs="仿宋_GB2312"/>
          <w:b w:val="0"/>
          <w:color w:val="auto"/>
          <w:sz w:val="32"/>
          <w:szCs w:val="28"/>
        </w:rPr>
        <w:t>——效益性分析</w:t>
      </w:r>
    </w:p>
    <w:p w14:paraId="31112139">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该指标</w:t>
      </w:r>
      <w:r>
        <w:rPr>
          <w:rFonts w:ascii="仿宋_GB2312" w:hAnsi="宋体" w:eastAsia="仿宋" w:cs="仿宋_GB2312"/>
          <w:sz w:val="32"/>
          <w:szCs w:val="28"/>
          <w:lang w:bidi="ar"/>
        </w:rPr>
        <w:t>权重为25分，</w:t>
      </w:r>
      <w:r>
        <w:rPr>
          <w:rFonts w:hint="eastAsia" w:ascii="仿宋_GB2312" w:hAnsi="宋体" w:eastAsia="仿宋" w:cs="仿宋_GB2312"/>
          <w:sz w:val="32"/>
          <w:szCs w:val="28"/>
          <w:lang w:bidi="ar"/>
        </w:rPr>
        <w:t>实得</w:t>
      </w:r>
      <w:r>
        <w:rPr>
          <w:rFonts w:ascii="仿宋_GB2312" w:hAnsi="宋体" w:eastAsia="仿宋" w:cs="仿宋_GB2312"/>
          <w:sz w:val="32"/>
          <w:szCs w:val="28"/>
          <w:lang w:bidi="ar"/>
        </w:rPr>
        <w:t>21.67</w:t>
      </w:r>
      <w:r>
        <w:rPr>
          <w:rFonts w:hint="eastAsia" w:ascii="仿宋_GB2312" w:hAnsi="宋体" w:eastAsia="仿宋" w:cs="仿宋_GB2312"/>
          <w:sz w:val="32"/>
          <w:szCs w:val="28"/>
          <w:lang w:bidi="ar"/>
        </w:rPr>
        <w:t>分，</w:t>
      </w:r>
      <w:r>
        <w:rPr>
          <w:rFonts w:ascii="仿宋_GB2312" w:hAnsi="宋体" w:eastAsia="仿宋" w:cs="仿宋_GB2312"/>
          <w:sz w:val="32"/>
          <w:szCs w:val="28"/>
          <w:lang w:bidi="ar"/>
        </w:rPr>
        <w:t>用于考察项目</w:t>
      </w:r>
      <w:r>
        <w:rPr>
          <w:rFonts w:hint="eastAsia" w:ascii="仿宋_GB2312" w:hAnsi="宋体" w:eastAsia="仿宋" w:cs="仿宋_GB2312"/>
          <w:sz w:val="32"/>
          <w:szCs w:val="28"/>
          <w:lang w:bidi="ar"/>
        </w:rPr>
        <w:t>政策实施后产生的社会效益、经济效益、环境效益及满意度。</w:t>
      </w:r>
    </w:p>
    <w:p w14:paraId="17E523B8">
      <w:pPr>
        <w:spacing w:line="560" w:lineRule="exact"/>
        <w:ind w:firstLine="560"/>
        <w:rPr>
          <w:rFonts w:ascii="仿宋_GB2312" w:hAnsi="宋体" w:eastAsia="仿宋" w:cs="仿宋_GB2312"/>
          <w:sz w:val="32"/>
          <w:szCs w:val="28"/>
          <w:lang w:bidi="ar"/>
        </w:rPr>
      </w:pPr>
      <w:r>
        <w:rPr>
          <w:rFonts w:ascii="仿宋_GB2312" w:hAnsi="宋体" w:eastAsia="仿宋" w:cs="仿宋_GB2312"/>
          <w:sz w:val="32"/>
          <w:szCs w:val="28"/>
          <w:lang w:bidi="ar"/>
        </w:rPr>
        <w:t>具体评价指标和得分情况如下：</w:t>
      </w:r>
    </w:p>
    <w:p w14:paraId="188A34DF">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效益性指标得分情况汇总表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095B6C24">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75F7A927">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1B2876B7">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2828E915">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65F9D0D2">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5A4317AD">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vAlign w:val="center"/>
          </w:tcPr>
          <w:p w14:paraId="53C95008">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效益性</w:t>
            </w:r>
          </w:p>
        </w:tc>
        <w:tc>
          <w:tcPr>
            <w:tcW w:w="1379" w:type="pct"/>
            <w:vAlign w:val="center"/>
          </w:tcPr>
          <w:p w14:paraId="116D52FA">
            <w:pPr>
              <w:spacing w:line="560" w:lineRule="exact"/>
              <w:jc w:val="center"/>
              <w:rPr>
                <w:rFonts w:ascii="仿宋_GB2312" w:hAnsi="Arial Narrow" w:eastAsia="仿宋"/>
                <w:bCs/>
                <w:sz w:val="32"/>
              </w:rPr>
            </w:pPr>
            <w:r>
              <w:rPr>
                <w:rFonts w:ascii="仿宋_GB2312" w:hAnsi="宋体" w:eastAsia="仿宋" w:cs="仿宋_GB2312"/>
                <w:sz w:val="32"/>
                <w:lang w:bidi="ar"/>
              </w:rPr>
              <w:t>25.00</w:t>
            </w:r>
          </w:p>
        </w:tc>
        <w:tc>
          <w:tcPr>
            <w:tcW w:w="1346" w:type="pct"/>
            <w:vAlign w:val="center"/>
          </w:tcPr>
          <w:p w14:paraId="3CE7B1A0">
            <w:pPr>
              <w:spacing w:line="560" w:lineRule="exact"/>
              <w:jc w:val="center"/>
              <w:rPr>
                <w:rFonts w:ascii="仿宋_GB2312" w:hAnsi="Arial Narrow" w:eastAsia="仿宋"/>
                <w:bCs/>
                <w:sz w:val="32"/>
              </w:rPr>
            </w:pPr>
            <w:r>
              <w:rPr>
                <w:rFonts w:ascii="仿宋_GB2312" w:hAnsi="宋体" w:eastAsia="仿宋" w:cs="仿宋_GB2312"/>
                <w:sz w:val="32"/>
                <w:lang w:bidi="ar"/>
              </w:rPr>
              <w:t>21.67</w:t>
            </w:r>
          </w:p>
        </w:tc>
        <w:tc>
          <w:tcPr>
            <w:tcW w:w="1370" w:type="pct"/>
            <w:vAlign w:val="center"/>
          </w:tcPr>
          <w:p w14:paraId="3FFE7042">
            <w:pPr>
              <w:spacing w:line="560" w:lineRule="exact"/>
              <w:jc w:val="center"/>
              <w:rPr>
                <w:rFonts w:ascii="仿宋_GB2312" w:hAnsi="Arial Narrow" w:eastAsia="仿宋"/>
                <w:bCs/>
                <w:sz w:val="32"/>
              </w:rPr>
            </w:pPr>
            <w:r>
              <w:rPr>
                <w:rFonts w:ascii="仿宋_GB2312" w:hAnsi="宋体" w:eastAsia="仿宋" w:cs="仿宋_GB2312"/>
                <w:sz w:val="32"/>
                <w:lang w:bidi="ar"/>
              </w:rPr>
              <w:t>86.68%</w:t>
            </w:r>
          </w:p>
        </w:tc>
      </w:tr>
    </w:tbl>
    <w:p w14:paraId="3080AA4A">
      <w:pPr>
        <w:spacing w:line="560" w:lineRule="exact"/>
        <w:ind w:firstLine="562"/>
        <w:rPr>
          <w:rFonts w:ascii="仿宋_GB2312" w:hAnsi="宋体" w:eastAsia="仿宋" w:cs="仿宋_GB2312"/>
          <w:sz w:val="32"/>
          <w:szCs w:val="28"/>
          <w:lang w:bidi="ar"/>
        </w:rPr>
      </w:pPr>
      <w:bookmarkStart w:id="44" w:name="_Hlk57733926"/>
      <w:r>
        <w:rPr>
          <w:rFonts w:hint="eastAsia" w:ascii="仿宋_GB2312" w:hAnsi="宋体" w:eastAsia="仿宋" w:cs="仿宋_GB2312"/>
          <w:bCs/>
          <w:sz w:val="32"/>
          <w:szCs w:val="28"/>
          <w:lang w:bidi="ar"/>
        </w:rPr>
        <w:t>社会效益</w:t>
      </w:r>
      <w:r>
        <w:rPr>
          <w:rFonts w:hint="eastAsia" w:ascii="仿宋_GB2312" w:hAnsi="宋体" w:eastAsia="仿宋" w:cs="仿宋_GB2312"/>
          <w:sz w:val="32"/>
          <w:szCs w:val="28"/>
          <w:lang w:bidi="ar"/>
        </w:rPr>
        <w:t>：共</w:t>
      </w:r>
      <w:r>
        <w:rPr>
          <w:rFonts w:ascii="仿宋_GB2312" w:hAnsi="宋体" w:eastAsia="仿宋" w:cs="仿宋_GB2312"/>
          <w:sz w:val="32"/>
          <w:szCs w:val="28"/>
          <w:lang w:bidi="ar"/>
        </w:rPr>
        <w:t>5</w:t>
      </w:r>
      <w:r>
        <w:rPr>
          <w:rFonts w:hint="eastAsia" w:ascii="仿宋_GB2312" w:hAnsi="宋体" w:eastAsia="仿宋" w:cs="仿宋_GB2312"/>
          <w:sz w:val="32"/>
          <w:szCs w:val="28"/>
          <w:lang w:bidi="ar"/>
        </w:rPr>
        <w:t>个考核项目政策带动了政策目标区域内公共基础设施、公共服务就业等发展，马尔康市各乡镇实施的基层活动如道路维修、河道清理、卫生环境整治等，有利于改善乡村基础设施条件、改善村镇面貌，创造文明卫生生活环境。利用农村富余劳动力实施项目，促进了农民生产生活条件的改善，有利于社会环境的稳定；城乡居民养老保险政策的实施给广大人民群众带去了福音，最大限度惠及广大城乡居民，使其老有所养，保障城乡居民老年基本生活,充分树立了政府良好的形象。城乡居民养老保险的实施与深入推进，对保障城乡居民基本生活，推动城乡居民减贫和逐步缩小城乡差距，调节社会收入分配，促进城乡经济社会协调发展，维护城乡居民社会稳定意义重大；增加了就业机会，森林管护等工作提供了大量的就业岗位，解决了退休职工社保统筹等遗留问题，完善了林区的基础设施，促进林区群众农民生产生活条件的改善，有利于社会环境的稳定，使林区展现新面貌，焕发新生机；鼓励引导农民采取秸秆还田、深松整地、科学施肥用药、推进病虫害统防统治和绿色防控等综合措施，稳步提升了耕地地力水平；通过政策引导，加快培育新型经营主体、培养新型职业农民，鼓励多种形式的粮食适度规模经营，有利于推动农业生产加快进入规模化、产业化、社会化发展新阶段，符合现代农业发展方向；有利于防治大骨节病，维护人民群众身体健康和生命安全，更好地保障了病区群众的正常生活，维护地区社会的稳定。但因部分项目资金量有限，产生的效益有限。</w:t>
      </w:r>
    </w:p>
    <w:bookmarkEnd w:id="44"/>
    <w:p w14:paraId="5D233363">
      <w:pPr>
        <w:spacing w:line="560" w:lineRule="exact"/>
        <w:ind w:firstLine="562"/>
        <w:rPr>
          <w:rFonts w:ascii="仿宋_GB2312" w:hAnsi="宋体" w:eastAsia="仿宋" w:cs="仿宋_GB2312"/>
          <w:sz w:val="32"/>
          <w:szCs w:val="28"/>
          <w:lang w:bidi="ar"/>
        </w:rPr>
      </w:pPr>
      <w:bookmarkStart w:id="45" w:name="_Hlk57759005"/>
      <w:r>
        <w:rPr>
          <w:rFonts w:hint="eastAsia" w:ascii="仿宋_GB2312" w:hAnsi="宋体" w:eastAsia="仿宋" w:cs="仿宋_GB2312"/>
          <w:bCs/>
          <w:sz w:val="32"/>
          <w:szCs w:val="28"/>
          <w:lang w:bidi="ar"/>
        </w:rPr>
        <w:t>经济效益</w:t>
      </w:r>
      <w:r>
        <w:rPr>
          <w:rFonts w:hint="eastAsia" w:ascii="仿宋_GB2312" w:hAnsi="宋体" w:eastAsia="仿宋" w:cs="仿宋_GB2312"/>
          <w:sz w:val="32"/>
          <w:szCs w:val="28"/>
          <w:lang w:bidi="ar"/>
        </w:rPr>
        <w:t>：共</w:t>
      </w:r>
      <w:r>
        <w:rPr>
          <w:rFonts w:ascii="仿宋_GB2312" w:hAnsi="宋体" w:eastAsia="仿宋" w:cs="仿宋_GB2312"/>
          <w:sz w:val="32"/>
          <w:szCs w:val="28"/>
          <w:lang w:bidi="ar"/>
        </w:rPr>
        <w:t>4</w:t>
      </w:r>
      <w:r>
        <w:rPr>
          <w:rFonts w:hint="eastAsia" w:ascii="仿宋_GB2312" w:hAnsi="宋体" w:eastAsia="仿宋" w:cs="仿宋_GB2312"/>
          <w:sz w:val="32"/>
          <w:szCs w:val="28"/>
          <w:lang w:bidi="ar"/>
        </w:rPr>
        <w:t>个考核项目政策</w:t>
      </w:r>
      <w:bookmarkEnd w:id="45"/>
      <w:r>
        <w:rPr>
          <w:rFonts w:hint="eastAsia" w:ascii="仿宋_GB2312" w:hAnsi="宋体" w:eastAsia="仿宋" w:cs="仿宋_GB2312"/>
          <w:sz w:val="32"/>
          <w:szCs w:val="28"/>
          <w:lang w:bidi="ar"/>
        </w:rPr>
        <w:t>带动区域经济（目标群体）带来的直接或间接效益,</w:t>
      </w:r>
      <w:r>
        <w:rPr>
          <w:rFonts w:ascii="仿宋_GB2312" w:hAnsi="宋体" w:eastAsia="仿宋" w:cs="仿宋_GB2312"/>
          <w:sz w:val="32"/>
          <w:szCs w:val="28"/>
          <w:lang w:bidi="ar"/>
        </w:rPr>
        <w:t>1</w:t>
      </w:r>
      <w:r>
        <w:rPr>
          <w:rFonts w:hint="eastAsia" w:ascii="仿宋_GB2312" w:hAnsi="宋体" w:eastAsia="仿宋" w:cs="仿宋_GB2312"/>
          <w:sz w:val="32"/>
          <w:szCs w:val="28"/>
          <w:lang w:bidi="ar"/>
        </w:rPr>
        <w:t>个项目政策不涉及经济效益。农村基层组织加强了对经济工作的领导，坚持以经济建设为中心，深化农村改革，稳定发展粮食生产，积极发展多种经营和乡镇企业，增加农民收入，减轻农民负担，提高农民生活水平；林业资源可以为人类提供良好的林木原料，其相应的动植物资源也满足人们的生活消费需求。除了林业自身的经济价值，林区还产生一系列增值价值，如林产品产业链、观光旅游景点等等有利于现代林业实现传统林业产业结构的调整及升级，提高林业发展的经济效益；但因部分项目资金量有限，产生的效益有限。扶贫政策所采取的如大骨节病2019年度更换粮食等一系列措施，推进了国家支农惠农政策的实施，巩固了扶贫开发成果，减轻了全市贫困户生产生活的经济负担，但该政策主要针对大骨节病的防治，脱贫能力有限。</w:t>
      </w:r>
    </w:p>
    <w:p w14:paraId="138998A9">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bCs/>
          <w:sz w:val="32"/>
          <w:szCs w:val="28"/>
          <w:lang w:bidi="ar"/>
        </w:rPr>
        <w:t>环境效益</w:t>
      </w:r>
      <w:r>
        <w:rPr>
          <w:rFonts w:hint="eastAsia" w:ascii="仿宋_GB2312" w:hAnsi="宋体" w:eastAsia="仿宋" w:cs="仿宋_GB2312"/>
          <w:sz w:val="32"/>
          <w:szCs w:val="28"/>
          <w:lang w:bidi="ar"/>
        </w:rPr>
        <w:t>：共</w:t>
      </w:r>
      <w:r>
        <w:rPr>
          <w:rFonts w:ascii="仿宋_GB2312" w:hAnsi="宋体" w:eastAsia="仿宋" w:cs="仿宋_GB2312"/>
          <w:sz w:val="32"/>
          <w:szCs w:val="28"/>
          <w:lang w:bidi="ar"/>
        </w:rPr>
        <w:t>3</w:t>
      </w:r>
      <w:r>
        <w:rPr>
          <w:rFonts w:hint="eastAsia" w:ascii="仿宋_GB2312" w:hAnsi="宋体" w:eastAsia="仿宋" w:cs="仿宋_GB2312"/>
          <w:sz w:val="32"/>
          <w:szCs w:val="28"/>
          <w:lang w:bidi="ar"/>
        </w:rPr>
        <w:t>个考核项目政策在节约资源、保护生态环境方面启到了一定的作用,</w:t>
      </w:r>
      <w:r>
        <w:rPr>
          <w:rFonts w:ascii="仿宋_GB2312" w:hAnsi="宋体" w:eastAsia="仿宋" w:cs="仿宋_GB2312"/>
          <w:sz w:val="32"/>
          <w:szCs w:val="28"/>
          <w:lang w:bidi="ar"/>
        </w:rPr>
        <w:t>2</w:t>
      </w:r>
      <w:r>
        <w:rPr>
          <w:rFonts w:hint="eastAsia" w:ascii="仿宋_GB2312" w:hAnsi="宋体" w:eastAsia="仿宋" w:cs="仿宋_GB2312"/>
          <w:sz w:val="32"/>
          <w:szCs w:val="28"/>
          <w:lang w:bidi="ar"/>
        </w:rPr>
        <w:t>个项目政策不涉及环境效益。合理规划农村基础设施建设，通过公共运行维护费进行全村环境卫生整治，垃圾处理等工作，组织村民参与环境治理，提高村民环境保护意识，保护了村内环境卫生，美化了村民居住环境。对林区的保护、培育工作有利于发挥树木的净化空气、调节小气候、涵养水源、保持水土等功能，从而改善生态环境，同时有利于提高林区群众的生态环境保护意识。在土地经营单位上组建以林业为主体，林、农、牧、渔等多种产业相结合，生物种群在时空上多层次，时间上多序列，实现物质多级循环利用的多维、高效、持续稳定的复合生态系统；通过对农牧民购买复合肥、生态有机肥、磷肥、氮肥等进行补贴，农牧民在种植中更多的使用复合肥、生态有机肥、磷肥、氮肥等，减少了土地面源污染，促进了阿坝州农业产业结构调整，引导广大农民群众使用配方肥和有机肥，推动了阿坝州绿色、生态农业发展，提高了人民群众赖以生存的生活环境；但因部分项目资金量有限，产生的效益有限。</w:t>
      </w:r>
    </w:p>
    <w:p w14:paraId="64FDCAFB">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bCs/>
          <w:sz w:val="32"/>
          <w:szCs w:val="28"/>
          <w:lang w:bidi="ar"/>
        </w:rPr>
        <w:t>满意度</w:t>
      </w:r>
      <w:r>
        <w:rPr>
          <w:rFonts w:hint="eastAsia" w:ascii="仿宋_GB2312" w:hAnsi="宋体" w:eastAsia="仿宋" w:cs="仿宋_GB2312"/>
          <w:sz w:val="32"/>
          <w:szCs w:val="28"/>
          <w:lang w:bidi="ar"/>
        </w:rPr>
        <w:t>：共5个考核项目政策满意度均为100%。</w:t>
      </w:r>
    </w:p>
    <w:p w14:paraId="42FE9C66">
      <w:pPr>
        <w:pStyle w:val="40"/>
        <w:spacing w:before="156" w:after="156" w:line="560" w:lineRule="exact"/>
        <w:ind w:firstLine="640"/>
        <w:rPr>
          <w:rFonts w:hint="eastAsia" w:ascii="仿宋_GB2312" w:hAnsi="仿宋_GB2312" w:eastAsia="仿宋" w:cs="仿宋_GB2312"/>
          <w:b w:val="0"/>
          <w:color w:val="auto"/>
          <w:sz w:val="32"/>
          <w:szCs w:val="28"/>
        </w:rPr>
      </w:pPr>
      <w:bookmarkStart w:id="46" w:name="_Hlk57759776"/>
      <w:r>
        <w:rPr>
          <w:rFonts w:hint="eastAsia" w:ascii="仿宋_GB2312" w:hAnsi="仿宋_GB2312" w:eastAsia="仿宋" w:cs="仿宋_GB2312"/>
          <w:b w:val="0"/>
          <w:color w:val="auto"/>
          <w:sz w:val="32"/>
          <w:szCs w:val="28"/>
        </w:rPr>
        <w:t>——公平性分析</w:t>
      </w:r>
    </w:p>
    <w:p w14:paraId="754BF1E1">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该指标</w:t>
      </w:r>
      <w:r>
        <w:rPr>
          <w:rFonts w:ascii="仿宋_GB2312" w:hAnsi="宋体" w:eastAsia="仿宋" w:cs="仿宋_GB2312"/>
          <w:sz w:val="32"/>
          <w:szCs w:val="28"/>
          <w:lang w:bidi="ar"/>
        </w:rPr>
        <w:t>权重为10分，</w:t>
      </w:r>
      <w:r>
        <w:rPr>
          <w:rFonts w:hint="eastAsia" w:ascii="仿宋_GB2312" w:hAnsi="宋体" w:eastAsia="仿宋" w:cs="仿宋_GB2312"/>
          <w:sz w:val="32"/>
          <w:szCs w:val="28"/>
          <w:lang w:bidi="ar"/>
        </w:rPr>
        <w:t>实得</w:t>
      </w:r>
      <w:r>
        <w:rPr>
          <w:rFonts w:ascii="仿宋_GB2312" w:hAnsi="宋体" w:eastAsia="仿宋" w:cs="仿宋_GB2312"/>
          <w:sz w:val="32"/>
          <w:szCs w:val="28"/>
          <w:lang w:bidi="ar"/>
        </w:rPr>
        <w:t>9.40</w:t>
      </w:r>
      <w:r>
        <w:rPr>
          <w:rFonts w:hint="eastAsia" w:ascii="仿宋_GB2312" w:hAnsi="宋体" w:eastAsia="仿宋" w:cs="仿宋_GB2312"/>
          <w:sz w:val="32"/>
          <w:szCs w:val="28"/>
          <w:lang w:bidi="ar"/>
        </w:rPr>
        <w:t>，</w:t>
      </w:r>
      <w:r>
        <w:rPr>
          <w:rFonts w:ascii="仿宋_GB2312" w:hAnsi="宋体" w:eastAsia="仿宋" w:cs="仿宋_GB2312"/>
          <w:sz w:val="32"/>
          <w:szCs w:val="28"/>
          <w:lang w:bidi="ar"/>
        </w:rPr>
        <w:t>用于考察项目</w:t>
      </w:r>
      <w:r>
        <w:rPr>
          <w:rFonts w:hint="eastAsia" w:ascii="仿宋_GB2312" w:hAnsi="宋体" w:eastAsia="仿宋" w:cs="仿宋_GB2312"/>
          <w:sz w:val="32"/>
          <w:szCs w:val="28"/>
          <w:lang w:bidi="ar"/>
        </w:rPr>
        <w:t>政策目标群体是否</w:t>
      </w:r>
      <w:bookmarkStart w:id="47" w:name="_Hlk57759613"/>
      <w:r>
        <w:rPr>
          <w:rFonts w:hint="eastAsia" w:ascii="仿宋_GB2312" w:hAnsi="宋体" w:eastAsia="仿宋" w:cs="仿宋_GB2312"/>
          <w:sz w:val="32"/>
          <w:szCs w:val="28"/>
          <w:lang w:bidi="ar"/>
        </w:rPr>
        <w:t>公平享受政策，政策资源配置</w:t>
      </w:r>
      <w:bookmarkEnd w:id="47"/>
      <w:r>
        <w:rPr>
          <w:rFonts w:hint="eastAsia" w:ascii="仿宋_GB2312" w:hAnsi="宋体" w:eastAsia="仿宋" w:cs="仿宋_GB2312"/>
          <w:sz w:val="32"/>
          <w:szCs w:val="28"/>
          <w:lang w:bidi="ar"/>
        </w:rPr>
        <w:t>是否公平。</w:t>
      </w:r>
    </w:p>
    <w:p w14:paraId="6A3F9A00">
      <w:pPr>
        <w:spacing w:line="560" w:lineRule="exact"/>
        <w:ind w:firstLine="560"/>
        <w:rPr>
          <w:rFonts w:ascii="仿宋_GB2312" w:hAnsi="宋体" w:eastAsia="仿宋" w:cs="仿宋_GB2312"/>
          <w:sz w:val="32"/>
          <w:szCs w:val="28"/>
          <w:lang w:bidi="ar"/>
        </w:rPr>
      </w:pPr>
      <w:r>
        <w:rPr>
          <w:rFonts w:ascii="仿宋_GB2312" w:hAnsi="宋体" w:eastAsia="仿宋" w:cs="仿宋_GB2312"/>
          <w:sz w:val="32"/>
          <w:szCs w:val="28"/>
          <w:lang w:bidi="ar"/>
        </w:rPr>
        <w:t>具体评价指标和得分情况如下：</w:t>
      </w:r>
    </w:p>
    <w:p w14:paraId="1776E241">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公平性指标得分情况汇总表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0FDC59DF">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2FDAEF21">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569A729E">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0D5AA9BB">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60FB0E52">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1854029F">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vAlign w:val="center"/>
          </w:tcPr>
          <w:p w14:paraId="0A74DC5D">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公平性</w:t>
            </w:r>
          </w:p>
        </w:tc>
        <w:tc>
          <w:tcPr>
            <w:tcW w:w="1379" w:type="pct"/>
            <w:vAlign w:val="center"/>
          </w:tcPr>
          <w:p w14:paraId="219B6D0D">
            <w:pPr>
              <w:spacing w:line="560" w:lineRule="exact"/>
              <w:jc w:val="center"/>
              <w:rPr>
                <w:rFonts w:ascii="仿宋_GB2312" w:hAnsi="Arial Narrow" w:eastAsia="仿宋"/>
                <w:bCs/>
                <w:sz w:val="32"/>
              </w:rPr>
            </w:pPr>
            <w:r>
              <w:rPr>
                <w:rFonts w:ascii="仿宋_GB2312" w:hAnsi="宋体" w:eastAsia="仿宋" w:cs="仿宋_GB2312"/>
                <w:sz w:val="32"/>
                <w:lang w:bidi="ar"/>
              </w:rPr>
              <w:t>10.00</w:t>
            </w:r>
          </w:p>
        </w:tc>
        <w:tc>
          <w:tcPr>
            <w:tcW w:w="1346" w:type="pct"/>
            <w:vAlign w:val="center"/>
          </w:tcPr>
          <w:p w14:paraId="1B99818C">
            <w:pPr>
              <w:spacing w:line="560" w:lineRule="exact"/>
              <w:jc w:val="center"/>
              <w:rPr>
                <w:rFonts w:ascii="仿宋_GB2312" w:hAnsi="Arial Narrow" w:eastAsia="仿宋"/>
                <w:bCs/>
                <w:sz w:val="32"/>
              </w:rPr>
            </w:pPr>
            <w:r>
              <w:rPr>
                <w:rFonts w:ascii="仿宋_GB2312" w:hAnsi="宋体" w:eastAsia="仿宋" w:cs="仿宋_GB2312"/>
                <w:sz w:val="32"/>
                <w:lang w:bidi="ar"/>
              </w:rPr>
              <w:t>9.40</w:t>
            </w:r>
          </w:p>
        </w:tc>
        <w:tc>
          <w:tcPr>
            <w:tcW w:w="1370" w:type="pct"/>
            <w:vAlign w:val="center"/>
          </w:tcPr>
          <w:p w14:paraId="375E1E4E">
            <w:pPr>
              <w:spacing w:line="560" w:lineRule="exact"/>
              <w:jc w:val="center"/>
              <w:rPr>
                <w:rFonts w:ascii="仿宋_GB2312" w:hAnsi="Arial Narrow" w:eastAsia="仿宋"/>
                <w:bCs/>
                <w:sz w:val="32"/>
              </w:rPr>
            </w:pPr>
            <w:r>
              <w:rPr>
                <w:rFonts w:ascii="仿宋_GB2312" w:hAnsi="宋体" w:eastAsia="仿宋" w:cs="仿宋_GB2312"/>
                <w:sz w:val="32"/>
                <w:lang w:bidi="ar"/>
              </w:rPr>
              <w:t>94.00%</w:t>
            </w:r>
          </w:p>
        </w:tc>
      </w:tr>
    </w:tbl>
    <w:p w14:paraId="37E4DD67">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bCs/>
          <w:sz w:val="32"/>
          <w:szCs w:val="28"/>
          <w:lang w:bidi="ar"/>
        </w:rPr>
        <w:t>公平性</w:t>
      </w:r>
      <w:r>
        <w:rPr>
          <w:rFonts w:hint="eastAsia" w:ascii="仿宋_GB2312" w:hAnsi="宋体" w:eastAsia="仿宋" w:cs="仿宋_GB2312"/>
          <w:sz w:val="32"/>
          <w:szCs w:val="28"/>
          <w:lang w:bidi="ar"/>
        </w:rPr>
        <w:t>：共</w:t>
      </w:r>
      <w:r>
        <w:rPr>
          <w:rFonts w:ascii="仿宋_GB2312" w:hAnsi="宋体" w:eastAsia="仿宋" w:cs="仿宋_GB2312"/>
          <w:sz w:val="32"/>
          <w:szCs w:val="28"/>
          <w:lang w:bidi="ar"/>
        </w:rPr>
        <w:t>5</w:t>
      </w:r>
      <w:r>
        <w:rPr>
          <w:rFonts w:hint="eastAsia" w:ascii="仿宋_GB2312" w:hAnsi="宋体" w:eastAsia="仿宋" w:cs="仿宋_GB2312"/>
          <w:sz w:val="32"/>
          <w:szCs w:val="28"/>
          <w:lang w:bidi="ar"/>
        </w:rPr>
        <w:t>个考核项目政策</w:t>
      </w:r>
      <w:bookmarkEnd w:id="46"/>
      <w:r>
        <w:rPr>
          <w:rFonts w:hint="eastAsia" w:ascii="仿宋_GB2312" w:hAnsi="宋体" w:eastAsia="仿宋" w:cs="仿宋_GB2312"/>
          <w:sz w:val="32"/>
          <w:szCs w:val="28"/>
          <w:lang w:bidi="ar"/>
        </w:rPr>
        <w:t>基本上能公平享受政策、公平政策资源配置；村级基层组织活动和公共运行服务经费县（市、区）、乡镇（街道）统筹安排上级补助资金，根据各村（社区）人口、幅员面积、党员人数、地理区位、绩效评价结果因素分类确定补助标准，资金分配合理、公平。项目实施采取事前群众建议、事中群众审议、事后群众评议的“三议五公开”工作法，保证群众的参与权、决策权、监督权。项目实施前公开政策，组织入户调查，广泛征求村民意见建议，采取“一户一票”量分，确定各村维护项目需求，并进行群众审议确定项目实施方案，资金使用、会议决议、项目实施情况均进行公示，但存在部分事项未公示、公示不规范的情况；实现了城乡居民社会养老保险制度全覆盖，推进基本公共服务均等化发展，朝着实现社会公平正义的目标迈进了一大步，使我国原有的城乡二元分割的社会保障制度不公平性问题得到初步解决；按照省级林业主管部门的相关要求，确定补偿资金补偿范围，核实补偿对象，对符合条件的林区农牧民进行补助。以股权划分协议或者采取村民“一事一议”等方式将补偿资金测算分配到户。以林权档案为基础，将补助资金落实到林权权利人，通过补助资金兑现公示制度来强化过程监管，公示无异议的，通过“一卡通”账户足额兑换到林权权利人，资金使用、会议决议、项目实施情况等均进行公示，林业改革资金有限，收益群体人数有限。市供销社利用横幅、门户网站等多种形式进行宣传农资综合补贴资金，在学校、医院、金融网点等人员密集场所张贴查询公告，让广大群众随时掌握惠农动态、查询补贴资金发放情况，不定期的安排组织开展惠农补贴资金管理和发放调查问卷活动，根据反馈意见和建议改进服务方式，让人民群众都能公平享受到政策补贴；扶贫政策能根据上级相关文件的要求，按照相关执行标准，供应病区群众粮食，为困难群众购买马尔康市扶贫保保险，收益群体不重不漏，有利于维护人民群众身体健康和生命安全，提高群众的生活水平，维护地区社会公平与稳定。</w:t>
      </w:r>
    </w:p>
    <w:p w14:paraId="71E6E34F">
      <w:pPr>
        <w:keepNext/>
        <w:keepLines/>
        <w:spacing w:before="156" w:beforeLines="50" w:after="156" w:afterLines="50" w:line="560" w:lineRule="exact"/>
        <w:ind w:firstLine="562"/>
        <w:outlineLvl w:val="1"/>
        <w:rPr>
          <w:rFonts w:hint="eastAsia" w:ascii="仿宋_GB2312" w:hAnsi="仿宋_GB2312" w:eastAsia="仿宋" w:cs="仿宋_GB2312"/>
          <w:bCs/>
          <w:sz w:val="32"/>
          <w:szCs w:val="28"/>
        </w:rPr>
      </w:pPr>
      <w:r>
        <w:rPr>
          <w:rFonts w:hint="eastAsia" w:ascii="仿宋_GB2312" w:hAnsi="仿宋_GB2312" w:eastAsia="仿宋" w:cs="仿宋_GB2312"/>
          <w:bCs/>
          <w:sz w:val="32"/>
          <w:szCs w:val="28"/>
        </w:rPr>
        <w:t>——可持续性分析</w:t>
      </w:r>
    </w:p>
    <w:p w14:paraId="3549410F">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该指标</w:t>
      </w:r>
      <w:r>
        <w:rPr>
          <w:rFonts w:ascii="仿宋_GB2312" w:hAnsi="宋体" w:eastAsia="仿宋" w:cs="仿宋_GB2312"/>
          <w:sz w:val="32"/>
          <w:szCs w:val="28"/>
          <w:lang w:bidi="ar"/>
        </w:rPr>
        <w:t>权重为15分，</w:t>
      </w:r>
      <w:r>
        <w:rPr>
          <w:rFonts w:hint="eastAsia" w:ascii="仿宋_GB2312" w:hAnsi="宋体" w:eastAsia="仿宋" w:cs="仿宋_GB2312"/>
          <w:sz w:val="32"/>
          <w:szCs w:val="28"/>
          <w:lang w:bidi="ar"/>
        </w:rPr>
        <w:t>实得</w:t>
      </w:r>
      <w:r>
        <w:rPr>
          <w:rFonts w:ascii="仿宋_GB2312" w:hAnsi="宋体" w:eastAsia="仿宋" w:cs="仿宋_GB2312"/>
          <w:sz w:val="32"/>
          <w:szCs w:val="28"/>
          <w:lang w:bidi="ar"/>
        </w:rPr>
        <w:t>15</w:t>
      </w:r>
      <w:r>
        <w:rPr>
          <w:rFonts w:hint="eastAsia" w:ascii="仿宋_GB2312" w:hAnsi="宋体" w:eastAsia="仿宋" w:cs="仿宋_GB2312"/>
          <w:sz w:val="32"/>
          <w:szCs w:val="28"/>
          <w:lang w:bidi="ar"/>
        </w:rPr>
        <w:t>，</w:t>
      </w:r>
      <w:r>
        <w:rPr>
          <w:rFonts w:ascii="仿宋_GB2312" w:hAnsi="宋体" w:eastAsia="仿宋" w:cs="仿宋_GB2312"/>
          <w:sz w:val="32"/>
          <w:szCs w:val="28"/>
          <w:lang w:bidi="ar"/>
        </w:rPr>
        <w:t>用于考察项目</w:t>
      </w:r>
      <w:r>
        <w:rPr>
          <w:rFonts w:hint="eastAsia" w:ascii="仿宋_GB2312" w:hAnsi="宋体" w:eastAsia="仿宋" w:cs="仿宋_GB2312"/>
          <w:sz w:val="32"/>
          <w:szCs w:val="28"/>
          <w:lang w:bidi="ar"/>
        </w:rPr>
        <w:t>政策效益能否</w:t>
      </w:r>
      <w:bookmarkStart w:id="48" w:name="_Hlk57759923"/>
      <w:r>
        <w:rPr>
          <w:rFonts w:hint="eastAsia" w:ascii="仿宋_GB2312" w:hAnsi="宋体" w:eastAsia="仿宋" w:cs="仿宋_GB2312"/>
          <w:sz w:val="32"/>
          <w:szCs w:val="28"/>
          <w:lang w:bidi="ar"/>
        </w:rPr>
        <w:t>持续有效发挥，后续维护制度是否健全；目标受益群体对政策是否有持续需求，是否存在政策对象重复重叠，与其他政策分界不清的现象</w:t>
      </w:r>
      <w:bookmarkEnd w:id="48"/>
      <w:r>
        <w:rPr>
          <w:rFonts w:hint="eastAsia" w:ascii="仿宋_GB2312" w:hAnsi="宋体" w:eastAsia="仿宋" w:cs="仿宋_GB2312"/>
          <w:sz w:val="32"/>
          <w:szCs w:val="28"/>
          <w:lang w:bidi="ar"/>
        </w:rPr>
        <w:t>。</w:t>
      </w:r>
    </w:p>
    <w:p w14:paraId="44D79C56">
      <w:pPr>
        <w:spacing w:line="560" w:lineRule="exact"/>
        <w:ind w:firstLine="560"/>
        <w:rPr>
          <w:rFonts w:ascii="仿宋_GB2312" w:hAnsi="宋体" w:eastAsia="仿宋" w:cs="仿宋_GB2312"/>
          <w:sz w:val="32"/>
          <w:szCs w:val="28"/>
          <w:lang w:bidi="ar"/>
        </w:rPr>
      </w:pPr>
      <w:r>
        <w:rPr>
          <w:rFonts w:ascii="仿宋_GB2312" w:hAnsi="宋体" w:eastAsia="仿宋" w:cs="仿宋_GB2312"/>
          <w:sz w:val="32"/>
          <w:szCs w:val="28"/>
          <w:lang w:bidi="ar"/>
        </w:rPr>
        <w:t>具体评价指标和得分情况如下：</w:t>
      </w:r>
    </w:p>
    <w:p w14:paraId="231C59F9">
      <w:pPr>
        <w:spacing w:line="560" w:lineRule="exact"/>
        <w:ind w:firstLine="482"/>
        <w:jc w:val="center"/>
        <w:rPr>
          <w:rFonts w:ascii="仿宋_GB2312" w:hAnsi="宋体" w:eastAsia="仿宋" w:cs="仿宋_GB2312"/>
          <w:bCs/>
          <w:sz w:val="32"/>
          <w:lang w:bidi="ar"/>
        </w:rPr>
      </w:pPr>
      <w:r>
        <w:rPr>
          <w:rFonts w:hint="eastAsia" w:ascii="仿宋_GB2312" w:hAnsi="宋体" w:eastAsia="仿宋" w:cs="仿宋_GB2312"/>
          <w:bCs/>
          <w:sz w:val="32"/>
          <w:lang w:bidi="ar"/>
        </w:rPr>
        <w:t>可持续性指标得分情况汇总表</w:t>
      </w:r>
    </w:p>
    <w:tbl>
      <w:tblPr>
        <w:tblStyle w:val="15"/>
        <w:tblpPr w:leftFromText="180" w:rightFromText="180" w:vertAnchor="text" w:horzAnchor="page" w:tblpXSpec="center" w:tblpY="40"/>
        <w:tblOverlap w:val="never"/>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29"/>
        <w:gridCol w:w="2483"/>
        <w:gridCol w:w="2423"/>
        <w:gridCol w:w="2467"/>
      </w:tblGrid>
      <w:tr w14:paraId="408C3535">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blHeader/>
          <w:jc w:val="center"/>
        </w:trPr>
        <w:tc>
          <w:tcPr>
            <w:tcW w:w="905" w:type="pct"/>
            <w:tcBorders>
              <w:top w:val="single" w:color="auto" w:sz="12" w:space="0"/>
            </w:tcBorders>
            <w:shd w:val="clear" w:color="auto" w:fill="BEBEBE"/>
            <w:vAlign w:val="center"/>
          </w:tcPr>
          <w:p w14:paraId="02DB1512">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指标</w:t>
            </w:r>
          </w:p>
        </w:tc>
        <w:tc>
          <w:tcPr>
            <w:tcW w:w="1379" w:type="pct"/>
            <w:tcBorders>
              <w:top w:val="single" w:color="auto" w:sz="12" w:space="0"/>
            </w:tcBorders>
            <w:shd w:val="clear" w:color="auto" w:fill="BEBEBE"/>
            <w:vAlign w:val="center"/>
          </w:tcPr>
          <w:p w14:paraId="34659176">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权重</w:t>
            </w:r>
          </w:p>
        </w:tc>
        <w:tc>
          <w:tcPr>
            <w:tcW w:w="1346" w:type="pct"/>
            <w:tcBorders>
              <w:top w:val="single" w:color="auto" w:sz="12" w:space="0"/>
            </w:tcBorders>
            <w:shd w:val="clear" w:color="auto" w:fill="BEBEBE"/>
            <w:vAlign w:val="center"/>
          </w:tcPr>
          <w:p w14:paraId="24BFB1D6">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w:t>
            </w:r>
          </w:p>
        </w:tc>
        <w:tc>
          <w:tcPr>
            <w:tcW w:w="1370" w:type="pct"/>
            <w:tcBorders>
              <w:top w:val="single" w:color="auto" w:sz="12" w:space="0"/>
            </w:tcBorders>
            <w:shd w:val="clear" w:color="auto" w:fill="BEBEBE"/>
            <w:vAlign w:val="center"/>
          </w:tcPr>
          <w:p w14:paraId="45F4D486">
            <w:pPr>
              <w:spacing w:line="560" w:lineRule="exact"/>
              <w:jc w:val="center"/>
              <w:rPr>
                <w:rFonts w:ascii="仿宋_GB2312" w:hAnsi="仿宋_GB2312" w:eastAsia="仿宋" w:cs="仿宋_GB2312"/>
                <w:bCs/>
                <w:sz w:val="32"/>
              </w:rPr>
            </w:pPr>
            <w:r>
              <w:rPr>
                <w:rFonts w:ascii="仿宋_GB2312" w:hAnsi="宋体" w:eastAsia="仿宋" w:cs="仿宋_GB2312"/>
                <w:bCs/>
                <w:sz w:val="32"/>
                <w:lang w:bidi="ar"/>
              </w:rPr>
              <w:t>得分率</w:t>
            </w:r>
          </w:p>
        </w:tc>
      </w:tr>
      <w:tr w14:paraId="2DCA187F">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jc w:val="center"/>
        </w:trPr>
        <w:tc>
          <w:tcPr>
            <w:tcW w:w="905" w:type="pct"/>
            <w:vAlign w:val="center"/>
          </w:tcPr>
          <w:p w14:paraId="62BF8BE7">
            <w:pPr>
              <w:spacing w:line="560" w:lineRule="exact"/>
              <w:jc w:val="center"/>
              <w:rPr>
                <w:rFonts w:ascii="仿宋_GB2312" w:hAnsi="宋体" w:eastAsia="仿宋" w:cs="仿宋_GB2312"/>
                <w:sz w:val="32"/>
                <w:lang w:bidi="ar"/>
              </w:rPr>
            </w:pPr>
            <w:r>
              <w:rPr>
                <w:rFonts w:ascii="仿宋_GB2312" w:hAnsi="宋体" w:eastAsia="仿宋" w:cs="仿宋_GB2312"/>
                <w:sz w:val="32"/>
                <w:lang w:bidi="ar"/>
              </w:rPr>
              <w:t>可持续性</w:t>
            </w:r>
          </w:p>
        </w:tc>
        <w:tc>
          <w:tcPr>
            <w:tcW w:w="1379" w:type="pct"/>
            <w:vAlign w:val="center"/>
          </w:tcPr>
          <w:p w14:paraId="6451AC7F">
            <w:pPr>
              <w:spacing w:line="560" w:lineRule="exact"/>
              <w:jc w:val="center"/>
              <w:rPr>
                <w:rFonts w:ascii="仿宋_GB2312" w:hAnsi="Arial Narrow" w:eastAsia="仿宋"/>
                <w:bCs/>
                <w:sz w:val="32"/>
              </w:rPr>
            </w:pPr>
            <w:r>
              <w:rPr>
                <w:rFonts w:ascii="仿宋_GB2312" w:hAnsi="宋体" w:eastAsia="仿宋" w:cs="仿宋_GB2312"/>
                <w:sz w:val="32"/>
                <w:lang w:bidi="ar"/>
              </w:rPr>
              <w:t>15.00</w:t>
            </w:r>
          </w:p>
        </w:tc>
        <w:tc>
          <w:tcPr>
            <w:tcW w:w="1346" w:type="pct"/>
            <w:vAlign w:val="center"/>
          </w:tcPr>
          <w:p w14:paraId="510B33A4">
            <w:pPr>
              <w:spacing w:line="560" w:lineRule="exact"/>
              <w:jc w:val="center"/>
              <w:rPr>
                <w:rFonts w:ascii="仿宋_GB2312" w:hAnsi="Arial Narrow" w:eastAsia="仿宋"/>
                <w:bCs/>
                <w:sz w:val="32"/>
              </w:rPr>
            </w:pPr>
            <w:r>
              <w:rPr>
                <w:rFonts w:ascii="仿宋_GB2312" w:hAnsi="宋体" w:eastAsia="仿宋" w:cs="仿宋_GB2312"/>
                <w:sz w:val="32"/>
                <w:lang w:bidi="ar"/>
              </w:rPr>
              <w:t>15.00</w:t>
            </w:r>
          </w:p>
        </w:tc>
        <w:tc>
          <w:tcPr>
            <w:tcW w:w="1370" w:type="pct"/>
            <w:vAlign w:val="center"/>
          </w:tcPr>
          <w:p w14:paraId="258129FE">
            <w:pPr>
              <w:spacing w:line="560" w:lineRule="exact"/>
              <w:jc w:val="center"/>
              <w:rPr>
                <w:rFonts w:ascii="仿宋_GB2312" w:hAnsi="Arial Narrow" w:eastAsia="仿宋"/>
                <w:bCs/>
                <w:sz w:val="32"/>
              </w:rPr>
            </w:pPr>
            <w:r>
              <w:rPr>
                <w:rFonts w:ascii="仿宋_GB2312" w:hAnsi="宋体" w:eastAsia="仿宋" w:cs="仿宋_GB2312"/>
                <w:sz w:val="32"/>
                <w:lang w:bidi="ar"/>
              </w:rPr>
              <w:t>100.00%</w:t>
            </w:r>
          </w:p>
        </w:tc>
      </w:tr>
    </w:tbl>
    <w:p w14:paraId="1F1021DC">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bCs/>
          <w:sz w:val="32"/>
          <w:szCs w:val="28"/>
          <w:lang w:bidi="ar"/>
        </w:rPr>
        <w:t>持续运行、持续需求、重复性</w:t>
      </w:r>
      <w:r>
        <w:rPr>
          <w:rFonts w:hint="eastAsia" w:ascii="仿宋_GB2312" w:hAnsi="宋体" w:eastAsia="仿宋" w:cs="仿宋_GB2312"/>
          <w:sz w:val="32"/>
          <w:szCs w:val="28"/>
          <w:lang w:bidi="ar"/>
        </w:rPr>
        <w:t>：</w:t>
      </w:r>
      <w:r>
        <w:rPr>
          <w:rFonts w:ascii="仿宋_GB2312" w:hAnsi="宋体" w:eastAsia="仿宋" w:cs="仿宋_GB2312"/>
          <w:sz w:val="32"/>
          <w:szCs w:val="28"/>
          <w:lang w:bidi="ar"/>
        </w:rPr>
        <w:t>5</w:t>
      </w:r>
      <w:r>
        <w:rPr>
          <w:rFonts w:hint="eastAsia" w:ascii="仿宋_GB2312" w:hAnsi="宋体" w:eastAsia="仿宋" w:cs="仿宋_GB2312"/>
          <w:sz w:val="32"/>
          <w:szCs w:val="28"/>
          <w:lang w:bidi="ar"/>
        </w:rPr>
        <w:t>个考核项目政策持续有效发挥，后续维护制度健全；目标受益群体对政策有持续需求，未发现政策对象重复重叠，与其他政策分界不清的现象。</w:t>
      </w:r>
    </w:p>
    <w:p w14:paraId="0212668A">
      <w:pPr>
        <w:spacing w:line="560" w:lineRule="exact"/>
        <w:ind w:firstLine="560"/>
        <w:rPr>
          <w:rFonts w:ascii="仿宋_GB2312" w:hAnsi="宋体" w:eastAsia="仿宋" w:cs="仿宋_GB2312"/>
          <w:sz w:val="32"/>
          <w:szCs w:val="28"/>
          <w:lang w:bidi="ar"/>
        </w:rPr>
      </w:pPr>
    </w:p>
    <w:p w14:paraId="499D2012">
      <w:pPr>
        <w:pStyle w:val="2"/>
        <w:spacing w:before="156" w:after="156" w:line="560" w:lineRule="exact"/>
        <w:ind w:firstLine="640"/>
        <w:rPr>
          <w:rFonts w:hint="eastAsia" w:eastAsia="仿宋"/>
          <w:b w:val="0"/>
          <w:sz w:val="32"/>
          <w:szCs w:val="30"/>
        </w:rPr>
      </w:pPr>
      <w:r>
        <w:rPr>
          <w:rFonts w:hint="eastAsia" w:eastAsia="仿宋"/>
          <w:b w:val="0"/>
          <w:sz w:val="32"/>
          <w:szCs w:val="30"/>
        </w:rPr>
        <w:t>三、项目支出满意度问卷调查分析</w:t>
      </w:r>
      <w:bookmarkEnd w:id="40"/>
    </w:p>
    <w:p w14:paraId="62492FDD">
      <w:pPr>
        <w:spacing w:line="560" w:lineRule="exact"/>
        <w:ind w:firstLine="560"/>
        <w:rPr>
          <w:rFonts w:hint="eastAsia" w:ascii="仿宋_GB2312" w:hAnsi="宋体" w:eastAsia="仿宋" w:cs="宋体"/>
          <w:sz w:val="32"/>
          <w:szCs w:val="28"/>
          <w:shd w:val="clear" w:color="auto" w:fill="FFFFFF"/>
        </w:rPr>
      </w:pPr>
      <w:r>
        <w:rPr>
          <w:rFonts w:hint="eastAsia" w:ascii="仿宋_GB2312" w:hAnsi="宋体" w:eastAsia="仿宋" w:cs="宋体"/>
          <w:sz w:val="32"/>
          <w:szCs w:val="28"/>
          <w:shd w:val="clear" w:color="auto" w:fill="FFFFFF"/>
        </w:rPr>
        <w:t>本次项目支出绩效评价项目涉及2</w:t>
      </w:r>
      <w:r>
        <w:rPr>
          <w:rFonts w:ascii="仿宋_GB2312" w:hAnsi="宋体" w:eastAsia="仿宋" w:cs="宋体"/>
          <w:sz w:val="32"/>
          <w:szCs w:val="28"/>
          <w:shd w:val="clear" w:color="auto" w:fill="FFFFFF"/>
        </w:rPr>
        <w:t>1</w:t>
      </w:r>
      <w:r>
        <w:rPr>
          <w:rFonts w:hint="eastAsia" w:ascii="仿宋_GB2312" w:hAnsi="宋体" w:eastAsia="仿宋" w:cs="宋体"/>
          <w:sz w:val="32"/>
          <w:szCs w:val="28"/>
          <w:shd w:val="clear" w:color="auto" w:fill="FFFFFF"/>
        </w:rPr>
        <w:t>个，对已完工项目进行了现场调查问卷，问卷调查对象共计</w:t>
      </w:r>
      <w:r>
        <w:rPr>
          <w:rFonts w:ascii="仿宋_GB2312" w:hAnsi="宋体" w:eastAsia="仿宋" w:cs="宋体"/>
          <w:sz w:val="32"/>
          <w:szCs w:val="28"/>
          <w:shd w:val="clear" w:color="auto" w:fill="FFFFFF"/>
        </w:rPr>
        <w:t>260</w:t>
      </w:r>
      <w:r>
        <w:rPr>
          <w:rFonts w:hint="eastAsia" w:ascii="仿宋_GB2312" w:hAnsi="宋体" w:eastAsia="仿宋" w:cs="宋体"/>
          <w:sz w:val="32"/>
          <w:szCs w:val="28"/>
          <w:shd w:val="clear" w:color="auto" w:fill="FFFFFF"/>
        </w:rPr>
        <w:t>人次。问卷满意度分设“非常满意”、“满意”、“较满意”、“不满意”、“不清楚”，其中“非常满意”</w:t>
      </w:r>
      <w:r>
        <w:rPr>
          <w:rFonts w:ascii="仿宋_GB2312" w:hAnsi="宋体" w:eastAsia="仿宋" w:cs="宋体"/>
          <w:sz w:val="32"/>
          <w:szCs w:val="28"/>
          <w:shd w:val="clear" w:color="auto" w:fill="FFFFFF"/>
        </w:rPr>
        <w:t>258</w:t>
      </w:r>
      <w:r>
        <w:rPr>
          <w:rFonts w:hint="eastAsia" w:ascii="仿宋_GB2312" w:hAnsi="宋体" w:eastAsia="仿宋" w:cs="宋体"/>
          <w:sz w:val="32"/>
          <w:szCs w:val="28"/>
          <w:shd w:val="clear" w:color="auto" w:fill="FFFFFF"/>
        </w:rPr>
        <w:t>人，“不清楚”</w:t>
      </w:r>
      <w:r>
        <w:rPr>
          <w:rFonts w:ascii="仿宋_GB2312" w:hAnsi="宋体" w:eastAsia="仿宋" w:cs="宋体"/>
          <w:sz w:val="32"/>
          <w:szCs w:val="28"/>
          <w:shd w:val="clear" w:color="auto" w:fill="FFFFFF"/>
        </w:rPr>
        <w:t>2</w:t>
      </w:r>
      <w:r>
        <w:rPr>
          <w:rFonts w:hint="eastAsia" w:ascii="仿宋_GB2312" w:hAnsi="宋体" w:eastAsia="仿宋" w:cs="宋体"/>
          <w:sz w:val="32"/>
          <w:szCs w:val="28"/>
          <w:shd w:val="clear" w:color="auto" w:fill="FFFFFF"/>
        </w:rPr>
        <w:t>人。</w:t>
      </w:r>
    </w:p>
    <w:p w14:paraId="1791C8C7">
      <w:pPr>
        <w:spacing w:line="560" w:lineRule="exact"/>
        <w:jc w:val="center"/>
        <w:textAlignment w:val="center"/>
        <w:rPr>
          <w:rFonts w:hint="eastAsia" w:ascii="仿宋_GB2312" w:hAnsi="仿宋_GB2312" w:eastAsia="仿宋" w:cs="仿宋_GB2312"/>
          <w:bCs/>
          <w:sz w:val="32"/>
          <w:lang w:bidi="ar"/>
        </w:rPr>
      </w:pPr>
    </w:p>
    <w:p w14:paraId="781FA36D">
      <w:pPr>
        <w:spacing w:line="560" w:lineRule="exact"/>
        <w:jc w:val="center"/>
        <w:textAlignment w:val="center"/>
        <w:rPr>
          <w:rFonts w:ascii="仿宋_GB2312" w:hAnsi="仿宋_GB2312" w:eastAsia="仿宋" w:cs="仿宋_GB2312"/>
          <w:bCs/>
          <w:sz w:val="32"/>
          <w:lang w:bidi="ar"/>
        </w:rPr>
      </w:pPr>
      <w:r>
        <w:rPr>
          <w:rFonts w:hint="eastAsia" w:ascii="仿宋_GB2312" w:hAnsi="仿宋_GB2312" w:eastAsia="仿宋" w:cs="仿宋_GB2312"/>
          <w:bCs/>
          <w:sz w:val="32"/>
          <w:lang w:bidi="ar"/>
        </w:rPr>
        <w:t>表22 项目支出满意度问卷调查统计表</w:t>
      </w:r>
    </w:p>
    <w:p w14:paraId="685E29B2">
      <w:pPr>
        <w:spacing w:line="560" w:lineRule="exact"/>
        <w:jc w:val="right"/>
        <w:textAlignment w:val="center"/>
        <w:rPr>
          <w:rFonts w:ascii="仿宋_GB2312" w:hAnsi="仿宋_GB2312" w:eastAsia="仿宋" w:cs="仿宋_GB2312"/>
          <w:sz w:val="32"/>
          <w:lang w:bidi="ar"/>
        </w:rPr>
      </w:pPr>
      <w:r>
        <w:rPr>
          <w:rFonts w:hint="eastAsia" w:ascii="仿宋_GB2312" w:hAnsi="仿宋_GB2312" w:eastAsia="仿宋" w:cs="仿宋_GB2312"/>
          <w:sz w:val="32"/>
          <w:lang w:bidi="ar"/>
        </w:rPr>
        <w:t>单位：人</w:t>
      </w:r>
    </w:p>
    <w:tbl>
      <w:tblPr>
        <w:tblStyle w:val="15"/>
        <w:tblW w:w="5000" w:type="pct"/>
        <w:tblInd w:w="0" w:type="dxa"/>
        <w:tblLayout w:type="autofit"/>
        <w:tblCellMar>
          <w:top w:w="0" w:type="dxa"/>
          <w:left w:w="108" w:type="dxa"/>
          <w:bottom w:w="0" w:type="dxa"/>
          <w:right w:w="108" w:type="dxa"/>
        </w:tblCellMar>
      </w:tblPr>
      <w:tblGrid>
        <w:gridCol w:w="954"/>
        <w:gridCol w:w="3282"/>
        <w:gridCol w:w="954"/>
        <w:gridCol w:w="954"/>
        <w:gridCol w:w="954"/>
        <w:gridCol w:w="954"/>
        <w:gridCol w:w="950"/>
      </w:tblGrid>
      <w:tr w14:paraId="093F0FB6">
        <w:tblPrEx>
          <w:tblCellMar>
            <w:top w:w="0" w:type="dxa"/>
            <w:left w:w="108" w:type="dxa"/>
            <w:bottom w:w="0" w:type="dxa"/>
            <w:right w:w="108" w:type="dxa"/>
          </w:tblCellMar>
        </w:tblPrEx>
        <w:trPr>
          <w:trHeight w:val="290" w:hRule="atLeast"/>
          <w:tblHeader/>
        </w:trPr>
        <w:tc>
          <w:tcPr>
            <w:tcW w:w="530" w:type="pct"/>
            <w:tcBorders>
              <w:top w:val="single" w:color="auto" w:sz="8" w:space="0"/>
              <w:left w:val="single" w:color="auto" w:sz="8" w:space="0"/>
              <w:bottom w:val="single" w:color="auto" w:sz="8" w:space="0"/>
              <w:right w:val="single" w:color="auto" w:sz="8" w:space="0"/>
            </w:tcBorders>
            <w:shd w:val="clear" w:color="000000" w:fill="BEBEBE"/>
            <w:vAlign w:val="center"/>
          </w:tcPr>
          <w:p w14:paraId="7670BAAB">
            <w:pPr>
              <w:spacing w:line="560" w:lineRule="exact"/>
              <w:jc w:val="center"/>
              <w:rPr>
                <w:rFonts w:ascii="仿宋_GB2312" w:eastAsia="仿宋" w:cs="宋体"/>
                <w:bCs/>
                <w:sz w:val="32"/>
              </w:rPr>
            </w:pPr>
            <w:r>
              <w:rPr>
                <w:rFonts w:ascii="仿宋_GB2312" w:eastAsia="仿宋" w:cs="宋体"/>
                <w:bCs/>
                <w:sz w:val="32"/>
              </w:rPr>
              <w:t>序号</w:t>
            </w:r>
          </w:p>
        </w:tc>
        <w:tc>
          <w:tcPr>
            <w:tcW w:w="1823" w:type="pct"/>
            <w:tcBorders>
              <w:top w:val="single" w:color="auto" w:sz="8" w:space="0"/>
              <w:left w:val="nil"/>
              <w:bottom w:val="single" w:color="auto" w:sz="8" w:space="0"/>
              <w:right w:val="single" w:color="auto" w:sz="8" w:space="0"/>
            </w:tcBorders>
            <w:shd w:val="clear" w:color="000000" w:fill="BEBEBE"/>
            <w:vAlign w:val="center"/>
          </w:tcPr>
          <w:p w14:paraId="46B7A7E8">
            <w:pPr>
              <w:spacing w:line="560" w:lineRule="exact"/>
              <w:jc w:val="center"/>
              <w:rPr>
                <w:rFonts w:ascii="仿宋_GB2312" w:eastAsia="仿宋" w:cs="宋体"/>
                <w:bCs/>
                <w:sz w:val="32"/>
              </w:rPr>
            </w:pPr>
            <w:r>
              <w:rPr>
                <w:rFonts w:ascii="仿宋_GB2312" w:eastAsia="仿宋" w:cs="宋体"/>
                <w:bCs/>
                <w:sz w:val="32"/>
              </w:rPr>
              <w:t>项目名称</w:t>
            </w:r>
          </w:p>
        </w:tc>
        <w:tc>
          <w:tcPr>
            <w:tcW w:w="530" w:type="pct"/>
            <w:tcBorders>
              <w:top w:val="single" w:color="auto" w:sz="8" w:space="0"/>
              <w:left w:val="nil"/>
              <w:bottom w:val="single" w:color="auto" w:sz="8" w:space="0"/>
              <w:right w:val="single" w:color="auto" w:sz="8" w:space="0"/>
            </w:tcBorders>
            <w:shd w:val="clear" w:color="000000" w:fill="BEBEBE"/>
            <w:vAlign w:val="center"/>
          </w:tcPr>
          <w:p w14:paraId="33501036">
            <w:pPr>
              <w:spacing w:line="560" w:lineRule="exact"/>
              <w:jc w:val="center"/>
              <w:rPr>
                <w:rFonts w:ascii="仿宋_GB2312" w:eastAsia="仿宋" w:cs="宋体"/>
                <w:bCs/>
                <w:sz w:val="32"/>
              </w:rPr>
            </w:pPr>
            <w:r>
              <w:rPr>
                <w:rFonts w:ascii="仿宋_GB2312" w:eastAsia="仿宋" w:cs="宋体"/>
                <w:bCs/>
                <w:sz w:val="32"/>
              </w:rPr>
              <w:t>非常满意</w:t>
            </w:r>
          </w:p>
        </w:tc>
        <w:tc>
          <w:tcPr>
            <w:tcW w:w="530" w:type="pct"/>
            <w:tcBorders>
              <w:top w:val="single" w:color="auto" w:sz="8" w:space="0"/>
              <w:left w:val="nil"/>
              <w:bottom w:val="single" w:color="auto" w:sz="8" w:space="0"/>
              <w:right w:val="single" w:color="auto" w:sz="8" w:space="0"/>
            </w:tcBorders>
            <w:shd w:val="clear" w:color="000000" w:fill="BEBEBE"/>
            <w:vAlign w:val="center"/>
          </w:tcPr>
          <w:p w14:paraId="4987EDB1">
            <w:pPr>
              <w:spacing w:line="560" w:lineRule="exact"/>
              <w:jc w:val="center"/>
              <w:rPr>
                <w:rFonts w:ascii="仿宋_GB2312" w:eastAsia="仿宋" w:cs="宋体"/>
                <w:bCs/>
                <w:sz w:val="32"/>
              </w:rPr>
            </w:pPr>
            <w:r>
              <w:rPr>
                <w:rFonts w:ascii="仿宋_GB2312" w:eastAsia="仿宋" w:cs="宋体"/>
                <w:bCs/>
                <w:sz w:val="32"/>
              </w:rPr>
              <w:t>满意</w:t>
            </w:r>
          </w:p>
        </w:tc>
        <w:tc>
          <w:tcPr>
            <w:tcW w:w="530" w:type="pct"/>
            <w:tcBorders>
              <w:top w:val="single" w:color="auto" w:sz="8" w:space="0"/>
              <w:left w:val="nil"/>
              <w:bottom w:val="single" w:color="auto" w:sz="8" w:space="0"/>
              <w:right w:val="single" w:color="auto" w:sz="8" w:space="0"/>
            </w:tcBorders>
            <w:shd w:val="clear" w:color="000000" w:fill="BEBEBE"/>
            <w:vAlign w:val="center"/>
          </w:tcPr>
          <w:p w14:paraId="1883AF36">
            <w:pPr>
              <w:spacing w:line="560" w:lineRule="exact"/>
              <w:jc w:val="center"/>
              <w:rPr>
                <w:rFonts w:ascii="仿宋_GB2312" w:eastAsia="仿宋" w:cs="宋体"/>
                <w:bCs/>
                <w:sz w:val="32"/>
              </w:rPr>
            </w:pPr>
            <w:r>
              <w:rPr>
                <w:rFonts w:ascii="仿宋_GB2312" w:eastAsia="仿宋" w:cs="宋体"/>
                <w:bCs/>
                <w:sz w:val="32"/>
              </w:rPr>
              <w:t>较满意</w:t>
            </w:r>
          </w:p>
        </w:tc>
        <w:tc>
          <w:tcPr>
            <w:tcW w:w="530" w:type="pct"/>
            <w:tcBorders>
              <w:top w:val="single" w:color="auto" w:sz="8" w:space="0"/>
              <w:left w:val="nil"/>
              <w:bottom w:val="single" w:color="auto" w:sz="8" w:space="0"/>
              <w:right w:val="single" w:color="auto" w:sz="8" w:space="0"/>
            </w:tcBorders>
            <w:shd w:val="clear" w:color="000000" w:fill="BEBEBE"/>
            <w:vAlign w:val="center"/>
          </w:tcPr>
          <w:p w14:paraId="1708C529">
            <w:pPr>
              <w:spacing w:line="560" w:lineRule="exact"/>
              <w:jc w:val="center"/>
              <w:rPr>
                <w:rFonts w:ascii="仿宋_GB2312" w:eastAsia="仿宋" w:cs="宋体"/>
                <w:bCs/>
                <w:sz w:val="32"/>
              </w:rPr>
            </w:pPr>
            <w:r>
              <w:rPr>
                <w:rFonts w:ascii="仿宋_GB2312" w:eastAsia="仿宋" w:cs="宋体"/>
                <w:bCs/>
                <w:sz w:val="32"/>
              </w:rPr>
              <w:t>不满意</w:t>
            </w:r>
          </w:p>
        </w:tc>
        <w:tc>
          <w:tcPr>
            <w:tcW w:w="527" w:type="pct"/>
            <w:tcBorders>
              <w:top w:val="single" w:color="auto" w:sz="8" w:space="0"/>
              <w:left w:val="nil"/>
              <w:bottom w:val="single" w:color="auto" w:sz="8" w:space="0"/>
              <w:right w:val="single" w:color="auto" w:sz="8" w:space="0"/>
            </w:tcBorders>
            <w:shd w:val="clear" w:color="000000" w:fill="BEBEBE"/>
            <w:vAlign w:val="center"/>
          </w:tcPr>
          <w:p w14:paraId="29092A6D">
            <w:pPr>
              <w:spacing w:line="560" w:lineRule="exact"/>
              <w:jc w:val="center"/>
              <w:rPr>
                <w:rFonts w:ascii="仿宋_GB2312" w:eastAsia="仿宋" w:cs="宋体"/>
                <w:bCs/>
                <w:sz w:val="32"/>
              </w:rPr>
            </w:pPr>
            <w:r>
              <w:rPr>
                <w:rFonts w:ascii="仿宋_GB2312" w:eastAsia="仿宋" w:cs="宋体"/>
                <w:bCs/>
                <w:sz w:val="32"/>
              </w:rPr>
              <w:t>不清楚</w:t>
            </w:r>
          </w:p>
        </w:tc>
      </w:tr>
      <w:tr w14:paraId="3514B5A5">
        <w:tblPrEx>
          <w:tblCellMar>
            <w:top w:w="0" w:type="dxa"/>
            <w:left w:w="108" w:type="dxa"/>
            <w:bottom w:w="0" w:type="dxa"/>
            <w:right w:w="108" w:type="dxa"/>
          </w:tblCellMar>
        </w:tblPrEx>
        <w:trPr>
          <w:trHeight w:val="86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6FAB3281">
            <w:pPr>
              <w:spacing w:line="560" w:lineRule="exact"/>
              <w:jc w:val="center"/>
              <w:rPr>
                <w:rFonts w:ascii="仿宋_GB2312" w:eastAsia="仿宋" w:cs="宋体"/>
                <w:sz w:val="32"/>
              </w:rPr>
            </w:pPr>
            <w:r>
              <w:rPr>
                <w:rFonts w:ascii="仿宋_GB2312" w:eastAsia="仿宋" w:cs="宋体"/>
                <w:sz w:val="32"/>
              </w:rPr>
              <w:t>1</w:t>
            </w:r>
          </w:p>
        </w:tc>
        <w:tc>
          <w:tcPr>
            <w:tcW w:w="1823" w:type="pct"/>
            <w:tcBorders>
              <w:top w:val="nil"/>
              <w:left w:val="nil"/>
              <w:bottom w:val="single" w:color="auto" w:sz="8" w:space="0"/>
              <w:right w:val="single" w:color="auto" w:sz="8" w:space="0"/>
            </w:tcBorders>
            <w:shd w:val="clear" w:color="auto" w:fill="auto"/>
            <w:vAlign w:val="center"/>
          </w:tcPr>
          <w:p w14:paraId="32DFCD71">
            <w:pPr>
              <w:spacing w:line="560" w:lineRule="exact"/>
              <w:rPr>
                <w:rFonts w:ascii="仿宋_GB2312" w:eastAsia="仿宋" w:cs="宋体"/>
                <w:sz w:val="32"/>
              </w:rPr>
            </w:pPr>
            <w:r>
              <w:rPr>
                <w:rFonts w:ascii="仿宋_GB2312" w:eastAsia="仿宋" w:cs="宋体"/>
                <w:sz w:val="32"/>
              </w:rPr>
              <w:t>2018年第四批新增地方政府债券资金（2018年新型城镇化建设）</w:t>
            </w:r>
          </w:p>
        </w:tc>
        <w:tc>
          <w:tcPr>
            <w:tcW w:w="530" w:type="pct"/>
            <w:tcBorders>
              <w:top w:val="nil"/>
              <w:left w:val="nil"/>
              <w:bottom w:val="single" w:color="auto" w:sz="8" w:space="0"/>
              <w:right w:val="single" w:color="auto" w:sz="8" w:space="0"/>
            </w:tcBorders>
            <w:shd w:val="clear" w:color="auto" w:fill="auto"/>
            <w:vAlign w:val="center"/>
          </w:tcPr>
          <w:p w14:paraId="46A651F5">
            <w:pPr>
              <w:spacing w:line="560" w:lineRule="exact"/>
              <w:jc w:val="center"/>
              <w:rPr>
                <w:rFonts w:ascii="仿宋_GB2312" w:eastAsia="仿宋" w:cs="宋体"/>
                <w:sz w:val="32"/>
              </w:rPr>
            </w:pPr>
            <w:r>
              <w:rPr>
                <w:rFonts w:ascii="仿宋_GB2312" w:eastAsia="仿宋" w:cs="宋体"/>
                <w:sz w:val="32"/>
              </w:rPr>
              <w:t>15</w:t>
            </w:r>
          </w:p>
        </w:tc>
        <w:tc>
          <w:tcPr>
            <w:tcW w:w="530" w:type="pct"/>
            <w:tcBorders>
              <w:top w:val="nil"/>
              <w:left w:val="nil"/>
              <w:bottom w:val="single" w:color="auto" w:sz="8" w:space="0"/>
              <w:right w:val="single" w:color="auto" w:sz="8" w:space="0"/>
            </w:tcBorders>
            <w:shd w:val="clear" w:color="auto" w:fill="auto"/>
            <w:vAlign w:val="center"/>
          </w:tcPr>
          <w:p w14:paraId="4BA9E22B">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3CA6A178">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24786D10">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2DE8C78E">
            <w:pPr>
              <w:spacing w:line="560" w:lineRule="exact"/>
              <w:jc w:val="center"/>
              <w:rPr>
                <w:rFonts w:ascii="仿宋_GB2312" w:eastAsia="仿宋" w:cs="宋体"/>
                <w:sz w:val="32"/>
              </w:rPr>
            </w:pPr>
            <w:r>
              <w:rPr>
                <w:rFonts w:ascii="仿宋_GB2312" w:eastAsia="仿宋" w:cs="宋体"/>
                <w:sz w:val="32"/>
              </w:rPr>
              <w:t>　</w:t>
            </w:r>
          </w:p>
        </w:tc>
      </w:tr>
      <w:tr w14:paraId="7B40BEF9">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29531D0F">
            <w:pPr>
              <w:spacing w:line="560" w:lineRule="exact"/>
              <w:jc w:val="center"/>
              <w:rPr>
                <w:rFonts w:ascii="仿宋_GB2312" w:eastAsia="仿宋" w:cs="宋体"/>
                <w:sz w:val="32"/>
              </w:rPr>
            </w:pPr>
            <w:r>
              <w:rPr>
                <w:rFonts w:ascii="仿宋_GB2312" w:eastAsia="仿宋" w:cs="宋体"/>
                <w:sz w:val="32"/>
              </w:rPr>
              <w:t>2</w:t>
            </w:r>
          </w:p>
        </w:tc>
        <w:tc>
          <w:tcPr>
            <w:tcW w:w="1823" w:type="pct"/>
            <w:tcBorders>
              <w:top w:val="nil"/>
              <w:left w:val="nil"/>
              <w:bottom w:val="single" w:color="auto" w:sz="8" w:space="0"/>
              <w:right w:val="single" w:color="auto" w:sz="8" w:space="0"/>
            </w:tcBorders>
            <w:shd w:val="clear" w:color="auto" w:fill="auto"/>
            <w:vAlign w:val="center"/>
          </w:tcPr>
          <w:p w14:paraId="5E3C0ADA">
            <w:pPr>
              <w:spacing w:line="560" w:lineRule="exact"/>
              <w:rPr>
                <w:rFonts w:ascii="仿宋_GB2312" w:eastAsia="仿宋" w:cs="宋体"/>
                <w:sz w:val="32"/>
              </w:rPr>
            </w:pPr>
            <w:r>
              <w:rPr>
                <w:rFonts w:ascii="仿宋_GB2312" w:eastAsia="仿宋" w:cs="宋体"/>
                <w:sz w:val="32"/>
              </w:rPr>
              <w:t>阿底村防洪堤综合治理工程</w:t>
            </w:r>
          </w:p>
        </w:tc>
        <w:tc>
          <w:tcPr>
            <w:tcW w:w="530" w:type="pct"/>
            <w:tcBorders>
              <w:top w:val="nil"/>
              <w:left w:val="nil"/>
              <w:bottom w:val="single" w:color="auto" w:sz="8" w:space="0"/>
              <w:right w:val="single" w:color="auto" w:sz="8" w:space="0"/>
            </w:tcBorders>
            <w:shd w:val="clear" w:color="auto" w:fill="auto"/>
            <w:vAlign w:val="center"/>
          </w:tcPr>
          <w:p w14:paraId="244EBFDA">
            <w:pPr>
              <w:spacing w:line="560" w:lineRule="exact"/>
              <w:jc w:val="center"/>
              <w:rPr>
                <w:rFonts w:ascii="仿宋_GB2312" w:eastAsia="仿宋" w:cs="宋体"/>
                <w:sz w:val="32"/>
              </w:rPr>
            </w:pPr>
            <w:r>
              <w:rPr>
                <w:rFonts w:ascii="仿宋_GB2312" w:eastAsia="仿宋" w:cs="宋体"/>
                <w:sz w:val="32"/>
              </w:rPr>
              <w:t>15</w:t>
            </w:r>
          </w:p>
        </w:tc>
        <w:tc>
          <w:tcPr>
            <w:tcW w:w="530" w:type="pct"/>
            <w:tcBorders>
              <w:top w:val="nil"/>
              <w:left w:val="nil"/>
              <w:bottom w:val="single" w:color="auto" w:sz="8" w:space="0"/>
              <w:right w:val="single" w:color="auto" w:sz="8" w:space="0"/>
            </w:tcBorders>
            <w:shd w:val="clear" w:color="auto" w:fill="auto"/>
            <w:vAlign w:val="center"/>
          </w:tcPr>
          <w:p w14:paraId="3C5AEFE6">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0A8C4622">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67C70CC8">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3032695A">
            <w:pPr>
              <w:spacing w:line="560" w:lineRule="exact"/>
              <w:jc w:val="center"/>
              <w:rPr>
                <w:rFonts w:ascii="仿宋_GB2312" w:eastAsia="仿宋" w:cs="宋体"/>
                <w:sz w:val="32"/>
              </w:rPr>
            </w:pPr>
            <w:r>
              <w:rPr>
                <w:rFonts w:ascii="仿宋_GB2312" w:eastAsia="仿宋" w:cs="宋体"/>
                <w:sz w:val="32"/>
              </w:rPr>
              <w:t>　</w:t>
            </w:r>
          </w:p>
        </w:tc>
      </w:tr>
      <w:tr w14:paraId="7BFA8206">
        <w:tblPrEx>
          <w:tblCellMar>
            <w:top w:w="0" w:type="dxa"/>
            <w:left w:w="108" w:type="dxa"/>
            <w:bottom w:w="0" w:type="dxa"/>
            <w:right w:w="108" w:type="dxa"/>
          </w:tblCellMar>
        </w:tblPrEx>
        <w:trPr>
          <w:trHeight w:val="82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315AE061">
            <w:pPr>
              <w:spacing w:line="560" w:lineRule="exact"/>
              <w:jc w:val="center"/>
              <w:rPr>
                <w:rFonts w:ascii="仿宋_GB2312" w:eastAsia="仿宋" w:cs="宋体"/>
                <w:sz w:val="32"/>
              </w:rPr>
            </w:pPr>
            <w:r>
              <w:rPr>
                <w:rFonts w:ascii="仿宋_GB2312" w:eastAsia="仿宋" w:cs="宋体"/>
                <w:sz w:val="32"/>
              </w:rPr>
              <w:t>3</w:t>
            </w:r>
          </w:p>
        </w:tc>
        <w:tc>
          <w:tcPr>
            <w:tcW w:w="1823" w:type="pct"/>
            <w:tcBorders>
              <w:top w:val="nil"/>
              <w:left w:val="nil"/>
              <w:bottom w:val="single" w:color="auto" w:sz="8" w:space="0"/>
              <w:right w:val="single" w:color="auto" w:sz="8" w:space="0"/>
            </w:tcBorders>
            <w:shd w:val="clear" w:color="auto" w:fill="auto"/>
            <w:vAlign w:val="center"/>
          </w:tcPr>
          <w:p w14:paraId="51CF3FBF">
            <w:pPr>
              <w:spacing w:line="560" w:lineRule="exact"/>
              <w:rPr>
                <w:rFonts w:ascii="仿宋_GB2312" w:eastAsia="仿宋" w:cs="宋体"/>
                <w:sz w:val="32"/>
              </w:rPr>
            </w:pPr>
            <w:r>
              <w:rPr>
                <w:rFonts w:ascii="仿宋_GB2312" w:eastAsia="仿宋" w:cs="宋体"/>
                <w:sz w:val="32"/>
              </w:rPr>
              <w:t>松岗柯盘天街景区标识标牌制作和安装项目</w:t>
            </w:r>
          </w:p>
        </w:tc>
        <w:tc>
          <w:tcPr>
            <w:tcW w:w="530" w:type="pct"/>
            <w:tcBorders>
              <w:top w:val="nil"/>
              <w:left w:val="nil"/>
              <w:bottom w:val="single" w:color="auto" w:sz="8" w:space="0"/>
              <w:right w:val="single" w:color="auto" w:sz="8" w:space="0"/>
            </w:tcBorders>
            <w:shd w:val="clear" w:color="auto" w:fill="auto"/>
            <w:vAlign w:val="center"/>
          </w:tcPr>
          <w:p w14:paraId="23A79C4E">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454FEA2E">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64F5E767">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23945427">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1F64122A">
            <w:pPr>
              <w:spacing w:line="560" w:lineRule="exact"/>
              <w:jc w:val="center"/>
              <w:rPr>
                <w:rFonts w:ascii="仿宋_GB2312" w:eastAsia="仿宋" w:cs="宋体"/>
                <w:sz w:val="32"/>
              </w:rPr>
            </w:pPr>
            <w:r>
              <w:rPr>
                <w:rFonts w:ascii="仿宋_GB2312" w:eastAsia="仿宋" w:cs="宋体"/>
                <w:sz w:val="32"/>
              </w:rPr>
              <w:t>　</w:t>
            </w:r>
          </w:p>
        </w:tc>
      </w:tr>
      <w:tr w14:paraId="07CB4A73">
        <w:tblPrEx>
          <w:tblCellMar>
            <w:top w:w="0" w:type="dxa"/>
            <w:left w:w="108" w:type="dxa"/>
            <w:bottom w:w="0" w:type="dxa"/>
            <w:right w:w="108" w:type="dxa"/>
          </w:tblCellMar>
        </w:tblPrEx>
        <w:trPr>
          <w:trHeight w:val="55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22092384">
            <w:pPr>
              <w:spacing w:line="560" w:lineRule="exact"/>
              <w:jc w:val="center"/>
              <w:rPr>
                <w:rFonts w:ascii="仿宋_GB2312" w:eastAsia="仿宋" w:cs="宋体"/>
                <w:sz w:val="32"/>
              </w:rPr>
            </w:pPr>
            <w:r>
              <w:rPr>
                <w:rFonts w:ascii="仿宋_GB2312" w:eastAsia="仿宋" w:cs="宋体"/>
                <w:sz w:val="32"/>
              </w:rPr>
              <w:t>4</w:t>
            </w:r>
          </w:p>
        </w:tc>
        <w:tc>
          <w:tcPr>
            <w:tcW w:w="1823" w:type="pct"/>
            <w:tcBorders>
              <w:top w:val="nil"/>
              <w:left w:val="nil"/>
              <w:bottom w:val="single" w:color="auto" w:sz="8" w:space="0"/>
              <w:right w:val="single" w:color="auto" w:sz="8" w:space="0"/>
            </w:tcBorders>
            <w:shd w:val="clear" w:color="auto" w:fill="auto"/>
            <w:vAlign w:val="center"/>
          </w:tcPr>
          <w:p w14:paraId="77083DF0">
            <w:pPr>
              <w:spacing w:line="560" w:lineRule="exact"/>
              <w:rPr>
                <w:rFonts w:ascii="仿宋_GB2312" w:eastAsia="仿宋" w:cs="宋体"/>
                <w:sz w:val="32"/>
              </w:rPr>
            </w:pPr>
            <w:r>
              <w:rPr>
                <w:rFonts w:ascii="仿宋_GB2312" w:eastAsia="仿宋" w:cs="宋体"/>
                <w:sz w:val="32"/>
              </w:rPr>
              <w:t>2019年中央专项彩票公益金支出贫困革命老区脱贫攻坚资金建设项目</w:t>
            </w:r>
          </w:p>
        </w:tc>
        <w:tc>
          <w:tcPr>
            <w:tcW w:w="530" w:type="pct"/>
            <w:tcBorders>
              <w:top w:val="nil"/>
              <w:left w:val="nil"/>
              <w:bottom w:val="single" w:color="auto" w:sz="8" w:space="0"/>
              <w:right w:val="single" w:color="auto" w:sz="8" w:space="0"/>
            </w:tcBorders>
            <w:shd w:val="clear" w:color="auto" w:fill="auto"/>
            <w:vAlign w:val="center"/>
          </w:tcPr>
          <w:p w14:paraId="60C5C57D">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60481BC6">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1B883AED">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166FC7B3">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26A12816">
            <w:pPr>
              <w:spacing w:line="560" w:lineRule="exact"/>
              <w:jc w:val="center"/>
              <w:rPr>
                <w:rFonts w:ascii="仿宋_GB2312" w:eastAsia="仿宋" w:cs="宋体"/>
                <w:sz w:val="32"/>
              </w:rPr>
            </w:pPr>
            <w:r>
              <w:rPr>
                <w:rFonts w:ascii="仿宋_GB2312" w:eastAsia="仿宋" w:cs="宋体"/>
                <w:sz w:val="32"/>
              </w:rPr>
              <w:t>　</w:t>
            </w:r>
          </w:p>
        </w:tc>
      </w:tr>
      <w:tr w14:paraId="75B389D4">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7A0471C0">
            <w:pPr>
              <w:spacing w:line="560" w:lineRule="exact"/>
              <w:jc w:val="center"/>
              <w:rPr>
                <w:rFonts w:ascii="仿宋_GB2312" w:eastAsia="仿宋" w:cs="宋体"/>
                <w:sz w:val="32"/>
              </w:rPr>
            </w:pPr>
            <w:r>
              <w:rPr>
                <w:rFonts w:ascii="仿宋_GB2312" w:eastAsia="仿宋" w:cs="宋体"/>
                <w:sz w:val="32"/>
              </w:rPr>
              <w:t>5</w:t>
            </w:r>
          </w:p>
        </w:tc>
        <w:tc>
          <w:tcPr>
            <w:tcW w:w="1823" w:type="pct"/>
            <w:tcBorders>
              <w:top w:val="nil"/>
              <w:left w:val="nil"/>
              <w:bottom w:val="single" w:color="auto" w:sz="8" w:space="0"/>
              <w:right w:val="single" w:color="auto" w:sz="8" w:space="0"/>
            </w:tcBorders>
            <w:shd w:val="clear" w:color="auto" w:fill="auto"/>
            <w:vAlign w:val="center"/>
          </w:tcPr>
          <w:p w14:paraId="67E3E61C">
            <w:pPr>
              <w:spacing w:line="560" w:lineRule="exact"/>
              <w:rPr>
                <w:rFonts w:ascii="仿宋_GB2312" w:eastAsia="仿宋" w:cs="宋体"/>
                <w:sz w:val="32"/>
              </w:rPr>
            </w:pPr>
            <w:r>
              <w:rPr>
                <w:rFonts w:ascii="仿宋_GB2312" w:eastAsia="仿宋" w:cs="宋体"/>
                <w:sz w:val="32"/>
              </w:rPr>
              <w:t>草原防灭火项目</w:t>
            </w:r>
          </w:p>
        </w:tc>
        <w:tc>
          <w:tcPr>
            <w:tcW w:w="530" w:type="pct"/>
            <w:tcBorders>
              <w:top w:val="nil"/>
              <w:left w:val="nil"/>
              <w:bottom w:val="single" w:color="auto" w:sz="8" w:space="0"/>
              <w:right w:val="single" w:color="auto" w:sz="8" w:space="0"/>
            </w:tcBorders>
            <w:shd w:val="clear" w:color="auto" w:fill="auto"/>
            <w:vAlign w:val="center"/>
          </w:tcPr>
          <w:p w14:paraId="661F83FD">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3AEF4F35">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66DC2941">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40DFBB35">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26C93ACC">
            <w:pPr>
              <w:spacing w:line="560" w:lineRule="exact"/>
              <w:jc w:val="center"/>
              <w:rPr>
                <w:rFonts w:ascii="仿宋_GB2312" w:eastAsia="仿宋" w:cs="宋体"/>
                <w:sz w:val="32"/>
              </w:rPr>
            </w:pPr>
            <w:r>
              <w:rPr>
                <w:rFonts w:ascii="仿宋_GB2312" w:eastAsia="仿宋" w:cs="宋体"/>
                <w:sz w:val="32"/>
              </w:rPr>
              <w:t>　</w:t>
            </w:r>
          </w:p>
        </w:tc>
      </w:tr>
      <w:tr w14:paraId="5E83CF32">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07A35D12">
            <w:pPr>
              <w:spacing w:line="560" w:lineRule="exact"/>
              <w:jc w:val="center"/>
              <w:rPr>
                <w:rFonts w:ascii="仿宋_GB2312" w:eastAsia="仿宋" w:cs="宋体"/>
                <w:sz w:val="32"/>
              </w:rPr>
            </w:pPr>
            <w:r>
              <w:rPr>
                <w:rFonts w:ascii="仿宋_GB2312" w:eastAsia="仿宋" w:cs="宋体"/>
                <w:sz w:val="32"/>
              </w:rPr>
              <w:t>6</w:t>
            </w:r>
          </w:p>
        </w:tc>
        <w:tc>
          <w:tcPr>
            <w:tcW w:w="1823" w:type="pct"/>
            <w:tcBorders>
              <w:top w:val="nil"/>
              <w:left w:val="nil"/>
              <w:bottom w:val="single" w:color="auto" w:sz="8" w:space="0"/>
              <w:right w:val="single" w:color="auto" w:sz="8" w:space="0"/>
            </w:tcBorders>
            <w:shd w:val="clear" w:color="auto" w:fill="auto"/>
            <w:vAlign w:val="center"/>
          </w:tcPr>
          <w:p w14:paraId="5DA973EB">
            <w:pPr>
              <w:spacing w:line="560" w:lineRule="exact"/>
              <w:rPr>
                <w:rFonts w:ascii="仿宋_GB2312" w:eastAsia="仿宋" w:cs="宋体"/>
                <w:sz w:val="32"/>
              </w:rPr>
            </w:pPr>
            <w:r>
              <w:rPr>
                <w:rFonts w:ascii="仿宋_GB2312" w:eastAsia="仿宋" w:cs="宋体"/>
                <w:sz w:val="32"/>
              </w:rPr>
              <w:t>地质灾害防治项目</w:t>
            </w:r>
          </w:p>
        </w:tc>
        <w:tc>
          <w:tcPr>
            <w:tcW w:w="530" w:type="pct"/>
            <w:tcBorders>
              <w:top w:val="nil"/>
              <w:left w:val="nil"/>
              <w:bottom w:val="single" w:color="auto" w:sz="8" w:space="0"/>
              <w:right w:val="single" w:color="auto" w:sz="8" w:space="0"/>
            </w:tcBorders>
            <w:shd w:val="clear" w:color="auto" w:fill="auto"/>
            <w:vAlign w:val="center"/>
          </w:tcPr>
          <w:p w14:paraId="048C350C">
            <w:pPr>
              <w:spacing w:line="560" w:lineRule="exact"/>
              <w:jc w:val="center"/>
              <w:rPr>
                <w:rFonts w:ascii="仿宋_GB2312" w:eastAsia="仿宋" w:cs="宋体"/>
                <w:sz w:val="32"/>
              </w:rPr>
            </w:pPr>
            <w:r>
              <w:rPr>
                <w:rFonts w:ascii="仿宋_GB2312" w:eastAsia="仿宋" w:cs="宋体"/>
                <w:sz w:val="32"/>
              </w:rPr>
              <w:t>15</w:t>
            </w:r>
          </w:p>
        </w:tc>
        <w:tc>
          <w:tcPr>
            <w:tcW w:w="530" w:type="pct"/>
            <w:tcBorders>
              <w:top w:val="nil"/>
              <w:left w:val="nil"/>
              <w:bottom w:val="single" w:color="auto" w:sz="8" w:space="0"/>
              <w:right w:val="single" w:color="auto" w:sz="8" w:space="0"/>
            </w:tcBorders>
            <w:shd w:val="clear" w:color="auto" w:fill="auto"/>
            <w:vAlign w:val="center"/>
          </w:tcPr>
          <w:p w14:paraId="12126216">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43B5D1BA">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76D5A225">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468B8019">
            <w:pPr>
              <w:spacing w:line="560" w:lineRule="exact"/>
              <w:jc w:val="center"/>
              <w:rPr>
                <w:rFonts w:ascii="仿宋_GB2312" w:eastAsia="仿宋" w:cs="宋体"/>
                <w:sz w:val="32"/>
              </w:rPr>
            </w:pPr>
            <w:r>
              <w:rPr>
                <w:rFonts w:ascii="仿宋_GB2312" w:eastAsia="仿宋" w:cs="宋体"/>
                <w:sz w:val="32"/>
              </w:rPr>
              <w:t>　</w:t>
            </w:r>
          </w:p>
        </w:tc>
      </w:tr>
      <w:tr w14:paraId="2CF0E3F0">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05E290E8">
            <w:pPr>
              <w:spacing w:line="560" w:lineRule="exact"/>
              <w:jc w:val="center"/>
              <w:rPr>
                <w:rFonts w:ascii="仿宋_GB2312" w:eastAsia="仿宋" w:cs="宋体"/>
                <w:sz w:val="32"/>
              </w:rPr>
            </w:pPr>
            <w:r>
              <w:rPr>
                <w:rFonts w:ascii="仿宋_GB2312" w:eastAsia="仿宋" w:cs="宋体"/>
                <w:sz w:val="32"/>
              </w:rPr>
              <w:t>7</w:t>
            </w:r>
          </w:p>
        </w:tc>
        <w:tc>
          <w:tcPr>
            <w:tcW w:w="1823" w:type="pct"/>
            <w:tcBorders>
              <w:top w:val="nil"/>
              <w:left w:val="nil"/>
              <w:bottom w:val="single" w:color="auto" w:sz="8" w:space="0"/>
              <w:right w:val="single" w:color="auto" w:sz="8" w:space="0"/>
            </w:tcBorders>
            <w:shd w:val="clear" w:color="auto" w:fill="auto"/>
            <w:vAlign w:val="center"/>
          </w:tcPr>
          <w:p w14:paraId="63E57470">
            <w:pPr>
              <w:spacing w:line="560" w:lineRule="exact"/>
              <w:rPr>
                <w:rFonts w:ascii="仿宋_GB2312" w:eastAsia="仿宋" w:cs="宋体"/>
                <w:sz w:val="32"/>
              </w:rPr>
            </w:pPr>
            <w:r>
              <w:rPr>
                <w:rFonts w:ascii="仿宋_GB2312" w:eastAsia="仿宋" w:cs="宋体"/>
                <w:sz w:val="32"/>
              </w:rPr>
              <w:t>革命老区项目</w:t>
            </w:r>
          </w:p>
        </w:tc>
        <w:tc>
          <w:tcPr>
            <w:tcW w:w="530" w:type="pct"/>
            <w:tcBorders>
              <w:top w:val="nil"/>
              <w:left w:val="nil"/>
              <w:bottom w:val="single" w:color="auto" w:sz="8" w:space="0"/>
              <w:right w:val="single" w:color="auto" w:sz="8" w:space="0"/>
            </w:tcBorders>
            <w:shd w:val="clear" w:color="auto" w:fill="auto"/>
            <w:vAlign w:val="center"/>
          </w:tcPr>
          <w:p w14:paraId="2EBE19A7">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4A8B9CEF">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2B2BCF93">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6E27EBCF">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7F66A84E">
            <w:pPr>
              <w:spacing w:line="560" w:lineRule="exact"/>
              <w:jc w:val="center"/>
              <w:rPr>
                <w:rFonts w:ascii="仿宋_GB2312" w:eastAsia="仿宋" w:cs="宋体"/>
                <w:sz w:val="32"/>
              </w:rPr>
            </w:pPr>
            <w:r>
              <w:rPr>
                <w:rFonts w:ascii="仿宋_GB2312" w:eastAsia="仿宋" w:cs="宋体"/>
                <w:sz w:val="32"/>
              </w:rPr>
              <w:t>　</w:t>
            </w:r>
          </w:p>
        </w:tc>
      </w:tr>
      <w:tr w14:paraId="3BF616E9">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7DAFCE89">
            <w:pPr>
              <w:spacing w:line="560" w:lineRule="exact"/>
              <w:jc w:val="center"/>
              <w:rPr>
                <w:rFonts w:ascii="仿宋_GB2312" w:eastAsia="仿宋" w:cs="宋体"/>
                <w:sz w:val="32"/>
              </w:rPr>
            </w:pPr>
            <w:r>
              <w:rPr>
                <w:rFonts w:ascii="仿宋_GB2312" w:eastAsia="仿宋" w:cs="宋体"/>
                <w:sz w:val="32"/>
              </w:rPr>
              <w:t>8</w:t>
            </w:r>
          </w:p>
        </w:tc>
        <w:tc>
          <w:tcPr>
            <w:tcW w:w="1823" w:type="pct"/>
            <w:tcBorders>
              <w:top w:val="nil"/>
              <w:left w:val="nil"/>
              <w:bottom w:val="single" w:color="auto" w:sz="8" w:space="0"/>
              <w:right w:val="single" w:color="auto" w:sz="8" w:space="0"/>
            </w:tcBorders>
            <w:shd w:val="clear" w:color="auto" w:fill="auto"/>
            <w:vAlign w:val="center"/>
          </w:tcPr>
          <w:p w14:paraId="0D458326">
            <w:pPr>
              <w:spacing w:line="560" w:lineRule="exact"/>
              <w:rPr>
                <w:rFonts w:ascii="仿宋_GB2312" w:eastAsia="仿宋" w:cs="宋体"/>
                <w:sz w:val="32"/>
              </w:rPr>
            </w:pPr>
            <w:r>
              <w:rPr>
                <w:rFonts w:ascii="仿宋_GB2312" w:eastAsia="仿宋" w:cs="宋体"/>
                <w:sz w:val="32"/>
              </w:rPr>
              <w:t>第八届加绒锅庄文化旅游节项目</w:t>
            </w:r>
          </w:p>
        </w:tc>
        <w:tc>
          <w:tcPr>
            <w:tcW w:w="530" w:type="pct"/>
            <w:tcBorders>
              <w:top w:val="nil"/>
              <w:left w:val="nil"/>
              <w:bottom w:val="single" w:color="auto" w:sz="8" w:space="0"/>
              <w:right w:val="single" w:color="auto" w:sz="8" w:space="0"/>
            </w:tcBorders>
            <w:shd w:val="clear" w:color="auto" w:fill="auto"/>
            <w:vAlign w:val="center"/>
          </w:tcPr>
          <w:p w14:paraId="0EEE900A">
            <w:pPr>
              <w:spacing w:line="560" w:lineRule="exact"/>
              <w:jc w:val="center"/>
              <w:rPr>
                <w:rFonts w:ascii="仿宋_GB2312" w:eastAsia="仿宋" w:cs="宋体"/>
                <w:sz w:val="32"/>
              </w:rPr>
            </w:pPr>
            <w:r>
              <w:rPr>
                <w:rFonts w:ascii="仿宋_GB2312" w:eastAsia="仿宋" w:cs="宋体"/>
                <w:sz w:val="32"/>
              </w:rPr>
              <w:t>15</w:t>
            </w:r>
          </w:p>
        </w:tc>
        <w:tc>
          <w:tcPr>
            <w:tcW w:w="530" w:type="pct"/>
            <w:tcBorders>
              <w:top w:val="nil"/>
              <w:left w:val="nil"/>
              <w:bottom w:val="single" w:color="auto" w:sz="8" w:space="0"/>
              <w:right w:val="single" w:color="auto" w:sz="8" w:space="0"/>
            </w:tcBorders>
            <w:shd w:val="clear" w:color="auto" w:fill="auto"/>
            <w:vAlign w:val="center"/>
          </w:tcPr>
          <w:p w14:paraId="5FE300AB">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3CDBA824">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401C0A0B">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4CEF3148">
            <w:pPr>
              <w:spacing w:line="560" w:lineRule="exact"/>
              <w:jc w:val="center"/>
              <w:rPr>
                <w:rFonts w:ascii="仿宋_GB2312" w:eastAsia="仿宋" w:cs="宋体"/>
                <w:sz w:val="32"/>
              </w:rPr>
            </w:pPr>
            <w:r>
              <w:rPr>
                <w:rFonts w:ascii="仿宋_GB2312" w:eastAsia="仿宋" w:cs="宋体"/>
                <w:sz w:val="32"/>
              </w:rPr>
              <w:t>　</w:t>
            </w:r>
          </w:p>
        </w:tc>
      </w:tr>
      <w:tr w14:paraId="281C0E74">
        <w:tblPrEx>
          <w:tblCellMar>
            <w:top w:w="0" w:type="dxa"/>
            <w:left w:w="108" w:type="dxa"/>
            <w:bottom w:w="0" w:type="dxa"/>
            <w:right w:w="108" w:type="dxa"/>
          </w:tblCellMar>
        </w:tblPrEx>
        <w:trPr>
          <w:trHeight w:val="55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7C72BC33">
            <w:pPr>
              <w:spacing w:line="560" w:lineRule="exact"/>
              <w:jc w:val="center"/>
              <w:rPr>
                <w:rFonts w:ascii="仿宋_GB2312" w:eastAsia="仿宋" w:cs="宋体"/>
                <w:sz w:val="32"/>
              </w:rPr>
            </w:pPr>
            <w:r>
              <w:rPr>
                <w:rFonts w:ascii="仿宋_GB2312" w:eastAsia="仿宋" w:cs="宋体"/>
                <w:sz w:val="32"/>
              </w:rPr>
              <w:t>9</w:t>
            </w:r>
          </w:p>
        </w:tc>
        <w:tc>
          <w:tcPr>
            <w:tcW w:w="1823" w:type="pct"/>
            <w:tcBorders>
              <w:top w:val="nil"/>
              <w:left w:val="nil"/>
              <w:bottom w:val="single" w:color="auto" w:sz="8" w:space="0"/>
              <w:right w:val="single" w:color="auto" w:sz="8" w:space="0"/>
            </w:tcBorders>
            <w:shd w:val="clear" w:color="auto" w:fill="auto"/>
            <w:vAlign w:val="center"/>
          </w:tcPr>
          <w:p w14:paraId="15C9B772">
            <w:pPr>
              <w:spacing w:line="560" w:lineRule="exact"/>
              <w:rPr>
                <w:rFonts w:ascii="仿宋_GB2312" w:eastAsia="仿宋" w:cs="宋体"/>
                <w:sz w:val="32"/>
              </w:rPr>
            </w:pPr>
            <w:r>
              <w:rPr>
                <w:rFonts w:ascii="仿宋_GB2312" w:eastAsia="仿宋" w:cs="宋体"/>
                <w:sz w:val="32"/>
              </w:rPr>
              <w:t>建档立卡贫困人口基本医疗保险项目</w:t>
            </w:r>
          </w:p>
        </w:tc>
        <w:tc>
          <w:tcPr>
            <w:tcW w:w="530" w:type="pct"/>
            <w:tcBorders>
              <w:top w:val="nil"/>
              <w:left w:val="nil"/>
              <w:bottom w:val="single" w:color="auto" w:sz="8" w:space="0"/>
              <w:right w:val="single" w:color="auto" w:sz="8" w:space="0"/>
            </w:tcBorders>
            <w:shd w:val="clear" w:color="auto" w:fill="auto"/>
            <w:vAlign w:val="center"/>
          </w:tcPr>
          <w:p w14:paraId="62A10FC0">
            <w:pPr>
              <w:spacing w:line="560" w:lineRule="exact"/>
              <w:jc w:val="center"/>
              <w:rPr>
                <w:rFonts w:ascii="仿宋_GB2312" w:eastAsia="仿宋" w:cs="宋体"/>
                <w:sz w:val="32"/>
              </w:rPr>
            </w:pPr>
            <w:r>
              <w:rPr>
                <w:rFonts w:ascii="仿宋_GB2312" w:eastAsia="仿宋" w:cs="宋体"/>
                <w:sz w:val="32"/>
              </w:rPr>
              <w:t>15</w:t>
            </w:r>
          </w:p>
        </w:tc>
        <w:tc>
          <w:tcPr>
            <w:tcW w:w="530" w:type="pct"/>
            <w:tcBorders>
              <w:top w:val="nil"/>
              <w:left w:val="nil"/>
              <w:bottom w:val="single" w:color="auto" w:sz="8" w:space="0"/>
              <w:right w:val="single" w:color="auto" w:sz="8" w:space="0"/>
            </w:tcBorders>
            <w:shd w:val="clear" w:color="auto" w:fill="auto"/>
            <w:vAlign w:val="center"/>
          </w:tcPr>
          <w:p w14:paraId="43604F99">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27E572D0">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60E8C03C">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28C871FD">
            <w:pPr>
              <w:spacing w:line="560" w:lineRule="exact"/>
              <w:jc w:val="center"/>
              <w:rPr>
                <w:rFonts w:ascii="仿宋_GB2312" w:eastAsia="仿宋" w:cs="宋体"/>
                <w:sz w:val="32"/>
              </w:rPr>
            </w:pPr>
            <w:r>
              <w:rPr>
                <w:rFonts w:ascii="仿宋_GB2312" w:eastAsia="仿宋" w:cs="宋体"/>
                <w:sz w:val="32"/>
              </w:rPr>
              <w:t>　</w:t>
            </w:r>
          </w:p>
        </w:tc>
      </w:tr>
      <w:tr w14:paraId="5CF89FB6">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4C832CA8">
            <w:pPr>
              <w:spacing w:line="560" w:lineRule="exact"/>
              <w:jc w:val="center"/>
              <w:rPr>
                <w:rFonts w:ascii="仿宋_GB2312" w:eastAsia="仿宋" w:cs="宋体"/>
                <w:sz w:val="32"/>
              </w:rPr>
            </w:pPr>
            <w:r>
              <w:rPr>
                <w:rFonts w:ascii="仿宋_GB2312" w:eastAsia="仿宋" w:cs="宋体"/>
                <w:sz w:val="32"/>
              </w:rPr>
              <w:t>10</w:t>
            </w:r>
          </w:p>
        </w:tc>
        <w:tc>
          <w:tcPr>
            <w:tcW w:w="1823" w:type="pct"/>
            <w:tcBorders>
              <w:top w:val="nil"/>
              <w:left w:val="nil"/>
              <w:bottom w:val="single" w:color="auto" w:sz="8" w:space="0"/>
              <w:right w:val="single" w:color="auto" w:sz="8" w:space="0"/>
            </w:tcBorders>
            <w:shd w:val="clear" w:color="auto" w:fill="auto"/>
            <w:vAlign w:val="center"/>
          </w:tcPr>
          <w:p w14:paraId="27499DD9">
            <w:pPr>
              <w:spacing w:line="560" w:lineRule="exact"/>
              <w:rPr>
                <w:rFonts w:ascii="仿宋_GB2312" w:eastAsia="仿宋" w:cs="宋体"/>
                <w:sz w:val="32"/>
              </w:rPr>
            </w:pPr>
            <w:r>
              <w:rPr>
                <w:rFonts w:ascii="仿宋_GB2312" w:eastAsia="仿宋" w:cs="宋体"/>
                <w:sz w:val="32"/>
              </w:rPr>
              <w:t>看守拘留所项目</w:t>
            </w:r>
          </w:p>
        </w:tc>
        <w:tc>
          <w:tcPr>
            <w:tcW w:w="530" w:type="pct"/>
            <w:tcBorders>
              <w:top w:val="nil"/>
              <w:left w:val="nil"/>
              <w:bottom w:val="single" w:color="auto" w:sz="8" w:space="0"/>
              <w:right w:val="single" w:color="auto" w:sz="8" w:space="0"/>
            </w:tcBorders>
            <w:shd w:val="clear" w:color="auto" w:fill="auto"/>
            <w:vAlign w:val="center"/>
          </w:tcPr>
          <w:p w14:paraId="448D6422">
            <w:pPr>
              <w:spacing w:line="560" w:lineRule="exact"/>
              <w:jc w:val="center"/>
              <w:rPr>
                <w:rFonts w:ascii="仿宋_GB2312" w:eastAsia="仿宋" w:cs="宋体"/>
                <w:sz w:val="32"/>
              </w:rPr>
            </w:pPr>
            <w:r>
              <w:rPr>
                <w:rFonts w:ascii="仿宋_GB2312" w:eastAsia="仿宋" w:cs="宋体"/>
                <w:sz w:val="32"/>
              </w:rPr>
              <w:t>20</w:t>
            </w:r>
          </w:p>
        </w:tc>
        <w:tc>
          <w:tcPr>
            <w:tcW w:w="530" w:type="pct"/>
            <w:tcBorders>
              <w:top w:val="nil"/>
              <w:left w:val="nil"/>
              <w:bottom w:val="single" w:color="auto" w:sz="8" w:space="0"/>
              <w:right w:val="single" w:color="auto" w:sz="8" w:space="0"/>
            </w:tcBorders>
            <w:shd w:val="clear" w:color="auto" w:fill="auto"/>
            <w:vAlign w:val="center"/>
          </w:tcPr>
          <w:p w14:paraId="55D5A196">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5EB69525">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347DBCA4">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73D96EBE">
            <w:pPr>
              <w:spacing w:line="560" w:lineRule="exact"/>
              <w:jc w:val="center"/>
              <w:rPr>
                <w:rFonts w:ascii="仿宋_GB2312" w:eastAsia="仿宋" w:cs="宋体"/>
                <w:sz w:val="32"/>
              </w:rPr>
            </w:pPr>
            <w:r>
              <w:rPr>
                <w:rFonts w:ascii="仿宋_GB2312" w:eastAsia="仿宋" w:cs="宋体"/>
                <w:sz w:val="32"/>
              </w:rPr>
              <w:t>　</w:t>
            </w:r>
          </w:p>
        </w:tc>
      </w:tr>
      <w:tr w14:paraId="3772CFB8">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2F172651">
            <w:pPr>
              <w:spacing w:line="560" w:lineRule="exact"/>
              <w:jc w:val="center"/>
              <w:rPr>
                <w:rFonts w:ascii="仿宋_GB2312" w:eastAsia="仿宋" w:cs="宋体"/>
                <w:sz w:val="32"/>
              </w:rPr>
            </w:pPr>
            <w:r>
              <w:rPr>
                <w:rFonts w:ascii="仿宋_GB2312" w:eastAsia="仿宋" w:cs="宋体"/>
                <w:sz w:val="32"/>
              </w:rPr>
              <w:t>11</w:t>
            </w:r>
          </w:p>
        </w:tc>
        <w:tc>
          <w:tcPr>
            <w:tcW w:w="1823" w:type="pct"/>
            <w:tcBorders>
              <w:top w:val="nil"/>
              <w:left w:val="nil"/>
              <w:bottom w:val="single" w:color="auto" w:sz="8" w:space="0"/>
              <w:right w:val="single" w:color="auto" w:sz="8" w:space="0"/>
            </w:tcBorders>
            <w:shd w:val="clear" w:color="auto" w:fill="auto"/>
            <w:vAlign w:val="center"/>
          </w:tcPr>
          <w:p w14:paraId="4D9C0E78">
            <w:pPr>
              <w:spacing w:line="560" w:lineRule="exact"/>
              <w:rPr>
                <w:rFonts w:ascii="仿宋_GB2312" w:eastAsia="仿宋" w:cs="宋体"/>
                <w:sz w:val="32"/>
              </w:rPr>
            </w:pPr>
            <w:r>
              <w:rPr>
                <w:rFonts w:ascii="仿宋_GB2312" w:eastAsia="仿宋" w:cs="宋体"/>
                <w:sz w:val="32"/>
              </w:rPr>
              <w:t>党坝乡地拉秋村跨河大桥建设项目</w:t>
            </w:r>
          </w:p>
        </w:tc>
        <w:tc>
          <w:tcPr>
            <w:tcW w:w="530" w:type="pct"/>
            <w:tcBorders>
              <w:top w:val="nil"/>
              <w:left w:val="nil"/>
              <w:bottom w:val="single" w:color="auto" w:sz="8" w:space="0"/>
              <w:right w:val="single" w:color="auto" w:sz="8" w:space="0"/>
            </w:tcBorders>
            <w:shd w:val="clear" w:color="auto" w:fill="auto"/>
            <w:vAlign w:val="center"/>
          </w:tcPr>
          <w:p w14:paraId="1D3436C0">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5034658C">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31B8B6B0">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24C7BE03">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317FD55A">
            <w:pPr>
              <w:spacing w:line="560" w:lineRule="exact"/>
              <w:jc w:val="center"/>
              <w:rPr>
                <w:rFonts w:ascii="仿宋_GB2312" w:eastAsia="仿宋" w:cs="宋体"/>
                <w:sz w:val="32"/>
              </w:rPr>
            </w:pPr>
            <w:r>
              <w:rPr>
                <w:rFonts w:ascii="仿宋_GB2312" w:eastAsia="仿宋" w:cs="宋体"/>
                <w:sz w:val="32"/>
              </w:rPr>
              <w:t>　</w:t>
            </w:r>
          </w:p>
        </w:tc>
      </w:tr>
      <w:tr w14:paraId="16B7F98D">
        <w:tblPrEx>
          <w:tblCellMar>
            <w:top w:w="0" w:type="dxa"/>
            <w:left w:w="108" w:type="dxa"/>
            <w:bottom w:w="0" w:type="dxa"/>
            <w:right w:w="108" w:type="dxa"/>
          </w:tblCellMar>
        </w:tblPrEx>
        <w:trPr>
          <w:trHeight w:val="82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1EEFF7AD">
            <w:pPr>
              <w:spacing w:line="560" w:lineRule="exact"/>
              <w:jc w:val="center"/>
              <w:rPr>
                <w:rFonts w:ascii="仿宋_GB2312" w:eastAsia="仿宋" w:cs="宋体"/>
                <w:sz w:val="32"/>
              </w:rPr>
            </w:pPr>
            <w:r>
              <w:rPr>
                <w:rFonts w:ascii="仿宋_GB2312" w:eastAsia="仿宋" w:cs="宋体"/>
                <w:sz w:val="32"/>
              </w:rPr>
              <w:t>12</w:t>
            </w:r>
          </w:p>
        </w:tc>
        <w:tc>
          <w:tcPr>
            <w:tcW w:w="1823" w:type="pct"/>
            <w:tcBorders>
              <w:top w:val="nil"/>
              <w:left w:val="nil"/>
              <w:bottom w:val="single" w:color="auto" w:sz="8" w:space="0"/>
              <w:right w:val="single" w:color="auto" w:sz="8" w:space="0"/>
            </w:tcBorders>
            <w:shd w:val="clear" w:color="auto" w:fill="auto"/>
            <w:vAlign w:val="center"/>
          </w:tcPr>
          <w:p w14:paraId="319EE341">
            <w:pPr>
              <w:spacing w:line="560" w:lineRule="exact"/>
              <w:rPr>
                <w:rFonts w:ascii="仿宋_GB2312" w:eastAsia="仿宋" w:cs="宋体"/>
                <w:sz w:val="32"/>
              </w:rPr>
            </w:pPr>
            <w:r>
              <w:rPr>
                <w:rFonts w:ascii="仿宋_GB2312" w:eastAsia="仿宋" w:cs="宋体"/>
                <w:sz w:val="32"/>
              </w:rPr>
              <w:t>2018-2019年粮食低温储备库建设</w:t>
            </w:r>
            <w:r>
              <w:rPr>
                <w:rFonts w:ascii="仿宋_GB2312" w:eastAsia="仿宋" w:cs="宋体"/>
                <w:sz w:val="32"/>
              </w:rPr>
              <w:br w:type="textWrapping"/>
            </w:r>
            <w:r>
              <w:rPr>
                <w:rFonts w:ascii="仿宋_GB2312" w:eastAsia="仿宋" w:cs="宋体"/>
                <w:sz w:val="32"/>
              </w:rPr>
              <w:t>项目</w:t>
            </w:r>
          </w:p>
        </w:tc>
        <w:tc>
          <w:tcPr>
            <w:tcW w:w="530" w:type="pct"/>
            <w:tcBorders>
              <w:top w:val="nil"/>
              <w:left w:val="nil"/>
              <w:bottom w:val="single" w:color="auto" w:sz="8" w:space="0"/>
              <w:right w:val="single" w:color="auto" w:sz="8" w:space="0"/>
            </w:tcBorders>
            <w:shd w:val="clear" w:color="auto" w:fill="auto"/>
            <w:vAlign w:val="center"/>
          </w:tcPr>
          <w:p w14:paraId="627B22CC">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4997AFE7">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48BB2B2A">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1F27CCB2">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66406320">
            <w:pPr>
              <w:spacing w:line="560" w:lineRule="exact"/>
              <w:jc w:val="center"/>
              <w:rPr>
                <w:rFonts w:ascii="仿宋_GB2312" w:eastAsia="仿宋" w:cs="宋体"/>
                <w:sz w:val="32"/>
              </w:rPr>
            </w:pPr>
            <w:r>
              <w:rPr>
                <w:rFonts w:ascii="仿宋_GB2312" w:eastAsia="仿宋" w:cs="宋体"/>
                <w:sz w:val="32"/>
              </w:rPr>
              <w:t>　</w:t>
            </w:r>
          </w:p>
        </w:tc>
      </w:tr>
      <w:tr w14:paraId="7D7FE943">
        <w:tblPrEx>
          <w:tblCellMar>
            <w:top w:w="0" w:type="dxa"/>
            <w:left w:w="108" w:type="dxa"/>
            <w:bottom w:w="0" w:type="dxa"/>
            <w:right w:w="108" w:type="dxa"/>
          </w:tblCellMar>
        </w:tblPrEx>
        <w:trPr>
          <w:trHeight w:val="82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093D5604">
            <w:pPr>
              <w:spacing w:line="560" w:lineRule="exact"/>
              <w:jc w:val="center"/>
              <w:rPr>
                <w:rFonts w:ascii="仿宋_GB2312" w:eastAsia="仿宋" w:cs="宋体"/>
                <w:sz w:val="32"/>
              </w:rPr>
            </w:pPr>
            <w:r>
              <w:rPr>
                <w:rFonts w:ascii="仿宋_GB2312" w:eastAsia="仿宋" w:cs="宋体"/>
                <w:sz w:val="32"/>
              </w:rPr>
              <w:t>13</w:t>
            </w:r>
          </w:p>
        </w:tc>
        <w:tc>
          <w:tcPr>
            <w:tcW w:w="1823" w:type="pct"/>
            <w:tcBorders>
              <w:top w:val="nil"/>
              <w:left w:val="nil"/>
              <w:bottom w:val="single" w:color="auto" w:sz="8" w:space="0"/>
              <w:right w:val="single" w:color="auto" w:sz="8" w:space="0"/>
            </w:tcBorders>
            <w:shd w:val="clear" w:color="auto" w:fill="auto"/>
            <w:vAlign w:val="center"/>
          </w:tcPr>
          <w:p w14:paraId="7E1874A4">
            <w:pPr>
              <w:spacing w:line="560" w:lineRule="exact"/>
              <w:jc w:val="center"/>
              <w:rPr>
                <w:rFonts w:ascii="仿宋_GB2312" w:eastAsia="仿宋" w:cs="宋体"/>
                <w:sz w:val="32"/>
              </w:rPr>
            </w:pPr>
            <w:r>
              <w:rPr>
                <w:rFonts w:ascii="仿宋_GB2312" w:eastAsia="仿宋" w:cs="宋体"/>
                <w:sz w:val="32"/>
              </w:rPr>
              <w:t>马尔康市第四小学会议室办公设备及学生生活设备项目</w:t>
            </w:r>
          </w:p>
        </w:tc>
        <w:tc>
          <w:tcPr>
            <w:tcW w:w="530" w:type="pct"/>
            <w:tcBorders>
              <w:top w:val="nil"/>
              <w:left w:val="nil"/>
              <w:bottom w:val="single" w:color="auto" w:sz="8" w:space="0"/>
              <w:right w:val="single" w:color="auto" w:sz="8" w:space="0"/>
            </w:tcBorders>
            <w:shd w:val="clear" w:color="auto" w:fill="auto"/>
            <w:vAlign w:val="center"/>
          </w:tcPr>
          <w:p w14:paraId="4A739FE6">
            <w:pPr>
              <w:spacing w:line="560" w:lineRule="exact"/>
              <w:jc w:val="center"/>
              <w:rPr>
                <w:rFonts w:ascii="仿宋_GB2312" w:eastAsia="仿宋" w:cs="宋体"/>
                <w:sz w:val="32"/>
              </w:rPr>
            </w:pPr>
            <w:r>
              <w:rPr>
                <w:rFonts w:ascii="仿宋_GB2312" w:eastAsia="仿宋" w:cs="宋体"/>
                <w:sz w:val="32"/>
              </w:rPr>
              <w:t>20</w:t>
            </w:r>
          </w:p>
        </w:tc>
        <w:tc>
          <w:tcPr>
            <w:tcW w:w="530" w:type="pct"/>
            <w:tcBorders>
              <w:top w:val="nil"/>
              <w:left w:val="nil"/>
              <w:bottom w:val="single" w:color="auto" w:sz="8" w:space="0"/>
              <w:right w:val="single" w:color="auto" w:sz="8" w:space="0"/>
            </w:tcBorders>
            <w:shd w:val="clear" w:color="auto" w:fill="auto"/>
            <w:vAlign w:val="center"/>
          </w:tcPr>
          <w:p w14:paraId="4420CC55">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70F84964">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254C6E0C">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56187463">
            <w:pPr>
              <w:spacing w:line="560" w:lineRule="exact"/>
              <w:jc w:val="center"/>
              <w:rPr>
                <w:rFonts w:ascii="仿宋_GB2312" w:eastAsia="仿宋" w:cs="宋体"/>
                <w:sz w:val="32"/>
              </w:rPr>
            </w:pPr>
            <w:r>
              <w:rPr>
                <w:rFonts w:ascii="仿宋_GB2312" w:eastAsia="仿宋" w:cs="宋体"/>
                <w:sz w:val="32"/>
              </w:rPr>
              <w:t>　</w:t>
            </w:r>
          </w:p>
        </w:tc>
      </w:tr>
      <w:tr w14:paraId="07CD0ED6">
        <w:tblPrEx>
          <w:tblCellMar>
            <w:top w:w="0" w:type="dxa"/>
            <w:left w:w="108" w:type="dxa"/>
            <w:bottom w:w="0" w:type="dxa"/>
            <w:right w:w="108" w:type="dxa"/>
          </w:tblCellMar>
        </w:tblPrEx>
        <w:trPr>
          <w:trHeight w:val="55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2A8D9677">
            <w:pPr>
              <w:spacing w:line="560" w:lineRule="exact"/>
              <w:jc w:val="center"/>
              <w:rPr>
                <w:rFonts w:ascii="仿宋_GB2312" w:eastAsia="仿宋" w:cs="宋体"/>
                <w:sz w:val="32"/>
              </w:rPr>
            </w:pPr>
            <w:r>
              <w:rPr>
                <w:rFonts w:ascii="仿宋_GB2312" w:eastAsia="仿宋" w:cs="宋体"/>
                <w:sz w:val="32"/>
              </w:rPr>
              <w:t>14</w:t>
            </w:r>
          </w:p>
        </w:tc>
        <w:tc>
          <w:tcPr>
            <w:tcW w:w="1823" w:type="pct"/>
            <w:tcBorders>
              <w:top w:val="nil"/>
              <w:left w:val="nil"/>
              <w:bottom w:val="single" w:color="auto" w:sz="8" w:space="0"/>
              <w:right w:val="single" w:color="auto" w:sz="8" w:space="0"/>
            </w:tcBorders>
            <w:shd w:val="clear" w:color="auto" w:fill="auto"/>
            <w:vAlign w:val="center"/>
          </w:tcPr>
          <w:p w14:paraId="068EF79A">
            <w:pPr>
              <w:spacing w:line="560" w:lineRule="exact"/>
              <w:jc w:val="center"/>
              <w:rPr>
                <w:rFonts w:ascii="仿宋_GB2312" w:eastAsia="仿宋" w:cs="宋体"/>
                <w:sz w:val="32"/>
              </w:rPr>
            </w:pPr>
            <w:r>
              <w:rPr>
                <w:rFonts w:ascii="仿宋_GB2312" w:eastAsia="仿宋" w:cs="宋体"/>
                <w:sz w:val="32"/>
              </w:rPr>
              <w:t>农牧林产品加工物流园区产业扶持项目</w:t>
            </w:r>
          </w:p>
        </w:tc>
        <w:tc>
          <w:tcPr>
            <w:tcW w:w="530" w:type="pct"/>
            <w:tcBorders>
              <w:top w:val="nil"/>
              <w:left w:val="nil"/>
              <w:bottom w:val="single" w:color="auto" w:sz="8" w:space="0"/>
              <w:right w:val="single" w:color="auto" w:sz="8" w:space="0"/>
            </w:tcBorders>
            <w:shd w:val="clear" w:color="auto" w:fill="auto"/>
            <w:vAlign w:val="center"/>
          </w:tcPr>
          <w:p w14:paraId="7530EEA7">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64BFEC5F">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5C7AC514">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520AD421">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67AD7D60">
            <w:pPr>
              <w:spacing w:line="560" w:lineRule="exact"/>
              <w:jc w:val="center"/>
              <w:rPr>
                <w:rFonts w:ascii="仿宋_GB2312" w:eastAsia="仿宋" w:cs="宋体"/>
                <w:sz w:val="32"/>
              </w:rPr>
            </w:pPr>
            <w:r>
              <w:rPr>
                <w:rFonts w:ascii="仿宋_GB2312" w:eastAsia="仿宋" w:cs="宋体"/>
                <w:sz w:val="32"/>
              </w:rPr>
              <w:t>　</w:t>
            </w:r>
          </w:p>
        </w:tc>
      </w:tr>
      <w:tr w14:paraId="4AB408BD">
        <w:tblPrEx>
          <w:tblCellMar>
            <w:top w:w="0" w:type="dxa"/>
            <w:left w:w="108" w:type="dxa"/>
            <w:bottom w:w="0" w:type="dxa"/>
            <w:right w:w="108" w:type="dxa"/>
          </w:tblCellMar>
        </w:tblPrEx>
        <w:trPr>
          <w:trHeight w:val="55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5C5EE327">
            <w:pPr>
              <w:spacing w:line="560" w:lineRule="exact"/>
              <w:jc w:val="center"/>
              <w:rPr>
                <w:rFonts w:ascii="仿宋_GB2312" w:eastAsia="仿宋" w:cs="宋体"/>
                <w:sz w:val="32"/>
              </w:rPr>
            </w:pPr>
            <w:r>
              <w:rPr>
                <w:rFonts w:ascii="仿宋_GB2312" w:eastAsia="仿宋" w:cs="宋体"/>
                <w:sz w:val="32"/>
              </w:rPr>
              <w:t>15</w:t>
            </w:r>
          </w:p>
        </w:tc>
        <w:tc>
          <w:tcPr>
            <w:tcW w:w="1823" w:type="pct"/>
            <w:tcBorders>
              <w:top w:val="nil"/>
              <w:left w:val="nil"/>
              <w:bottom w:val="single" w:color="auto" w:sz="8" w:space="0"/>
              <w:right w:val="single" w:color="auto" w:sz="8" w:space="0"/>
            </w:tcBorders>
            <w:shd w:val="clear" w:color="auto" w:fill="auto"/>
            <w:vAlign w:val="center"/>
          </w:tcPr>
          <w:p w14:paraId="576C275D">
            <w:pPr>
              <w:spacing w:line="560" w:lineRule="exact"/>
              <w:jc w:val="center"/>
              <w:rPr>
                <w:rFonts w:ascii="仿宋_GB2312" w:eastAsia="仿宋" w:cs="宋体"/>
                <w:sz w:val="32"/>
              </w:rPr>
            </w:pPr>
            <w:r>
              <w:rPr>
                <w:rFonts w:ascii="仿宋_GB2312" w:eastAsia="仿宋" w:cs="宋体"/>
                <w:sz w:val="32"/>
              </w:rPr>
              <w:t>马尔康市人民医院太阳能热水系统及采暖改造采购项目</w:t>
            </w:r>
          </w:p>
        </w:tc>
        <w:tc>
          <w:tcPr>
            <w:tcW w:w="530" w:type="pct"/>
            <w:tcBorders>
              <w:top w:val="nil"/>
              <w:left w:val="nil"/>
              <w:bottom w:val="single" w:color="auto" w:sz="8" w:space="0"/>
              <w:right w:val="single" w:color="auto" w:sz="8" w:space="0"/>
            </w:tcBorders>
            <w:shd w:val="clear" w:color="auto" w:fill="auto"/>
            <w:vAlign w:val="center"/>
          </w:tcPr>
          <w:p w14:paraId="57FD402C">
            <w:pPr>
              <w:spacing w:line="560" w:lineRule="exact"/>
              <w:jc w:val="center"/>
              <w:rPr>
                <w:rFonts w:ascii="仿宋_GB2312" w:eastAsia="仿宋" w:cs="宋体"/>
                <w:sz w:val="32"/>
              </w:rPr>
            </w:pPr>
            <w:r>
              <w:rPr>
                <w:rFonts w:ascii="仿宋_GB2312" w:eastAsia="仿宋" w:cs="宋体"/>
                <w:sz w:val="32"/>
              </w:rPr>
              <w:t>15</w:t>
            </w:r>
          </w:p>
        </w:tc>
        <w:tc>
          <w:tcPr>
            <w:tcW w:w="530" w:type="pct"/>
            <w:tcBorders>
              <w:top w:val="nil"/>
              <w:left w:val="nil"/>
              <w:bottom w:val="single" w:color="auto" w:sz="8" w:space="0"/>
              <w:right w:val="single" w:color="auto" w:sz="8" w:space="0"/>
            </w:tcBorders>
            <w:shd w:val="clear" w:color="auto" w:fill="auto"/>
            <w:vAlign w:val="center"/>
          </w:tcPr>
          <w:p w14:paraId="25C1E0B9">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5D2680E4">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0FEB518B">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1572AC22">
            <w:pPr>
              <w:spacing w:line="560" w:lineRule="exact"/>
              <w:jc w:val="center"/>
              <w:rPr>
                <w:rFonts w:ascii="仿宋_GB2312" w:eastAsia="仿宋" w:cs="宋体"/>
                <w:sz w:val="32"/>
              </w:rPr>
            </w:pPr>
            <w:r>
              <w:rPr>
                <w:rFonts w:ascii="仿宋_GB2312" w:eastAsia="仿宋" w:cs="宋体"/>
                <w:sz w:val="32"/>
              </w:rPr>
              <w:t>　</w:t>
            </w:r>
          </w:p>
        </w:tc>
      </w:tr>
      <w:tr w14:paraId="4FDFAD50">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309522F2">
            <w:pPr>
              <w:spacing w:line="560" w:lineRule="exact"/>
              <w:jc w:val="center"/>
              <w:rPr>
                <w:rFonts w:ascii="仿宋_GB2312" w:eastAsia="仿宋" w:cs="宋体"/>
                <w:sz w:val="32"/>
              </w:rPr>
            </w:pPr>
            <w:r>
              <w:rPr>
                <w:rFonts w:ascii="仿宋_GB2312" w:eastAsia="仿宋" w:cs="宋体"/>
                <w:sz w:val="32"/>
              </w:rPr>
              <w:t>16</w:t>
            </w:r>
          </w:p>
        </w:tc>
        <w:tc>
          <w:tcPr>
            <w:tcW w:w="1823" w:type="pct"/>
            <w:tcBorders>
              <w:top w:val="nil"/>
              <w:left w:val="nil"/>
              <w:bottom w:val="single" w:color="auto" w:sz="8" w:space="0"/>
              <w:right w:val="single" w:color="auto" w:sz="8" w:space="0"/>
            </w:tcBorders>
            <w:shd w:val="clear" w:color="auto" w:fill="auto"/>
            <w:vAlign w:val="center"/>
          </w:tcPr>
          <w:p w14:paraId="02950460">
            <w:pPr>
              <w:spacing w:line="560" w:lineRule="exact"/>
              <w:jc w:val="center"/>
              <w:rPr>
                <w:rFonts w:ascii="仿宋_GB2312" w:eastAsia="仿宋" w:cs="宋体"/>
                <w:sz w:val="32"/>
              </w:rPr>
            </w:pPr>
            <w:r>
              <w:rPr>
                <w:rFonts w:ascii="仿宋_GB2312" w:eastAsia="仿宋" w:cs="宋体"/>
                <w:sz w:val="32"/>
              </w:rPr>
              <w:t>马尔康市融媒体中心建设项目</w:t>
            </w:r>
          </w:p>
        </w:tc>
        <w:tc>
          <w:tcPr>
            <w:tcW w:w="530" w:type="pct"/>
            <w:tcBorders>
              <w:top w:val="nil"/>
              <w:left w:val="nil"/>
              <w:bottom w:val="single" w:color="auto" w:sz="8" w:space="0"/>
              <w:right w:val="single" w:color="auto" w:sz="8" w:space="0"/>
            </w:tcBorders>
            <w:shd w:val="clear" w:color="auto" w:fill="auto"/>
            <w:vAlign w:val="center"/>
          </w:tcPr>
          <w:p w14:paraId="3A671E35">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35D1DB72">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1023B6D7">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79CBC070">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578BAAEC">
            <w:pPr>
              <w:spacing w:line="560" w:lineRule="exact"/>
              <w:jc w:val="center"/>
              <w:rPr>
                <w:rFonts w:ascii="仿宋_GB2312" w:eastAsia="仿宋" w:cs="宋体"/>
                <w:sz w:val="32"/>
              </w:rPr>
            </w:pPr>
            <w:r>
              <w:rPr>
                <w:rFonts w:ascii="仿宋_GB2312" w:eastAsia="仿宋" w:cs="宋体"/>
                <w:sz w:val="32"/>
              </w:rPr>
              <w:t>　</w:t>
            </w:r>
          </w:p>
        </w:tc>
      </w:tr>
      <w:tr w14:paraId="0C1043F5">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45DFA176">
            <w:pPr>
              <w:spacing w:line="560" w:lineRule="exact"/>
              <w:jc w:val="center"/>
              <w:rPr>
                <w:rFonts w:ascii="仿宋_GB2312" w:eastAsia="仿宋" w:cs="宋体"/>
                <w:sz w:val="32"/>
              </w:rPr>
            </w:pPr>
            <w:r>
              <w:rPr>
                <w:rFonts w:ascii="仿宋_GB2312" w:eastAsia="仿宋" w:cs="宋体"/>
                <w:sz w:val="32"/>
              </w:rPr>
              <w:t>17</w:t>
            </w:r>
          </w:p>
        </w:tc>
        <w:tc>
          <w:tcPr>
            <w:tcW w:w="1823" w:type="pct"/>
            <w:tcBorders>
              <w:top w:val="nil"/>
              <w:left w:val="nil"/>
              <w:bottom w:val="single" w:color="auto" w:sz="8" w:space="0"/>
              <w:right w:val="single" w:color="auto" w:sz="8" w:space="0"/>
            </w:tcBorders>
            <w:shd w:val="clear" w:color="auto" w:fill="auto"/>
            <w:vAlign w:val="center"/>
          </w:tcPr>
          <w:p w14:paraId="500E36B5">
            <w:pPr>
              <w:spacing w:line="560" w:lineRule="exact"/>
              <w:jc w:val="center"/>
              <w:rPr>
                <w:rFonts w:ascii="仿宋_GB2312" w:eastAsia="仿宋" w:cs="宋体"/>
                <w:sz w:val="32"/>
              </w:rPr>
            </w:pPr>
            <w:r>
              <w:rPr>
                <w:rFonts w:ascii="仿宋_GB2312" w:eastAsia="仿宋" w:cs="宋体"/>
                <w:sz w:val="32"/>
              </w:rPr>
              <w:t>松岗村旅游综合服务设施项目</w:t>
            </w:r>
          </w:p>
        </w:tc>
        <w:tc>
          <w:tcPr>
            <w:tcW w:w="530" w:type="pct"/>
            <w:tcBorders>
              <w:top w:val="nil"/>
              <w:left w:val="nil"/>
              <w:bottom w:val="single" w:color="auto" w:sz="8" w:space="0"/>
              <w:right w:val="single" w:color="auto" w:sz="8" w:space="0"/>
            </w:tcBorders>
            <w:shd w:val="clear" w:color="auto" w:fill="auto"/>
            <w:vAlign w:val="center"/>
          </w:tcPr>
          <w:p w14:paraId="2CC60761">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6DE67C87">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353BA5BB">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2FC7E8E9">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389BC582">
            <w:pPr>
              <w:spacing w:line="560" w:lineRule="exact"/>
              <w:jc w:val="center"/>
              <w:rPr>
                <w:rFonts w:ascii="仿宋_GB2312" w:eastAsia="仿宋" w:cs="宋体"/>
                <w:sz w:val="32"/>
              </w:rPr>
            </w:pPr>
            <w:r>
              <w:rPr>
                <w:rFonts w:ascii="仿宋_GB2312" w:eastAsia="仿宋" w:cs="宋体"/>
                <w:sz w:val="32"/>
              </w:rPr>
              <w:t>　</w:t>
            </w:r>
          </w:p>
        </w:tc>
      </w:tr>
      <w:tr w14:paraId="04917675">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6CD33BE6">
            <w:pPr>
              <w:spacing w:line="560" w:lineRule="exact"/>
              <w:jc w:val="center"/>
              <w:rPr>
                <w:rFonts w:ascii="仿宋_GB2312" w:eastAsia="仿宋" w:cs="宋体"/>
                <w:sz w:val="32"/>
              </w:rPr>
            </w:pPr>
            <w:r>
              <w:rPr>
                <w:rFonts w:ascii="仿宋_GB2312" w:eastAsia="仿宋" w:cs="宋体"/>
                <w:sz w:val="32"/>
              </w:rPr>
              <w:t>18</w:t>
            </w:r>
          </w:p>
        </w:tc>
        <w:tc>
          <w:tcPr>
            <w:tcW w:w="1823" w:type="pct"/>
            <w:tcBorders>
              <w:top w:val="nil"/>
              <w:left w:val="nil"/>
              <w:bottom w:val="single" w:color="auto" w:sz="8" w:space="0"/>
              <w:right w:val="single" w:color="auto" w:sz="8" w:space="0"/>
            </w:tcBorders>
            <w:shd w:val="clear" w:color="auto" w:fill="auto"/>
            <w:vAlign w:val="center"/>
          </w:tcPr>
          <w:p w14:paraId="5654527C">
            <w:pPr>
              <w:spacing w:line="560" w:lineRule="exact"/>
              <w:jc w:val="center"/>
              <w:rPr>
                <w:rFonts w:ascii="仿宋_GB2312" w:eastAsia="仿宋" w:cs="宋体"/>
                <w:sz w:val="32"/>
              </w:rPr>
            </w:pPr>
            <w:r>
              <w:rPr>
                <w:rFonts w:ascii="仿宋_GB2312" w:eastAsia="仿宋" w:cs="宋体"/>
                <w:sz w:val="32"/>
              </w:rPr>
              <w:t>夜景照明工程项目</w:t>
            </w:r>
          </w:p>
        </w:tc>
        <w:tc>
          <w:tcPr>
            <w:tcW w:w="530" w:type="pct"/>
            <w:tcBorders>
              <w:top w:val="nil"/>
              <w:left w:val="nil"/>
              <w:bottom w:val="single" w:color="auto" w:sz="8" w:space="0"/>
              <w:right w:val="single" w:color="auto" w:sz="8" w:space="0"/>
            </w:tcBorders>
            <w:shd w:val="clear" w:color="auto" w:fill="auto"/>
            <w:vAlign w:val="center"/>
          </w:tcPr>
          <w:p w14:paraId="4C0F55BF">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5D53A86B">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0DCB27FC">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22D694A3">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18A1A6FD">
            <w:pPr>
              <w:spacing w:line="560" w:lineRule="exact"/>
              <w:jc w:val="center"/>
              <w:rPr>
                <w:rFonts w:ascii="仿宋_GB2312" w:eastAsia="仿宋" w:cs="宋体"/>
                <w:sz w:val="32"/>
              </w:rPr>
            </w:pPr>
            <w:r>
              <w:rPr>
                <w:rFonts w:ascii="仿宋_GB2312" w:eastAsia="仿宋" w:cs="宋体"/>
                <w:sz w:val="32"/>
              </w:rPr>
              <w:t>　</w:t>
            </w:r>
          </w:p>
        </w:tc>
      </w:tr>
      <w:tr w14:paraId="0B4BD89E">
        <w:tblPrEx>
          <w:tblCellMar>
            <w:top w:w="0" w:type="dxa"/>
            <w:left w:w="108" w:type="dxa"/>
            <w:bottom w:w="0" w:type="dxa"/>
            <w:right w:w="108" w:type="dxa"/>
          </w:tblCellMar>
        </w:tblPrEx>
        <w:trPr>
          <w:trHeight w:val="55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053A7BA6">
            <w:pPr>
              <w:spacing w:line="560" w:lineRule="exact"/>
              <w:jc w:val="center"/>
              <w:rPr>
                <w:rFonts w:ascii="仿宋_GB2312" w:eastAsia="仿宋" w:cs="宋体"/>
                <w:sz w:val="32"/>
              </w:rPr>
            </w:pPr>
            <w:r>
              <w:rPr>
                <w:rFonts w:ascii="仿宋_GB2312" w:eastAsia="仿宋" w:cs="宋体"/>
                <w:sz w:val="32"/>
              </w:rPr>
              <w:t>19</w:t>
            </w:r>
          </w:p>
        </w:tc>
        <w:tc>
          <w:tcPr>
            <w:tcW w:w="1823" w:type="pct"/>
            <w:tcBorders>
              <w:top w:val="nil"/>
              <w:left w:val="nil"/>
              <w:bottom w:val="single" w:color="auto" w:sz="8" w:space="0"/>
              <w:right w:val="single" w:color="auto" w:sz="8" w:space="0"/>
            </w:tcBorders>
            <w:shd w:val="clear" w:color="auto" w:fill="auto"/>
            <w:vAlign w:val="center"/>
          </w:tcPr>
          <w:p w14:paraId="109E84AD">
            <w:pPr>
              <w:spacing w:line="560" w:lineRule="exact"/>
              <w:jc w:val="center"/>
              <w:rPr>
                <w:rFonts w:ascii="仿宋_GB2312" w:eastAsia="仿宋" w:cs="宋体"/>
                <w:sz w:val="32"/>
              </w:rPr>
            </w:pPr>
            <w:r>
              <w:rPr>
                <w:rFonts w:ascii="仿宋_GB2312" w:eastAsia="仿宋" w:cs="宋体"/>
                <w:sz w:val="32"/>
              </w:rPr>
              <w:t>松岗天街配套基础设施建设</w:t>
            </w:r>
            <w:r>
              <w:rPr>
                <w:rFonts w:ascii="仿宋_GB2312" w:eastAsia="仿宋" w:cs="宋体"/>
                <w:sz w:val="32"/>
              </w:rPr>
              <w:br w:type="textWrapping"/>
            </w:r>
            <w:r>
              <w:rPr>
                <w:rFonts w:ascii="仿宋_GB2312" w:eastAsia="仿宋" w:cs="宋体"/>
                <w:sz w:val="32"/>
              </w:rPr>
              <w:t>项目</w:t>
            </w:r>
          </w:p>
        </w:tc>
        <w:tc>
          <w:tcPr>
            <w:tcW w:w="530" w:type="pct"/>
            <w:tcBorders>
              <w:top w:val="nil"/>
              <w:left w:val="nil"/>
              <w:bottom w:val="single" w:color="auto" w:sz="8" w:space="0"/>
              <w:right w:val="single" w:color="auto" w:sz="8" w:space="0"/>
            </w:tcBorders>
            <w:shd w:val="clear" w:color="auto" w:fill="auto"/>
            <w:vAlign w:val="center"/>
          </w:tcPr>
          <w:p w14:paraId="2A3EA619">
            <w:pPr>
              <w:spacing w:line="560" w:lineRule="exact"/>
              <w:jc w:val="center"/>
              <w:rPr>
                <w:rFonts w:ascii="仿宋_GB2312" w:eastAsia="仿宋" w:cs="宋体"/>
                <w:sz w:val="32"/>
              </w:rPr>
            </w:pPr>
            <w:r>
              <w:rPr>
                <w:rFonts w:ascii="仿宋_GB2312" w:eastAsia="仿宋" w:cs="宋体"/>
                <w:sz w:val="32"/>
              </w:rPr>
              <w:t>10</w:t>
            </w:r>
          </w:p>
        </w:tc>
        <w:tc>
          <w:tcPr>
            <w:tcW w:w="530" w:type="pct"/>
            <w:tcBorders>
              <w:top w:val="nil"/>
              <w:left w:val="nil"/>
              <w:bottom w:val="single" w:color="auto" w:sz="8" w:space="0"/>
              <w:right w:val="single" w:color="auto" w:sz="8" w:space="0"/>
            </w:tcBorders>
            <w:shd w:val="clear" w:color="auto" w:fill="auto"/>
            <w:vAlign w:val="center"/>
          </w:tcPr>
          <w:p w14:paraId="7A3DB672">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37EE3B0E">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383E98F9">
            <w:pPr>
              <w:spacing w:line="560" w:lineRule="exact"/>
              <w:jc w:val="center"/>
              <w:rPr>
                <w:rFonts w:ascii="仿宋_GB2312" w:eastAsia="仿宋" w:cs="宋体"/>
                <w:sz w:val="32"/>
              </w:rPr>
            </w:pPr>
            <w:r>
              <w:rPr>
                <w:rFonts w:ascii="仿宋_GB2312" w:eastAsia="仿宋" w:cs="宋体"/>
                <w:sz w:val="32"/>
              </w:rPr>
              <w:t>　</w:t>
            </w:r>
          </w:p>
        </w:tc>
        <w:tc>
          <w:tcPr>
            <w:tcW w:w="527" w:type="pct"/>
            <w:tcBorders>
              <w:top w:val="nil"/>
              <w:left w:val="nil"/>
              <w:bottom w:val="single" w:color="auto" w:sz="8" w:space="0"/>
              <w:right w:val="single" w:color="auto" w:sz="8" w:space="0"/>
            </w:tcBorders>
            <w:shd w:val="clear" w:color="auto" w:fill="auto"/>
            <w:vAlign w:val="center"/>
          </w:tcPr>
          <w:p w14:paraId="5955262D">
            <w:pPr>
              <w:spacing w:line="560" w:lineRule="exact"/>
              <w:jc w:val="center"/>
              <w:rPr>
                <w:rFonts w:ascii="仿宋_GB2312" w:eastAsia="仿宋" w:cs="宋体"/>
                <w:sz w:val="32"/>
              </w:rPr>
            </w:pPr>
            <w:r>
              <w:rPr>
                <w:rFonts w:ascii="仿宋_GB2312" w:eastAsia="仿宋" w:cs="宋体"/>
                <w:sz w:val="32"/>
              </w:rPr>
              <w:t>　</w:t>
            </w:r>
          </w:p>
        </w:tc>
      </w:tr>
      <w:tr w14:paraId="11741A24">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0B44D8BC">
            <w:pPr>
              <w:spacing w:line="560" w:lineRule="exact"/>
              <w:jc w:val="center"/>
              <w:rPr>
                <w:rFonts w:ascii="仿宋_GB2312" w:eastAsia="仿宋" w:cs="宋体"/>
                <w:sz w:val="32"/>
              </w:rPr>
            </w:pPr>
            <w:r>
              <w:rPr>
                <w:rFonts w:ascii="仿宋_GB2312" w:eastAsia="仿宋" w:cs="宋体"/>
                <w:sz w:val="32"/>
              </w:rPr>
              <w:t>20</w:t>
            </w:r>
          </w:p>
        </w:tc>
        <w:tc>
          <w:tcPr>
            <w:tcW w:w="1823" w:type="pct"/>
            <w:tcBorders>
              <w:top w:val="nil"/>
              <w:left w:val="nil"/>
              <w:bottom w:val="single" w:color="auto" w:sz="8" w:space="0"/>
              <w:right w:val="single" w:color="auto" w:sz="8" w:space="0"/>
            </w:tcBorders>
            <w:shd w:val="clear" w:color="auto" w:fill="auto"/>
            <w:vAlign w:val="center"/>
          </w:tcPr>
          <w:p w14:paraId="4CDA9057">
            <w:pPr>
              <w:spacing w:line="560" w:lineRule="exact"/>
              <w:jc w:val="center"/>
              <w:rPr>
                <w:rFonts w:ascii="仿宋_GB2312" w:eastAsia="仿宋" w:cs="宋体"/>
                <w:sz w:val="32"/>
              </w:rPr>
            </w:pPr>
            <w:r>
              <w:rPr>
                <w:rFonts w:ascii="仿宋_GB2312" w:eastAsia="仿宋" w:cs="宋体"/>
                <w:sz w:val="32"/>
              </w:rPr>
              <w:t>乡村振兴项目</w:t>
            </w:r>
          </w:p>
        </w:tc>
        <w:tc>
          <w:tcPr>
            <w:tcW w:w="530" w:type="pct"/>
            <w:tcBorders>
              <w:top w:val="nil"/>
              <w:left w:val="nil"/>
              <w:bottom w:val="single" w:color="auto" w:sz="8" w:space="0"/>
              <w:right w:val="single" w:color="auto" w:sz="8" w:space="0"/>
            </w:tcBorders>
            <w:shd w:val="clear" w:color="auto" w:fill="auto"/>
            <w:vAlign w:val="center"/>
          </w:tcPr>
          <w:p w14:paraId="7015E64E">
            <w:pPr>
              <w:spacing w:line="560" w:lineRule="exact"/>
              <w:jc w:val="center"/>
              <w:rPr>
                <w:rFonts w:ascii="仿宋_GB2312" w:eastAsia="仿宋" w:cs="宋体"/>
                <w:sz w:val="32"/>
              </w:rPr>
            </w:pPr>
            <w:r>
              <w:rPr>
                <w:rFonts w:ascii="仿宋_GB2312" w:eastAsia="仿宋" w:cs="宋体"/>
                <w:sz w:val="32"/>
              </w:rPr>
              <w:t>9</w:t>
            </w:r>
          </w:p>
        </w:tc>
        <w:tc>
          <w:tcPr>
            <w:tcW w:w="530" w:type="pct"/>
            <w:tcBorders>
              <w:top w:val="nil"/>
              <w:left w:val="nil"/>
              <w:bottom w:val="single" w:color="auto" w:sz="8" w:space="0"/>
              <w:right w:val="single" w:color="auto" w:sz="8" w:space="0"/>
            </w:tcBorders>
            <w:shd w:val="clear" w:color="auto" w:fill="auto"/>
            <w:vAlign w:val="center"/>
          </w:tcPr>
          <w:p w14:paraId="4A51D7AA">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2B14FC3D">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427B2633">
            <w:pPr>
              <w:spacing w:line="560" w:lineRule="exact"/>
              <w:jc w:val="center"/>
              <w:rPr>
                <w:rFonts w:ascii="仿宋_GB2312" w:eastAsia="仿宋" w:cs="宋体"/>
                <w:sz w:val="32"/>
              </w:rPr>
            </w:pPr>
          </w:p>
        </w:tc>
        <w:tc>
          <w:tcPr>
            <w:tcW w:w="527" w:type="pct"/>
            <w:tcBorders>
              <w:top w:val="nil"/>
              <w:left w:val="nil"/>
              <w:bottom w:val="single" w:color="auto" w:sz="8" w:space="0"/>
              <w:right w:val="single" w:color="auto" w:sz="8" w:space="0"/>
            </w:tcBorders>
            <w:shd w:val="clear" w:color="auto" w:fill="auto"/>
            <w:vAlign w:val="center"/>
          </w:tcPr>
          <w:p w14:paraId="3D9FE32E">
            <w:pPr>
              <w:spacing w:line="560" w:lineRule="exact"/>
              <w:jc w:val="center"/>
              <w:rPr>
                <w:rFonts w:ascii="仿宋_GB2312" w:eastAsia="仿宋" w:cs="宋体"/>
                <w:sz w:val="32"/>
              </w:rPr>
            </w:pPr>
            <w:r>
              <w:rPr>
                <w:rFonts w:ascii="仿宋_GB2312" w:eastAsia="仿宋" w:cs="宋体"/>
                <w:sz w:val="32"/>
              </w:rPr>
              <w:t>1</w:t>
            </w:r>
          </w:p>
        </w:tc>
      </w:tr>
      <w:tr w14:paraId="6AE659BA">
        <w:tblPrEx>
          <w:tblCellMar>
            <w:top w:w="0" w:type="dxa"/>
            <w:left w:w="108" w:type="dxa"/>
            <w:bottom w:w="0" w:type="dxa"/>
            <w:right w:w="108" w:type="dxa"/>
          </w:tblCellMar>
        </w:tblPrEx>
        <w:trPr>
          <w:trHeight w:val="55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2AD26FB9">
            <w:pPr>
              <w:spacing w:line="560" w:lineRule="exact"/>
              <w:jc w:val="center"/>
              <w:rPr>
                <w:rFonts w:ascii="仿宋_GB2312" w:eastAsia="仿宋" w:cs="宋体"/>
                <w:sz w:val="32"/>
              </w:rPr>
            </w:pPr>
            <w:r>
              <w:rPr>
                <w:rFonts w:ascii="仿宋_GB2312" w:eastAsia="仿宋" w:cs="宋体"/>
                <w:sz w:val="32"/>
              </w:rPr>
              <w:t>21</w:t>
            </w:r>
          </w:p>
        </w:tc>
        <w:tc>
          <w:tcPr>
            <w:tcW w:w="1823" w:type="pct"/>
            <w:tcBorders>
              <w:top w:val="nil"/>
              <w:left w:val="nil"/>
              <w:bottom w:val="single" w:color="auto" w:sz="8" w:space="0"/>
              <w:right w:val="single" w:color="auto" w:sz="8" w:space="0"/>
            </w:tcBorders>
            <w:shd w:val="clear" w:color="auto" w:fill="auto"/>
            <w:vAlign w:val="center"/>
          </w:tcPr>
          <w:p w14:paraId="4C1A6B94">
            <w:pPr>
              <w:spacing w:line="560" w:lineRule="exact"/>
              <w:jc w:val="center"/>
              <w:rPr>
                <w:rFonts w:ascii="仿宋_GB2312" w:eastAsia="仿宋" w:cs="宋体"/>
                <w:sz w:val="32"/>
              </w:rPr>
            </w:pPr>
            <w:r>
              <w:rPr>
                <w:rFonts w:ascii="仿宋_GB2312" w:eastAsia="仿宋" w:cs="宋体"/>
                <w:sz w:val="32"/>
              </w:rPr>
              <w:t>重要道路绿化及城区绿化提升</w:t>
            </w:r>
            <w:r>
              <w:rPr>
                <w:rFonts w:ascii="仿宋_GB2312" w:eastAsia="仿宋" w:cs="宋体"/>
                <w:sz w:val="32"/>
              </w:rPr>
              <w:br w:type="textWrapping"/>
            </w:r>
            <w:r>
              <w:rPr>
                <w:rFonts w:ascii="仿宋_GB2312" w:eastAsia="仿宋" w:cs="宋体"/>
                <w:sz w:val="32"/>
              </w:rPr>
              <w:t>项目</w:t>
            </w:r>
          </w:p>
        </w:tc>
        <w:tc>
          <w:tcPr>
            <w:tcW w:w="530" w:type="pct"/>
            <w:tcBorders>
              <w:top w:val="nil"/>
              <w:left w:val="nil"/>
              <w:bottom w:val="single" w:color="auto" w:sz="8" w:space="0"/>
              <w:right w:val="single" w:color="auto" w:sz="8" w:space="0"/>
            </w:tcBorders>
            <w:shd w:val="clear" w:color="auto" w:fill="auto"/>
            <w:vAlign w:val="center"/>
          </w:tcPr>
          <w:p w14:paraId="2D2F58F3">
            <w:pPr>
              <w:spacing w:line="560" w:lineRule="exact"/>
              <w:jc w:val="center"/>
              <w:rPr>
                <w:rFonts w:ascii="仿宋_GB2312" w:eastAsia="仿宋" w:cs="宋体"/>
                <w:sz w:val="32"/>
              </w:rPr>
            </w:pPr>
            <w:r>
              <w:rPr>
                <w:rFonts w:ascii="仿宋_GB2312" w:eastAsia="仿宋" w:cs="宋体"/>
                <w:sz w:val="32"/>
              </w:rPr>
              <w:t>9</w:t>
            </w:r>
          </w:p>
        </w:tc>
        <w:tc>
          <w:tcPr>
            <w:tcW w:w="530" w:type="pct"/>
            <w:tcBorders>
              <w:top w:val="nil"/>
              <w:left w:val="nil"/>
              <w:bottom w:val="single" w:color="auto" w:sz="8" w:space="0"/>
              <w:right w:val="single" w:color="auto" w:sz="8" w:space="0"/>
            </w:tcBorders>
            <w:shd w:val="clear" w:color="auto" w:fill="auto"/>
            <w:vAlign w:val="center"/>
          </w:tcPr>
          <w:p w14:paraId="4913E012">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343E06F7">
            <w:pPr>
              <w:spacing w:line="560" w:lineRule="exact"/>
              <w:jc w:val="center"/>
              <w:rPr>
                <w:rFonts w:ascii="仿宋_GB2312" w:eastAsia="仿宋" w:cs="宋体"/>
                <w:sz w:val="32"/>
              </w:rPr>
            </w:pPr>
            <w:r>
              <w:rPr>
                <w:rFonts w:ascii="仿宋_GB2312" w:eastAsia="仿宋" w:cs="宋体"/>
                <w:sz w:val="32"/>
              </w:rPr>
              <w:t>　</w:t>
            </w:r>
          </w:p>
        </w:tc>
        <w:tc>
          <w:tcPr>
            <w:tcW w:w="530" w:type="pct"/>
            <w:tcBorders>
              <w:top w:val="nil"/>
              <w:left w:val="nil"/>
              <w:bottom w:val="single" w:color="auto" w:sz="8" w:space="0"/>
              <w:right w:val="single" w:color="auto" w:sz="8" w:space="0"/>
            </w:tcBorders>
            <w:shd w:val="clear" w:color="auto" w:fill="auto"/>
            <w:vAlign w:val="center"/>
          </w:tcPr>
          <w:p w14:paraId="06723CCF">
            <w:pPr>
              <w:spacing w:line="560" w:lineRule="exact"/>
              <w:jc w:val="center"/>
              <w:rPr>
                <w:rFonts w:ascii="仿宋_GB2312" w:eastAsia="仿宋" w:cs="宋体"/>
                <w:sz w:val="32"/>
              </w:rPr>
            </w:pPr>
          </w:p>
        </w:tc>
        <w:tc>
          <w:tcPr>
            <w:tcW w:w="527" w:type="pct"/>
            <w:tcBorders>
              <w:top w:val="nil"/>
              <w:left w:val="nil"/>
              <w:bottom w:val="single" w:color="auto" w:sz="8" w:space="0"/>
              <w:right w:val="single" w:color="auto" w:sz="8" w:space="0"/>
            </w:tcBorders>
            <w:shd w:val="clear" w:color="auto" w:fill="auto"/>
            <w:vAlign w:val="center"/>
          </w:tcPr>
          <w:p w14:paraId="71DB789A">
            <w:pPr>
              <w:spacing w:line="560" w:lineRule="exact"/>
              <w:jc w:val="center"/>
              <w:rPr>
                <w:rFonts w:ascii="仿宋_GB2312" w:eastAsia="仿宋" w:cs="宋体"/>
                <w:sz w:val="32"/>
              </w:rPr>
            </w:pPr>
            <w:r>
              <w:rPr>
                <w:rFonts w:ascii="仿宋_GB2312" w:eastAsia="仿宋" w:cs="宋体"/>
                <w:sz w:val="32"/>
              </w:rPr>
              <w:t>1</w:t>
            </w:r>
          </w:p>
        </w:tc>
      </w:tr>
      <w:tr w14:paraId="3A1479E9">
        <w:tblPrEx>
          <w:tblCellMar>
            <w:top w:w="0" w:type="dxa"/>
            <w:left w:w="108" w:type="dxa"/>
            <w:bottom w:w="0" w:type="dxa"/>
            <w:right w:w="108" w:type="dxa"/>
          </w:tblCellMar>
        </w:tblPrEx>
        <w:trPr>
          <w:trHeight w:val="290" w:hRule="atLeast"/>
        </w:trPr>
        <w:tc>
          <w:tcPr>
            <w:tcW w:w="530" w:type="pct"/>
            <w:tcBorders>
              <w:top w:val="nil"/>
              <w:left w:val="single" w:color="auto" w:sz="8" w:space="0"/>
              <w:bottom w:val="single" w:color="auto" w:sz="8" w:space="0"/>
              <w:right w:val="single" w:color="auto" w:sz="8" w:space="0"/>
            </w:tcBorders>
            <w:shd w:val="clear" w:color="auto" w:fill="auto"/>
            <w:vAlign w:val="center"/>
          </w:tcPr>
          <w:p w14:paraId="424472A8">
            <w:pPr>
              <w:spacing w:line="560" w:lineRule="exact"/>
              <w:jc w:val="center"/>
              <w:rPr>
                <w:rFonts w:ascii="仿宋_GB2312" w:eastAsia="仿宋" w:cs="宋体"/>
                <w:sz w:val="32"/>
              </w:rPr>
            </w:pPr>
            <w:r>
              <w:rPr>
                <w:rFonts w:ascii="仿宋_GB2312" w:eastAsia="仿宋" w:cs="宋体"/>
                <w:sz w:val="32"/>
              </w:rPr>
              <w:t>　</w:t>
            </w:r>
          </w:p>
        </w:tc>
        <w:tc>
          <w:tcPr>
            <w:tcW w:w="1823" w:type="pct"/>
            <w:tcBorders>
              <w:top w:val="nil"/>
              <w:left w:val="nil"/>
              <w:bottom w:val="single" w:color="auto" w:sz="8" w:space="0"/>
              <w:right w:val="single" w:color="auto" w:sz="8" w:space="0"/>
            </w:tcBorders>
            <w:shd w:val="clear" w:color="auto" w:fill="auto"/>
            <w:vAlign w:val="center"/>
          </w:tcPr>
          <w:p w14:paraId="67C6877E">
            <w:pPr>
              <w:spacing w:line="560" w:lineRule="exact"/>
              <w:jc w:val="center"/>
              <w:rPr>
                <w:rFonts w:ascii="仿宋_GB2312" w:eastAsia="仿宋" w:cs="宋体"/>
                <w:sz w:val="32"/>
              </w:rPr>
            </w:pPr>
            <w:r>
              <w:rPr>
                <w:rFonts w:ascii="仿宋_GB2312" w:eastAsia="仿宋" w:cs="宋体"/>
                <w:sz w:val="32"/>
              </w:rPr>
              <w:t>合计</w:t>
            </w:r>
          </w:p>
        </w:tc>
        <w:tc>
          <w:tcPr>
            <w:tcW w:w="530" w:type="pct"/>
            <w:tcBorders>
              <w:top w:val="nil"/>
              <w:left w:val="nil"/>
              <w:bottom w:val="single" w:color="auto" w:sz="8" w:space="0"/>
              <w:right w:val="single" w:color="auto" w:sz="8" w:space="0"/>
            </w:tcBorders>
            <w:shd w:val="clear" w:color="auto" w:fill="auto"/>
            <w:vAlign w:val="center"/>
          </w:tcPr>
          <w:p w14:paraId="695DDA5B">
            <w:pPr>
              <w:spacing w:line="560" w:lineRule="exact"/>
              <w:jc w:val="center"/>
              <w:rPr>
                <w:rFonts w:ascii="仿宋_GB2312" w:eastAsia="仿宋" w:cs="宋体"/>
                <w:sz w:val="32"/>
              </w:rPr>
            </w:pPr>
            <w:r>
              <w:rPr>
                <w:rFonts w:ascii="仿宋_GB2312" w:eastAsia="仿宋" w:cs="宋体"/>
                <w:sz w:val="32"/>
              </w:rPr>
              <w:t>258</w:t>
            </w:r>
          </w:p>
        </w:tc>
        <w:tc>
          <w:tcPr>
            <w:tcW w:w="530" w:type="pct"/>
            <w:tcBorders>
              <w:top w:val="nil"/>
              <w:left w:val="nil"/>
              <w:bottom w:val="single" w:color="auto" w:sz="8" w:space="0"/>
              <w:right w:val="single" w:color="auto" w:sz="8" w:space="0"/>
            </w:tcBorders>
            <w:shd w:val="clear" w:color="auto" w:fill="auto"/>
            <w:vAlign w:val="center"/>
          </w:tcPr>
          <w:p w14:paraId="515439DB">
            <w:pPr>
              <w:spacing w:line="560" w:lineRule="exact"/>
              <w:jc w:val="center"/>
              <w:rPr>
                <w:rFonts w:ascii="仿宋_GB2312" w:eastAsia="仿宋" w:cs="宋体"/>
                <w:sz w:val="32"/>
              </w:rPr>
            </w:pPr>
            <w:r>
              <w:rPr>
                <w:rFonts w:ascii="仿宋_GB2312" w:eastAsia="仿宋" w:cs="宋体"/>
                <w:sz w:val="32"/>
              </w:rPr>
              <w:t>0</w:t>
            </w:r>
          </w:p>
        </w:tc>
        <w:tc>
          <w:tcPr>
            <w:tcW w:w="530" w:type="pct"/>
            <w:tcBorders>
              <w:top w:val="nil"/>
              <w:left w:val="nil"/>
              <w:bottom w:val="single" w:color="auto" w:sz="8" w:space="0"/>
              <w:right w:val="single" w:color="auto" w:sz="8" w:space="0"/>
            </w:tcBorders>
            <w:shd w:val="clear" w:color="auto" w:fill="auto"/>
            <w:vAlign w:val="center"/>
          </w:tcPr>
          <w:p w14:paraId="0268C54D">
            <w:pPr>
              <w:spacing w:line="560" w:lineRule="exact"/>
              <w:jc w:val="center"/>
              <w:rPr>
                <w:rFonts w:ascii="仿宋_GB2312" w:eastAsia="仿宋" w:cs="宋体"/>
                <w:sz w:val="32"/>
              </w:rPr>
            </w:pPr>
            <w:r>
              <w:rPr>
                <w:rFonts w:ascii="仿宋_GB2312" w:eastAsia="仿宋" w:cs="宋体"/>
                <w:sz w:val="32"/>
              </w:rPr>
              <w:t>0</w:t>
            </w:r>
          </w:p>
        </w:tc>
        <w:tc>
          <w:tcPr>
            <w:tcW w:w="530" w:type="pct"/>
            <w:tcBorders>
              <w:top w:val="nil"/>
              <w:left w:val="nil"/>
              <w:bottom w:val="single" w:color="auto" w:sz="8" w:space="0"/>
              <w:right w:val="single" w:color="auto" w:sz="8" w:space="0"/>
            </w:tcBorders>
            <w:shd w:val="clear" w:color="auto" w:fill="auto"/>
            <w:vAlign w:val="center"/>
          </w:tcPr>
          <w:p w14:paraId="04855004">
            <w:pPr>
              <w:spacing w:line="560" w:lineRule="exact"/>
              <w:jc w:val="center"/>
              <w:rPr>
                <w:rFonts w:ascii="仿宋_GB2312" w:eastAsia="仿宋" w:cs="宋体"/>
                <w:sz w:val="32"/>
              </w:rPr>
            </w:pPr>
          </w:p>
        </w:tc>
        <w:tc>
          <w:tcPr>
            <w:tcW w:w="527" w:type="pct"/>
            <w:tcBorders>
              <w:top w:val="nil"/>
              <w:left w:val="nil"/>
              <w:bottom w:val="single" w:color="auto" w:sz="8" w:space="0"/>
              <w:right w:val="single" w:color="auto" w:sz="8" w:space="0"/>
            </w:tcBorders>
            <w:shd w:val="clear" w:color="auto" w:fill="auto"/>
            <w:vAlign w:val="center"/>
          </w:tcPr>
          <w:p w14:paraId="593CBB2E">
            <w:pPr>
              <w:spacing w:line="560" w:lineRule="exact"/>
              <w:jc w:val="center"/>
              <w:rPr>
                <w:rFonts w:ascii="仿宋_GB2312" w:eastAsia="仿宋" w:cs="宋体"/>
                <w:sz w:val="32"/>
              </w:rPr>
            </w:pPr>
            <w:r>
              <w:rPr>
                <w:rFonts w:ascii="仿宋_GB2312" w:eastAsia="仿宋" w:cs="宋体"/>
                <w:sz w:val="32"/>
              </w:rPr>
              <w:t>2</w:t>
            </w:r>
          </w:p>
        </w:tc>
      </w:tr>
    </w:tbl>
    <w:p w14:paraId="07C96FC7">
      <w:pPr>
        <w:pStyle w:val="2"/>
        <w:spacing w:before="156" w:after="156" w:line="560" w:lineRule="exact"/>
        <w:ind w:firstLine="640"/>
        <w:rPr>
          <w:rFonts w:eastAsia="仿宋"/>
          <w:b w:val="0"/>
          <w:sz w:val="32"/>
          <w:szCs w:val="30"/>
        </w:rPr>
      </w:pPr>
      <w:bookmarkStart w:id="49" w:name="_Toc22535"/>
      <w:bookmarkStart w:id="50" w:name="_Toc897"/>
      <w:r>
        <w:rPr>
          <w:rFonts w:hint="eastAsia" w:eastAsia="仿宋"/>
          <w:b w:val="0"/>
          <w:sz w:val="32"/>
          <w:szCs w:val="30"/>
        </w:rPr>
        <w:t>四、</w:t>
      </w:r>
      <w:bookmarkEnd w:id="49"/>
      <w:r>
        <w:rPr>
          <w:rFonts w:hint="eastAsia" w:eastAsia="仿宋"/>
          <w:b w:val="0"/>
          <w:sz w:val="32"/>
          <w:szCs w:val="30"/>
        </w:rPr>
        <w:t>存在的问题和建议</w:t>
      </w:r>
      <w:bookmarkEnd w:id="50"/>
    </w:p>
    <w:p w14:paraId="1E919856">
      <w:pPr>
        <w:pStyle w:val="40"/>
        <w:spacing w:before="156" w:after="156" w:line="560" w:lineRule="exact"/>
        <w:ind w:firstLine="640"/>
        <w:rPr>
          <w:rFonts w:eastAsia="仿宋"/>
          <w:b w:val="0"/>
          <w:color w:val="auto"/>
          <w:sz w:val="32"/>
        </w:rPr>
      </w:pPr>
      <w:bookmarkStart w:id="51" w:name="_Toc29659"/>
      <w:r>
        <w:rPr>
          <w:rFonts w:hint="eastAsia" w:eastAsia="仿宋"/>
          <w:b w:val="0"/>
          <w:color w:val="auto"/>
          <w:sz w:val="32"/>
        </w:rPr>
        <w:t>（一）项目支出</w:t>
      </w:r>
      <w:bookmarkEnd w:id="51"/>
    </w:p>
    <w:p w14:paraId="2B4F3192">
      <w:pPr>
        <w:spacing w:line="560" w:lineRule="exact"/>
        <w:ind w:firstLine="562"/>
        <w:rPr>
          <w:rFonts w:hint="eastAsia" w:ascii="仿宋_GB2312" w:hAnsi="宋体" w:eastAsia="仿宋" w:cs="仿宋_GB2312"/>
          <w:bCs/>
          <w:sz w:val="32"/>
          <w:szCs w:val="28"/>
          <w:lang w:bidi="ar"/>
        </w:rPr>
      </w:pPr>
      <w:bookmarkStart w:id="52" w:name="_Toc29566"/>
      <w:r>
        <w:rPr>
          <w:rFonts w:hint="eastAsia" w:ascii="仿宋_GB2312" w:hAnsi="宋体" w:eastAsia="仿宋" w:cs="仿宋_GB2312"/>
          <w:bCs/>
          <w:sz w:val="32"/>
          <w:szCs w:val="28"/>
          <w:lang w:bidi="ar"/>
        </w:rPr>
        <w:t>1、挤占专项资金</w:t>
      </w:r>
    </w:p>
    <w:p w14:paraId="251903FF">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涉及项目：马尔康市公用事业管理局2018年第四批新增地方政府债券资金（2018年新型城镇化建设），其他项目误使用该项目资金16</w:t>
      </w:r>
      <w:r>
        <w:rPr>
          <w:rFonts w:ascii="仿宋_GB2312" w:hAnsi="宋体" w:eastAsia="仿宋" w:cs="仿宋_GB2312"/>
          <w:sz w:val="32"/>
          <w:szCs w:val="28"/>
          <w:lang w:bidi="ar"/>
        </w:rPr>
        <w:t>.</w:t>
      </w:r>
      <w:r>
        <w:rPr>
          <w:rFonts w:hint="eastAsia" w:ascii="仿宋_GB2312" w:hAnsi="宋体" w:eastAsia="仿宋" w:cs="仿宋_GB2312"/>
          <w:sz w:val="32"/>
          <w:szCs w:val="28"/>
          <w:lang w:bidi="ar"/>
        </w:rPr>
        <w:t>91万元。</w:t>
      </w:r>
    </w:p>
    <w:p w14:paraId="21178B20">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2、</w:t>
      </w:r>
      <w:r>
        <w:rPr>
          <w:rFonts w:hint="eastAsia" w:ascii="仿宋_GB2312" w:hAnsi="宋体" w:eastAsia="仿宋" w:cs="仿宋_GB2312"/>
          <w:bCs/>
          <w:sz w:val="32"/>
          <w:szCs w:val="28"/>
          <w:lang w:bidi="ar"/>
        </w:rPr>
        <w:tab/>
      </w:r>
      <w:r>
        <w:rPr>
          <w:rFonts w:hint="eastAsia" w:ascii="仿宋_GB2312" w:hAnsi="宋体" w:eastAsia="仿宋" w:cs="仿宋_GB2312"/>
          <w:bCs/>
          <w:sz w:val="32"/>
          <w:szCs w:val="28"/>
          <w:lang w:bidi="ar"/>
        </w:rPr>
        <w:t>未按照招标文件或中标通知书规定时间签订合同、在中标通知书发出之前签订合同</w:t>
      </w:r>
    </w:p>
    <w:p w14:paraId="064E50B8">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市住建局城市设计项目、马尔康市教育局采购第四小学会议室办公设备及学生生活设备项目、马尔康市公用事业管理局2018年第四批新增地方政府债券资金（2018年新型城镇化建设）项目、梭磨乡乡村振兴资金-梭磨乡毛木初村圈舍建设工程。</w:t>
      </w:r>
    </w:p>
    <w:p w14:paraId="0CA112CC">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3、未按照招投标核准意见规定招标</w:t>
      </w:r>
    </w:p>
    <w:p w14:paraId="5906A949">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涉及项目：市交通局跨河大桥项目、马尔康市教育局向木尔宗乡中心校教师周转宿舍建设项目。</w:t>
      </w:r>
    </w:p>
    <w:p w14:paraId="20E47A0A">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4、实际开工时间早于监理开工令发出时间</w:t>
      </w:r>
    </w:p>
    <w:p w14:paraId="110A38B3">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涉及项目：市交通局党坝乡地拉秋村跨河大桥项目。</w:t>
      </w:r>
    </w:p>
    <w:p w14:paraId="7B2A386D">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5、</w:t>
      </w:r>
      <w:r>
        <w:rPr>
          <w:rFonts w:hint="eastAsia" w:ascii="仿宋_GB2312" w:hAnsi="宋体" w:eastAsia="仿宋" w:cs="仿宋_GB2312"/>
          <w:bCs/>
          <w:sz w:val="32"/>
          <w:szCs w:val="28"/>
          <w:lang w:bidi="ar"/>
        </w:rPr>
        <w:tab/>
      </w:r>
      <w:r>
        <w:rPr>
          <w:rFonts w:hint="eastAsia" w:ascii="仿宋_GB2312" w:hAnsi="宋体" w:eastAsia="仿宋" w:cs="仿宋_GB2312"/>
          <w:bCs/>
          <w:sz w:val="32"/>
          <w:szCs w:val="28"/>
          <w:lang w:bidi="ar"/>
        </w:rPr>
        <w:t>项目未按预期进度完工</w:t>
      </w:r>
    </w:p>
    <w:p w14:paraId="2F489C7E">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涉及项目：阿底村防洪堤综合治理工程、马尔康市融媒体中心建设建设项目。</w:t>
      </w:r>
    </w:p>
    <w:p w14:paraId="0464446F">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6、合同签订不规范，如：合同签订时间在项目实施之后、合同内容前后矛盾、合同签订时间晚于项目开始日期、</w:t>
      </w:r>
    </w:p>
    <w:p w14:paraId="6342525B">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自然资源局地质灾害综合防治体系建设避险搬迁安置项目、中共马尔康市委员会宣传部市融媒体中心建设项目、马尔康市教育局向木尔宗乡中心校教师周转宿舍建设项目、马尔康市住建局城市设计项目。</w:t>
      </w:r>
    </w:p>
    <w:p w14:paraId="4A3DC8DE">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7、合同在采购完成后签订</w:t>
      </w:r>
    </w:p>
    <w:p w14:paraId="51A5B59C">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涉及项目：中共马尔康市委员会宣传部2019年第八届嘉绒锅庄文化旅游节项目。</w:t>
      </w:r>
    </w:p>
    <w:p w14:paraId="214E0033">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8、项目验收手续不全</w:t>
      </w:r>
    </w:p>
    <w:p w14:paraId="5FFF0465">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涉及项目：中共马尔康市委员会宣传部第八届加绒锅庄文化旅游节项目、马尔康市公用事业管理局2018年第四批新增地方政府债券资金（2018年新型城镇化建设）项目。</w:t>
      </w:r>
    </w:p>
    <w:p w14:paraId="00EFFCDE">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9、项目完工后未及时正常运营，项目效果一般</w:t>
      </w:r>
    </w:p>
    <w:p w14:paraId="79782F6D">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涉及项目：马尔康嘉绒投资有限责任公司松岗天街配套基础设施建设项目。</w:t>
      </w:r>
    </w:p>
    <w:p w14:paraId="469F6946">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0</w:t>
      </w:r>
      <w:r>
        <w:rPr>
          <w:rFonts w:hint="eastAsia" w:ascii="仿宋_GB2312" w:hAnsi="宋体" w:eastAsia="仿宋" w:cs="仿宋_GB2312"/>
          <w:bCs/>
          <w:sz w:val="32"/>
          <w:szCs w:val="28"/>
          <w:lang w:bidi="ar"/>
        </w:rPr>
        <w:t>、项目投资履行变更程序滞后</w:t>
      </w:r>
    </w:p>
    <w:p w14:paraId="422F0732">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涉及项目：马尔康嘉绒投资公司松岗天街配套基础设施建设项目。</w:t>
      </w:r>
    </w:p>
    <w:p w14:paraId="7116EF7E">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1</w:t>
      </w:r>
      <w:r>
        <w:rPr>
          <w:rFonts w:hint="eastAsia" w:ascii="仿宋_GB2312" w:hAnsi="宋体" w:eastAsia="仿宋" w:cs="仿宋_GB2312"/>
          <w:bCs/>
          <w:sz w:val="32"/>
          <w:szCs w:val="28"/>
          <w:lang w:bidi="ar"/>
        </w:rPr>
        <w:t>、审批签字手续不全</w:t>
      </w:r>
    </w:p>
    <w:p w14:paraId="5B093D4F">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涉及项目：住建局阿底村防洪堤项目、中共马尔康市委员会宣传部第八届嘉绒锅庄文化旅游节项目、马尔康嘉绒投资公司松岗柯盘天街配套基础设施建设及景区打造项目。</w:t>
      </w:r>
    </w:p>
    <w:p w14:paraId="4CE0263A">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2</w:t>
      </w:r>
      <w:r>
        <w:rPr>
          <w:rFonts w:hint="eastAsia" w:ascii="仿宋_GB2312" w:hAnsi="宋体" w:eastAsia="仿宋" w:cs="仿宋_GB2312"/>
          <w:bCs/>
          <w:sz w:val="32"/>
          <w:szCs w:val="28"/>
          <w:lang w:bidi="ar"/>
        </w:rPr>
        <w:t>、项目报销发票抬头非本单位、发票未盖章</w:t>
      </w:r>
    </w:p>
    <w:p w14:paraId="38604225">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涉及项目：中共马尔康市委员会宣传部第八届嘉绒锅庄文化旅游节项目。</w:t>
      </w:r>
    </w:p>
    <w:p w14:paraId="79CCE773">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3</w:t>
      </w:r>
      <w:r>
        <w:rPr>
          <w:rFonts w:hint="eastAsia" w:ascii="仿宋_GB2312" w:hAnsi="宋体" w:eastAsia="仿宋" w:cs="仿宋_GB2312"/>
          <w:bCs/>
          <w:sz w:val="32"/>
          <w:szCs w:val="28"/>
          <w:lang w:bidi="ar"/>
        </w:rPr>
        <w:t>、未按合同约定扣工程质保金</w:t>
      </w:r>
    </w:p>
    <w:p w14:paraId="73D9FD02">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涉及项目：梭磨乡人民政府2019年乡村振兴资金-毛木初村村容村貌提升工程。</w:t>
      </w:r>
    </w:p>
    <w:p w14:paraId="7BA848BB">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4</w:t>
      </w:r>
      <w:r>
        <w:rPr>
          <w:rFonts w:hint="eastAsia" w:ascii="仿宋_GB2312" w:hAnsi="宋体" w:eastAsia="仿宋" w:cs="仿宋_GB2312"/>
          <w:bCs/>
          <w:sz w:val="32"/>
          <w:szCs w:val="28"/>
          <w:lang w:bidi="ar"/>
        </w:rPr>
        <w:t>、项目完成质量不达标</w:t>
      </w:r>
    </w:p>
    <w:p w14:paraId="70323A6C">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涉及项目：市林草局重要道路绿化及城区绿化提升项目。</w:t>
      </w:r>
    </w:p>
    <w:p w14:paraId="1781156A">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5</w:t>
      </w:r>
      <w:r>
        <w:rPr>
          <w:rFonts w:hint="eastAsia" w:ascii="仿宋_GB2312" w:hAnsi="宋体" w:eastAsia="仿宋" w:cs="仿宋_GB2312"/>
          <w:bCs/>
          <w:sz w:val="32"/>
          <w:szCs w:val="28"/>
          <w:lang w:bidi="ar"/>
        </w:rPr>
        <w:t>、项目资金分配未体现资金性质，分配不合理</w:t>
      </w:r>
    </w:p>
    <w:p w14:paraId="7D03DFE6">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涉及项目：市林草局重要道路绿化及城区绿化提升项目。</w:t>
      </w:r>
    </w:p>
    <w:p w14:paraId="02A0E158">
      <w:pPr>
        <w:spacing w:line="560" w:lineRule="exact"/>
        <w:ind w:firstLine="562"/>
        <w:rPr>
          <w:rFonts w:hint="eastAsia" w:ascii="仿宋_GB2312" w:hAnsi="宋体" w:eastAsia="仿宋" w:cs="仿宋_GB2312"/>
          <w:bCs/>
          <w:sz w:val="32"/>
          <w:szCs w:val="28"/>
          <w:lang w:bidi="ar"/>
        </w:rPr>
      </w:pPr>
      <w:r>
        <w:rPr>
          <w:rFonts w:ascii="仿宋_GB2312" w:hAnsi="宋体" w:eastAsia="仿宋" w:cs="仿宋_GB2312"/>
          <w:bCs/>
          <w:sz w:val="32"/>
          <w:szCs w:val="28"/>
          <w:lang w:bidi="ar"/>
        </w:rPr>
        <w:t>16</w:t>
      </w:r>
      <w:r>
        <w:rPr>
          <w:rFonts w:hint="eastAsia" w:ascii="仿宋_GB2312" w:hAnsi="宋体" w:eastAsia="仿宋" w:cs="仿宋_GB2312"/>
          <w:bCs/>
          <w:sz w:val="32"/>
          <w:szCs w:val="28"/>
          <w:lang w:bidi="ar"/>
        </w:rPr>
        <w:t>、项目完工验收无对工程量的验收，无法核实完工工程量与实施方案批复内容相符</w:t>
      </w:r>
    </w:p>
    <w:p w14:paraId="3204B553">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涉及项目：乡村振兴项目。</w:t>
      </w:r>
    </w:p>
    <w:p w14:paraId="103ADD46">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7</w:t>
      </w:r>
      <w:r>
        <w:rPr>
          <w:rFonts w:hint="eastAsia" w:ascii="仿宋_GB2312" w:hAnsi="宋体" w:eastAsia="仿宋" w:cs="仿宋_GB2312"/>
          <w:bCs/>
          <w:sz w:val="32"/>
          <w:szCs w:val="28"/>
          <w:lang w:bidi="ar"/>
        </w:rPr>
        <w:t>、未进行可行性论证</w:t>
      </w:r>
    </w:p>
    <w:p w14:paraId="3E7A88BB">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涉及项目：市交通局党坝乡地拉秋村跨河大桥、梭磨乡人民政府乡村振兴项目-毛木初村污水管网改造项目。</w:t>
      </w:r>
    </w:p>
    <w:p w14:paraId="3C47D115">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8</w:t>
      </w:r>
      <w:r>
        <w:rPr>
          <w:rFonts w:hint="eastAsia" w:ascii="仿宋_GB2312" w:hAnsi="宋体" w:eastAsia="仿宋" w:cs="仿宋_GB2312"/>
          <w:bCs/>
          <w:sz w:val="32"/>
          <w:szCs w:val="28"/>
          <w:lang w:bidi="ar"/>
        </w:rPr>
        <w:t>、项目实施前未设置绩效目标</w:t>
      </w:r>
    </w:p>
    <w:p w14:paraId="63C8C960">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松岗天街配套基础设施建设项目、马尔康市融媒体中心建设建设项目、2019年革命老区转移支付项目、市文体旅局松岗镇松岗村旅游综合服务设施项目、松岗柯盘天街景区标识标牌制作和安装项目、市发改局粮食低温库项目、市公服中心夜景照明工程、马尔康市公用事业管理局2018年第四批新增地方政府债券资金（2018年新型城镇化建设）项目、市住建局城市设计项目、市林草局重要道路绿化及城区绿化提升项目、乡村振兴项目。</w:t>
      </w:r>
    </w:p>
    <w:p w14:paraId="1471E8BF">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9</w:t>
      </w:r>
      <w:r>
        <w:rPr>
          <w:rFonts w:hint="eastAsia" w:ascii="仿宋_GB2312" w:hAnsi="宋体" w:eastAsia="仿宋" w:cs="仿宋_GB2312"/>
          <w:bCs/>
          <w:sz w:val="32"/>
          <w:szCs w:val="28"/>
          <w:lang w:bidi="ar"/>
        </w:rPr>
        <w:t>、</w:t>
      </w:r>
      <w:r>
        <w:rPr>
          <w:rFonts w:hint="eastAsia" w:ascii="仿宋_GB2312" w:hAnsi="宋体" w:eastAsia="仿宋" w:cs="仿宋_GB2312"/>
          <w:bCs/>
          <w:sz w:val="32"/>
          <w:szCs w:val="28"/>
          <w:lang w:bidi="ar"/>
        </w:rPr>
        <w:tab/>
      </w:r>
      <w:r>
        <w:rPr>
          <w:rFonts w:hint="eastAsia" w:ascii="仿宋_GB2312" w:hAnsi="宋体" w:eastAsia="仿宋" w:cs="仿宋_GB2312"/>
          <w:bCs/>
          <w:sz w:val="32"/>
          <w:szCs w:val="28"/>
          <w:lang w:bidi="ar"/>
        </w:rPr>
        <w:t>项目实施进度缓慢，资金使用不及时</w:t>
      </w:r>
    </w:p>
    <w:p w14:paraId="3E5DB10B">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市自然资源局2019年地质灾害综合防治体系建设项目、、卓克基人民政府2019年革命老区转移支付项目、松岗柯盘天街景区标识标牌制作和安装项目、市交通局彩票公益金项目、市农牧局草原防灭火项目、市公安局看守拘留所建设项目、市发改局粮食低温储备库建设项目、马尔康市教育局木尔宗乡中心校教师周转房建设项目、市住建局城市设计项目、马尔康市人民医院热水系统（太阳能）项目、松岗天街配套基础设施建设项目、乡村振兴项目-马尔康市松岗村、直波村生活污水处理厂及配套管网建设项目。</w:t>
      </w:r>
    </w:p>
    <w:p w14:paraId="4D72F473">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2</w:t>
      </w:r>
      <w:r>
        <w:rPr>
          <w:rFonts w:ascii="仿宋_GB2312" w:hAnsi="宋体" w:eastAsia="仿宋" w:cs="仿宋_GB2312"/>
          <w:bCs/>
          <w:sz w:val="32"/>
          <w:szCs w:val="28"/>
          <w:lang w:bidi="ar"/>
        </w:rPr>
        <w:t>0</w:t>
      </w:r>
      <w:r>
        <w:rPr>
          <w:rFonts w:hint="eastAsia" w:ascii="仿宋_GB2312" w:hAnsi="宋体" w:eastAsia="仿宋" w:cs="仿宋_GB2312"/>
          <w:bCs/>
          <w:sz w:val="32"/>
          <w:szCs w:val="28"/>
          <w:lang w:bidi="ar"/>
        </w:rPr>
        <w:t>、违规将施工单位质保金转入单位开设账户</w:t>
      </w:r>
    </w:p>
    <w:p w14:paraId="301B35EE">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涉及项目：市文体旅局松岗柯盘天街景区标识标牌制作和安装项目。</w:t>
      </w:r>
    </w:p>
    <w:p w14:paraId="009382F7">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2</w:t>
      </w:r>
      <w:r>
        <w:rPr>
          <w:rFonts w:ascii="仿宋_GB2312" w:hAnsi="宋体" w:eastAsia="仿宋" w:cs="仿宋_GB2312"/>
          <w:bCs/>
          <w:sz w:val="32"/>
          <w:szCs w:val="28"/>
          <w:lang w:bidi="ar"/>
        </w:rPr>
        <w:t>1</w:t>
      </w:r>
      <w:r>
        <w:rPr>
          <w:rFonts w:hint="eastAsia" w:ascii="仿宋_GB2312" w:hAnsi="宋体" w:eastAsia="仿宋" w:cs="仿宋_GB2312"/>
          <w:bCs/>
          <w:sz w:val="32"/>
          <w:szCs w:val="28"/>
          <w:lang w:bidi="ar"/>
        </w:rPr>
        <w:t>、项目资料保管不善</w:t>
      </w:r>
    </w:p>
    <w:p w14:paraId="27278145">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涉及项目：市文体旅局松岗镇松岗村旅游综合服务设施项目-松岗村村容村貌提升及文化创意打造采购项目。</w:t>
      </w:r>
    </w:p>
    <w:p w14:paraId="1AEFD48A">
      <w:pPr>
        <w:pStyle w:val="40"/>
        <w:spacing w:before="156" w:after="156" w:line="560" w:lineRule="exact"/>
        <w:ind w:firstLine="640"/>
        <w:rPr>
          <w:rFonts w:eastAsia="仿宋"/>
          <w:b w:val="0"/>
          <w:color w:val="auto"/>
          <w:sz w:val="32"/>
        </w:rPr>
      </w:pPr>
      <w:r>
        <w:rPr>
          <w:rFonts w:hint="eastAsia" w:eastAsia="仿宋"/>
          <w:b w:val="0"/>
          <w:color w:val="auto"/>
          <w:sz w:val="32"/>
        </w:rPr>
        <w:t>2、部门整体支出</w:t>
      </w:r>
      <w:bookmarkEnd w:id="52"/>
    </w:p>
    <w:p w14:paraId="7931A19D">
      <w:pPr>
        <w:pStyle w:val="40"/>
        <w:spacing w:before="156" w:after="156" w:line="560" w:lineRule="exact"/>
        <w:ind w:firstLine="640"/>
        <w:rPr>
          <w:rFonts w:ascii="仿宋_GB2312" w:hAnsi="仿宋_GB2312" w:eastAsia="仿宋" w:cs="仿宋_GB2312"/>
          <w:b w:val="0"/>
          <w:color w:val="auto"/>
          <w:sz w:val="32"/>
          <w:szCs w:val="28"/>
        </w:rPr>
      </w:pPr>
      <w:bookmarkStart w:id="53" w:name="_Toc22138"/>
      <w:bookmarkStart w:id="54" w:name="_Hlk57767841"/>
      <w:r>
        <w:rPr>
          <w:rFonts w:hint="eastAsia" w:ascii="仿宋_GB2312" w:hAnsi="仿宋_GB2312" w:eastAsia="仿宋" w:cs="仿宋_GB2312"/>
          <w:b w:val="0"/>
          <w:color w:val="auto"/>
          <w:sz w:val="32"/>
          <w:szCs w:val="28"/>
        </w:rPr>
        <w:t>——预算编制不准确</w:t>
      </w:r>
      <w:bookmarkEnd w:id="53"/>
    </w:p>
    <w:p w14:paraId="1A2B9069">
      <w:pPr>
        <w:spacing w:line="560" w:lineRule="exact"/>
        <w:ind w:firstLine="562"/>
        <w:rPr>
          <w:rFonts w:ascii="仿宋_GB2312" w:hAnsi="宋体" w:eastAsia="仿宋" w:cs="仿宋_GB2312"/>
          <w:sz w:val="32"/>
          <w:szCs w:val="28"/>
          <w:lang w:bidi="ar"/>
        </w:rPr>
      </w:pPr>
      <w:r>
        <w:rPr>
          <w:rFonts w:hint="eastAsia" w:ascii="仿宋_GB2312" w:hAnsi="宋体" w:eastAsia="仿宋" w:cs="宋体"/>
          <w:bCs/>
          <w:sz w:val="32"/>
          <w:szCs w:val="28"/>
          <w:shd w:val="clear" w:color="auto" w:fill="FFFFFF"/>
        </w:rPr>
        <w:t>涉及部门：</w:t>
      </w:r>
      <w:r>
        <w:rPr>
          <w:rFonts w:hint="eastAsia" w:ascii="仿宋_GB2312" w:hAnsi="宋体" w:eastAsia="仿宋" w:cs="仿宋_GB2312"/>
          <w:sz w:val="32"/>
          <w:szCs w:val="28"/>
          <w:lang w:bidi="ar"/>
        </w:rPr>
        <w:t>马尔康市人民法院、马尔康市生态环境局、马尔康市经信局、马尔康市住房和城乡建设局、马尔康市卫生健康局、马尔康市林业和草原局、马尔康市松岗镇人民政府、马尔康市人民检察院</w:t>
      </w:r>
    </w:p>
    <w:p w14:paraId="512A8C75">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我们的意见和建议：</w:t>
      </w:r>
      <w:r>
        <w:rPr>
          <w:rFonts w:hint="eastAsia" w:ascii="仿宋_GB2312" w:hAnsi="宋体" w:eastAsia="仿宋" w:cs="仿宋_GB2312"/>
          <w:sz w:val="32"/>
          <w:szCs w:val="28"/>
          <w:lang w:bidi="ar"/>
        </w:rPr>
        <w:t>建议被评价单位强化预算约束、建立节约意识、从严从紧编制预算、实事求是、精打细算、合理安排资金。</w:t>
      </w:r>
    </w:p>
    <w:p w14:paraId="6E6D76F8">
      <w:pPr>
        <w:pStyle w:val="40"/>
        <w:spacing w:before="156" w:after="156" w:line="560" w:lineRule="exact"/>
        <w:ind w:firstLine="640"/>
        <w:rPr>
          <w:rFonts w:ascii="仿宋_GB2312" w:hAnsi="仿宋_GB2312" w:eastAsia="仿宋" w:cs="仿宋_GB2312"/>
          <w:b w:val="0"/>
          <w:color w:val="auto"/>
          <w:sz w:val="32"/>
          <w:szCs w:val="28"/>
        </w:rPr>
      </w:pPr>
      <w:bookmarkStart w:id="55" w:name="_Toc18632"/>
      <w:r>
        <w:rPr>
          <w:rFonts w:hint="eastAsia" w:ascii="仿宋_GB2312" w:hAnsi="仿宋_GB2312" w:eastAsia="仿宋" w:cs="仿宋_GB2312"/>
          <w:b w:val="0"/>
          <w:color w:val="auto"/>
          <w:sz w:val="32"/>
          <w:szCs w:val="28"/>
        </w:rPr>
        <w:t>——三公经费超预算</w:t>
      </w:r>
      <w:bookmarkEnd w:id="55"/>
    </w:p>
    <w:p w14:paraId="12976F9F">
      <w:pPr>
        <w:spacing w:line="560" w:lineRule="exact"/>
        <w:ind w:firstLine="562"/>
        <w:rPr>
          <w:rFonts w:ascii="仿宋_GB2312" w:hAnsi="宋体" w:eastAsia="仿宋" w:cs="仿宋_GB2312"/>
          <w:sz w:val="32"/>
          <w:szCs w:val="28"/>
          <w:lang w:bidi="ar"/>
        </w:rPr>
      </w:pPr>
      <w:r>
        <w:rPr>
          <w:rFonts w:hint="eastAsia" w:ascii="仿宋_GB2312" w:hAnsi="宋体" w:eastAsia="仿宋" w:cs="宋体"/>
          <w:bCs/>
          <w:sz w:val="32"/>
          <w:szCs w:val="28"/>
          <w:shd w:val="clear" w:color="auto" w:fill="FFFFFF"/>
        </w:rPr>
        <w:t>涉及部门：</w:t>
      </w:r>
      <w:r>
        <w:rPr>
          <w:rFonts w:hint="eastAsia" w:ascii="仿宋_GB2312" w:hAnsi="宋体" w:eastAsia="仿宋" w:cs="仿宋_GB2312"/>
          <w:sz w:val="32"/>
          <w:szCs w:val="28"/>
          <w:lang w:bidi="ar"/>
        </w:rPr>
        <w:t>马尔康市自然资源局、马尔康市经济商务和信息化局、马尔康市公共服务中心</w:t>
      </w:r>
    </w:p>
    <w:p w14:paraId="44EC0908">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我们的意见和建议：</w:t>
      </w:r>
      <w:r>
        <w:rPr>
          <w:rFonts w:hint="eastAsia" w:ascii="仿宋_GB2312" w:hAnsi="宋体" w:eastAsia="仿宋" w:cs="仿宋_GB2312"/>
          <w:sz w:val="32"/>
          <w:szCs w:val="28"/>
          <w:lang w:bidi="ar"/>
        </w:rPr>
        <w:t>被评价单位应严格执行“三公经费”预算；加强财务人员坚持原则的意识，对不符合规定的支出坚决不予报销。</w:t>
      </w:r>
    </w:p>
    <w:p w14:paraId="510424F7">
      <w:pPr>
        <w:pStyle w:val="40"/>
        <w:spacing w:before="156" w:after="156" w:line="560" w:lineRule="exact"/>
        <w:ind w:firstLine="640"/>
        <w:rPr>
          <w:rFonts w:hint="eastAsia" w:ascii="仿宋_GB2312" w:hAnsi="仿宋_GB2312" w:eastAsia="仿宋" w:cs="仿宋_GB2312"/>
          <w:b w:val="0"/>
          <w:color w:val="auto"/>
          <w:sz w:val="32"/>
          <w:szCs w:val="28"/>
        </w:rPr>
      </w:pPr>
      <w:bookmarkStart w:id="56" w:name="_Toc18954"/>
      <w:r>
        <w:rPr>
          <w:rFonts w:hint="eastAsia" w:ascii="仿宋_GB2312" w:hAnsi="仿宋_GB2312" w:eastAsia="仿宋" w:cs="仿宋_GB2312"/>
          <w:b w:val="0"/>
          <w:color w:val="auto"/>
          <w:sz w:val="32"/>
          <w:szCs w:val="28"/>
        </w:rPr>
        <w:t>——账簿数据与资产报表数据不符</w:t>
      </w:r>
      <w:bookmarkEnd w:id="56"/>
    </w:p>
    <w:p w14:paraId="6CC9BCF3">
      <w:pPr>
        <w:spacing w:line="560" w:lineRule="exact"/>
        <w:ind w:firstLine="562"/>
        <w:rPr>
          <w:rFonts w:ascii="仿宋_GB2312" w:hAnsi="宋体" w:eastAsia="仿宋" w:cs="仿宋_GB2312"/>
          <w:sz w:val="32"/>
          <w:szCs w:val="28"/>
          <w:lang w:bidi="ar"/>
        </w:rPr>
      </w:pPr>
      <w:r>
        <w:rPr>
          <w:rFonts w:hint="eastAsia" w:ascii="仿宋_GB2312" w:hAnsi="宋体" w:eastAsia="仿宋" w:cs="宋体"/>
          <w:bCs/>
          <w:sz w:val="32"/>
          <w:szCs w:val="28"/>
          <w:shd w:val="clear" w:color="auto" w:fill="FFFFFF"/>
        </w:rPr>
        <w:t>涉及部门：</w:t>
      </w:r>
      <w:r>
        <w:rPr>
          <w:rFonts w:hint="eastAsia" w:ascii="仿宋_GB2312" w:hAnsi="宋体" w:eastAsia="仿宋" w:cs="仿宋_GB2312"/>
          <w:sz w:val="32"/>
          <w:szCs w:val="28"/>
          <w:lang w:bidi="ar"/>
        </w:rPr>
        <w:t>马尔康市人民法院、马尔康市人民检察院、马尔康市应急管理局、马尔康市卫生健康局、马尔康市林业和草原局、马尔康市松岗镇人民政府</w:t>
      </w:r>
    </w:p>
    <w:p w14:paraId="4AAF9C5C">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我们的意见和建议：</w:t>
      </w:r>
      <w:r>
        <w:rPr>
          <w:rFonts w:hint="eastAsia" w:ascii="仿宋_GB2312" w:hAnsi="宋体" w:eastAsia="仿宋" w:cs="仿宋_GB2312"/>
          <w:sz w:val="32"/>
          <w:szCs w:val="28"/>
          <w:lang w:bidi="ar"/>
        </w:rPr>
        <w:t>建议被评价单位将未登记入会计账簿的固定资产及时入账，确保账实相符。</w:t>
      </w:r>
    </w:p>
    <w:p w14:paraId="0BEEAF91">
      <w:pPr>
        <w:pStyle w:val="40"/>
        <w:spacing w:before="156" w:after="156" w:line="560" w:lineRule="exact"/>
        <w:ind w:firstLine="640"/>
        <w:rPr>
          <w:rFonts w:hint="eastAsia" w:ascii="仿宋_GB2312" w:hAnsi="仿宋_GB2312" w:eastAsia="仿宋" w:cs="仿宋_GB2312"/>
          <w:b w:val="0"/>
          <w:color w:val="auto"/>
          <w:sz w:val="32"/>
          <w:szCs w:val="28"/>
        </w:rPr>
      </w:pPr>
      <w:bookmarkStart w:id="57" w:name="_Toc32755"/>
      <w:r>
        <w:rPr>
          <w:rFonts w:hint="eastAsia" w:ascii="仿宋_GB2312" w:hAnsi="仿宋_GB2312" w:eastAsia="仿宋" w:cs="仿宋_GB2312"/>
          <w:b w:val="0"/>
          <w:color w:val="auto"/>
          <w:sz w:val="32"/>
          <w:szCs w:val="28"/>
        </w:rPr>
        <w:t>——</w:t>
      </w:r>
      <w:bookmarkEnd w:id="57"/>
      <w:r>
        <w:rPr>
          <w:rFonts w:hint="eastAsia" w:ascii="仿宋_GB2312" w:hAnsi="仿宋_GB2312" w:eastAsia="仿宋" w:cs="仿宋_GB2312"/>
          <w:b w:val="0"/>
          <w:color w:val="auto"/>
          <w:sz w:val="32"/>
          <w:szCs w:val="28"/>
        </w:rPr>
        <w:t>部门整体绩效目标未按照规定制定，要素未完善/绩效目标指标不完整</w:t>
      </w:r>
    </w:p>
    <w:p w14:paraId="48D3C3CD">
      <w:pPr>
        <w:spacing w:line="560" w:lineRule="exact"/>
        <w:ind w:firstLine="562"/>
        <w:rPr>
          <w:rFonts w:ascii="仿宋_GB2312" w:hAnsi="宋体" w:eastAsia="仿宋" w:cs="仿宋_GB2312"/>
          <w:sz w:val="32"/>
          <w:szCs w:val="28"/>
          <w:lang w:bidi="ar"/>
        </w:rPr>
      </w:pPr>
      <w:r>
        <w:rPr>
          <w:rFonts w:hint="eastAsia" w:ascii="仿宋_GB2312" w:hAnsi="宋体" w:eastAsia="仿宋" w:cs="宋体"/>
          <w:bCs/>
          <w:sz w:val="32"/>
          <w:szCs w:val="28"/>
          <w:shd w:val="clear" w:color="auto" w:fill="FFFFFF"/>
        </w:rPr>
        <w:t>涉及部门：</w:t>
      </w:r>
      <w:r>
        <w:rPr>
          <w:rFonts w:hint="eastAsia" w:ascii="仿宋_GB2312" w:hAnsi="宋体" w:eastAsia="仿宋" w:cs="仿宋_GB2312"/>
          <w:sz w:val="32"/>
          <w:szCs w:val="28"/>
          <w:lang w:bidi="ar"/>
        </w:rPr>
        <w:t>马尔康市住房和城乡建设局、马尔康市人民检察院、马尔康市应急管理局、马尔康市松岗镇人民政府、马尔康市机关事务管理局、马尔康市公务服务中心、马尔康市卫生健康局、马尔康市林业和草原局</w:t>
      </w:r>
    </w:p>
    <w:p w14:paraId="27104D39">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bCs/>
          <w:sz w:val="32"/>
          <w:szCs w:val="28"/>
          <w:lang w:bidi="ar"/>
        </w:rPr>
        <w:t>我们的意见和建议：</w:t>
      </w:r>
      <w:r>
        <w:rPr>
          <w:rFonts w:hint="eastAsia" w:ascii="仿宋_GB2312" w:hAnsi="宋体" w:eastAsia="仿宋" w:cs="仿宋_GB2312"/>
          <w:sz w:val="32"/>
          <w:szCs w:val="28"/>
          <w:lang w:bidi="ar"/>
        </w:rPr>
        <w:t>建议被评价单位及时将本单位</w:t>
      </w:r>
      <w:r>
        <w:rPr>
          <w:rFonts w:ascii="仿宋_GB2312" w:hAnsi="宋体" w:eastAsia="仿宋" w:cs="仿宋_GB2312"/>
          <w:sz w:val="32"/>
          <w:szCs w:val="28"/>
          <w:lang w:bidi="ar"/>
        </w:rPr>
        <w:t>行政</w:t>
      </w:r>
      <w:r>
        <w:rPr>
          <w:rFonts w:hint="eastAsia" w:ascii="仿宋_GB2312" w:hAnsi="宋体" w:eastAsia="仿宋" w:cs="仿宋_GB2312"/>
          <w:sz w:val="32"/>
          <w:szCs w:val="28"/>
          <w:lang w:bidi="ar"/>
        </w:rPr>
        <w:t>事业</w:t>
      </w:r>
      <w:r>
        <w:rPr>
          <w:rFonts w:ascii="仿宋_GB2312" w:hAnsi="宋体" w:eastAsia="仿宋" w:cs="仿宋_GB2312"/>
          <w:sz w:val="32"/>
          <w:szCs w:val="28"/>
          <w:lang w:bidi="ar"/>
        </w:rPr>
        <w:t>单位资产报表</w:t>
      </w:r>
      <w:r>
        <w:rPr>
          <w:rFonts w:hint="eastAsia" w:ascii="仿宋_GB2312" w:hAnsi="宋体" w:eastAsia="仿宋" w:cs="仿宋_GB2312"/>
          <w:sz w:val="32"/>
          <w:szCs w:val="28"/>
          <w:lang w:bidi="ar"/>
        </w:rPr>
        <w:t>上报至财政。</w:t>
      </w:r>
    </w:p>
    <w:p w14:paraId="12EBE66F">
      <w:pPr>
        <w:spacing w:line="560" w:lineRule="exact"/>
        <w:ind w:firstLine="560"/>
        <w:rPr>
          <w:rFonts w:ascii="仿宋_GB2312" w:hAnsi="仿宋_GB2312" w:eastAsia="仿宋" w:cs="仿宋_GB2312"/>
          <w:bCs/>
          <w:sz w:val="32"/>
          <w:szCs w:val="28"/>
        </w:rPr>
      </w:pPr>
      <w:r>
        <w:rPr>
          <w:rFonts w:hint="eastAsia" w:ascii="仿宋_GB2312" w:hAnsi="宋体" w:eastAsia="仿宋" w:cs="仿宋_GB2312"/>
          <w:sz w:val="32"/>
          <w:szCs w:val="28"/>
          <w:lang w:bidi="ar"/>
        </w:rPr>
        <w:t>——</w:t>
      </w:r>
      <w:r>
        <w:rPr>
          <w:rFonts w:hint="eastAsia" w:ascii="仿宋_GB2312" w:hAnsi="仿宋_GB2312" w:eastAsia="仿宋" w:cs="仿宋_GB2312"/>
          <w:bCs/>
          <w:sz w:val="32"/>
          <w:szCs w:val="28"/>
        </w:rPr>
        <w:t>部门整体预算公开不完整、不准确</w:t>
      </w:r>
    </w:p>
    <w:p w14:paraId="2B1245A5">
      <w:pPr>
        <w:spacing w:line="560" w:lineRule="exact"/>
        <w:ind w:firstLine="562"/>
        <w:rPr>
          <w:rFonts w:ascii="仿宋_GB2312" w:hAnsi="宋体" w:eastAsia="仿宋" w:cs="仿宋_GB2312"/>
          <w:sz w:val="32"/>
          <w:szCs w:val="28"/>
          <w:lang w:bidi="ar"/>
        </w:rPr>
      </w:pPr>
      <w:r>
        <w:rPr>
          <w:rFonts w:hint="eastAsia" w:ascii="仿宋_GB2312" w:hAnsi="宋体" w:eastAsia="仿宋" w:cs="宋体"/>
          <w:bCs/>
          <w:sz w:val="32"/>
          <w:szCs w:val="28"/>
          <w:shd w:val="clear" w:color="auto" w:fill="FFFFFF"/>
        </w:rPr>
        <w:t>涉及部门：</w:t>
      </w:r>
      <w:r>
        <w:rPr>
          <w:rFonts w:hint="eastAsia" w:ascii="仿宋_GB2312" w:hAnsi="宋体" w:eastAsia="仿宋" w:cs="仿宋_GB2312"/>
          <w:sz w:val="32"/>
          <w:szCs w:val="28"/>
          <w:lang w:bidi="ar"/>
        </w:rPr>
        <w:t>马尔康市卫生健康局、马尔康市自然资源局</w:t>
      </w:r>
    </w:p>
    <w:p w14:paraId="575B8759">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bCs/>
          <w:sz w:val="32"/>
          <w:szCs w:val="28"/>
          <w:lang w:bidi="ar"/>
        </w:rPr>
        <w:t>我们的意见和建议：</w:t>
      </w:r>
      <w:r>
        <w:rPr>
          <w:rFonts w:hint="eastAsia" w:ascii="仿宋_GB2312" w:hAnsi="宋体" w:eastAsia="仿宋" w:cs="仿宋_GB2312"/>
          <w:sz w:val="32"/>
          <w:szCs w:val="28"/>
          <w:lang w:bidi="ar"/>
        </w:rPr>
        <w:t>建议被评价单位严格按照</w:t>
      </w:r>
      <w:r>
        <w:rPr>
          <w:rFonts w:ascii="仿宋_GB2312" w:hAnsi="宋体" w:eastAsia="仿宋" w:cs="仿宋_GB2312"/>
          <w:sz w:val="32"/>
          <w:szCs w:val="28"/>
          <w:lang w:bidi="ar"/>
        </w:rPr>
        <w:t>《中华人民共和国预算法》</w:t>
      </w:r>
      <w:r>
        <w:rPr>
          <w:rFonts w:hint="eastAsia" w:ascii="仿宋_GB2312" w:hAnsi="宋体" w:eastAsia="仿宋" w:cs="仿宋_GB2312"/>
          <w:sz w:val="32"/>
          <w:szCs w:val="28"/>
          <w:lang w:bidi="ar"/>
        </w:rPr>
        <w:t>的要求公开预算信息。</w:t>
      </w:r>
    </w:p>
    <w:p w14:paraId="40631A6D">
      <w:pPr>
        <w:pStyle w:val="2"/>
        <w:spacing w:before="156" w:after="156" w:line="560" w:lineRule="exact"/>
        <w:ind w:firstLine="640"/>
        <w:rPr>
          <w:rFonts w:hint="eastAsia" w:eastAsia="仿宋"/>
          <w:b w:val="0"/>
          <w:sz w:val="32"/>
          <w:szCs w:val="30"/>
        </w:rPr>
      </w:pPr>
      <w:bookmarkStart w:id="58" w:name="_Toc17317"/>
      <w:r>
        <w:rPr>
          <w:rFonts w:hint="eastAsia" w:ascii="仿宋_GB2312" w:hAnsi="仿宋_GB2312" w:eastAsia="仿宋" w:cs="仿宋_GB2312"/>
          <w:b w:val="0"/>
          <w:sz w:val="32"/>
          <w:szCs w:val="28"/>
        </w:rPr>
        <w:t>——</w:t>
      </w:r>
      <w:r>
        <w:rPr>
          <w:rFonts w:hint="eastAsia" w:eastAsia="仿宋"/>
          <w:b w:val="0"/>
          <w:sz w:val="32"/>
          <w:szCs w:val="30"/>
        </w:rPr>
        <w:t>其他需要说明的情况</w:t>
      </w:r>
      <w:bookmarkEnd w:id="58"/>
    </w:p>
    <w:p w14:paraId="030CE131">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（1）政府采购未履行</w:t>
      </w:r>
    </w:p>
    <w:p w14:paraId="19426228">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涉及部门：马尔康市融媒体中心</w:t>
      </w:r>
    </w:p>
    <w:p w14:paraId="66E426A0">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（2）业务流程制度不完善</w:t>
      </w:r>
    </w:p>
    <w:p w14:paraId="5487A5F0">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涉及部门：马尔康市融媒体中心</w:t>
      </w:r>
    </w:p>
    <w:p w14:paraId="220AF4F6">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我们的意见和建议：建议被评价单位按照部门职能及时制定业务流程相关规章制度，进一步规范业务流程管理。</w:t>
      </w:r>
    </w:p>
    <w:p w14:paraId="20BAA3D8">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（3）资产管理——</w:t>
      </w:r>
      <w:r>
        <w:rPr>
          <w:rFonts w:hint="eastAsia" w:ascii="仿宋_GB2312" w:hAnsi="宋体" w:eastAsia="仿宋" w:cs="仿宋_GB2312"/>
          <w:sz w:val="32"/>
          <w:szCs w:val="28"/>
          <w:lang w:bidi="ar"/>
        </w:rPr>
        <w:t>物资采购未经签字验收</w:t>
      </w:r>
    </w:p>
    <w:p w14:paraId="31515957">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涉及部门：马尔康市融媒体中心、马尔康市公共服务中心、马尔康市人民检察院、马尔康市卫生健康局</w:t>
      </w:r>
    </w:p>
    <w:p w14:paraId="5353849D">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我们的意见和建议：建议被评价单位完善验收手续，保证帐物相符，防止盲目采购，避免物资短缺和流失。</w:t>
      </w:r>
    </w:p>
    <w:p w14:paraId="7C3DEA3E">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（4）出差审批签字手续滞后/不规范</w:t>
      </w:r>
    </w:p>
    <w:p w14:paraId="64676481">
      <w:pPr>
        <w:spacing w:line="560" w:lineRule="exact"/>
        <w:ind w:firstLine="560"/>
        <w:rPr>
          <w:rFonts w:hint="eastAsia" w:ascii="仿宋_GB2312" w:hAnsi="仿宋_GB2312" w:eastAsia="仿宋" w:cs="仿宋_GB2312"/>
          <w:bCs/>
          <w:sz w:val="32"/>
          <w:szCs w:val="28"/>
        </w:rPr>
      </w:pPr>
      <w:r>
        <w:rPr>
          <w:rFonts w:hint="eastAsia" w:ascii="仿宋_GB2312" w:hAnsi="宋体" w:eastAsia="仿宋" w:cs="仿宋_GB2312"/>
          <w:sz w:val="32"/>
          <w:szCs w:val="28"/>
          <w:lang w:bidi="ar"/>
        </w:rPr>
        <w:t>涉及部门：</w:t>
      </w:r>
      <w:r>
        <w:rPr>
          <w:rFonts w:hint="eastAsia" w:ascii="仿宋_GB2312" w:hAnsi="仿宋_GB2312" w:eastAsia="仿宋" w:cs="仿宋_GB2312"/>
          <w:bCs/>
          <w:sz w:val="32"/>
          <w:szCs w:val="28"/>
        </w:rPr>
        <w:t>马尔康市人民法院、马尔康市自然资源局、马尔康市融媒体中心、马尔康市卫生健康局、马尔康市生态环境局</w:t>
      </w:r>
    </w:p>
    <w:p w14:paraId="6267ADB2">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我们的意见和建议：建议被评价单位从严出差审批，</w:t>
      </w:r>
      <w:r>
        <w:rPr>
          <w:rFonts w:hint="eastAsia" w:ascii="仿宋_GB2312" w:hAnsi="仿宋_GB2312" w:eastAsia="仿宋" w:cs="仿宋_GB2312"/>
          <w:bCs/>
          <w:sz w:val="32"/>
          <w:szCs w:val="28"/>
        </w:rPr>
        <w:t>严格先审批、后出差的报批程序），从严控制出差人数和天数。</w:t>
      </w:r>
    </w:p>
    <w:p w14:paraId="144117A9">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（5）</w:t>
      </w:r>
      <w:r>
        <w:rPr>
          <w:rFonts w:ascii="仿宋_GB2312" w:hAnsi="仿宋_GB2312" w:eastAsia="仿宋" w:cs="仿宋_GB2312"/>
          <w:bCs/>
          <w:sz w:val="32"/>
          <w:szCs w:val="28"/>
        </w:rPr>
        <w:t>公务接待不规范</w:t>
      </w:r>
    </w:p>
    <w:p w14:paraId="45C6BEA6">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涉及部门：马尔康市人民法院、马尔康市公共服务中心、马尔康市应急管理局、马尔康市卫生健康局、马尔康市水务局、马尔康市松岗镇人民政府</w:t>
      </w:r>
    </w:p>
    <w:p w14:paraId="3D66753B">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我们的意见和建议：建议被评价单位按规定标准用餐并支付费用；严格实行“三单”审核入账制度。</w:t>
      </w:r>
    </w:p>
    <w:p w14:paraId="455550F8">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（6）发票时间晚于实际支付日期</w:t>
      </w:r>
    </w:p>
    <w:p w14:paraId="6A41E951">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涉及部门：马尔康市公共服务中心</w:t>
      </w:r>
    </w:p>
    <w:p w14:paraId="03B8ABBF">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我们的意见和建议：</w:t>
      </w:r>
      <w:r>
        <w:rPr>
          <w:rFonts w:hint="eastAsia" w:ascii="仿宋_GB2312" w:hAnsi="仿宋_GB2312" w:eastAsia="仿宋" w:cs="仿宋_GB2312"/>
          <w:bCs/>
          <w:sz w:val="32"/>
          <w:szCs w:val="28"/>
        </w:rPr>
        <w:t>建议被评价单位加强对原始凭证审核和监督，对记载不准确、不完整的原始凭证，予以退回，要求经办人员更正、补充。</w:t>
      </w:r>
    </w:p>
    <w:p w14:paraId="6F246107">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（7）未与供应商签订合同、供应商选择方式无记录的情况</w:t>
      </w:r>
    </w:p>
    <w:p w14:paraId="18ECE13E">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涉及部门：马尔康市公共服务中心</w:t>
      </w:r>
    </w:p>
    <w:p w14:paraId="26F1D63B">
      <w:pPr>
        <w:spacing w:line="560" w:lineRule="exact"/>
        <w:ind w:firstLine="562"/>
        <w:rPr>
          <w:rFonts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w:t>
      </w:r>
      <w:r>
        <w:rPr>
          <w:rFonts w:hint="eastAsia" w:ascii="仿宋_GB2312" w:hAnsi="仿宋_GB2312" w:eastAsia="仿宋" w:cs="仿宋_GB2312"/>
          <w:bCs/>
          <w:sz w:val="32"/>
          <w:szCs w:val="28"/>
        </w:rPr>
        <w:t>建议被评价单位的</w:t>
      </w:r>
      <w:r>
        <w:rPr>
          <w:rFonts w:hint="eastAsia" w:ascii="仿宋_GB2312" w:hAnsi="仿宋_GB2312" w:eastAsia="仿宋" w:cs="仿宋_GB2312"/>
          <w:bCs/>
          <w:color w:val="FF0000"/>
          <w:sz w:val="32"/>
          <w:szCs w:val="28"/>
        </w:rPr>
        <w:t>支出应当签订相关合同或协议。</w:t>
      </w:r>
    </w:p>
    <w:p w14:paraId="273D25EF">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（8）签订合同清单金额与实际结算金额不一致</w:t>
      </w:r>
    </w:p>
    <w:p w14:paraId="5448163B">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涉及部门</w:t>
      </w:r>
      <w:r>
        <w:rPr>
          <w:rFonts w:hint="eastAsia" w:ascii="仿宋_GB2312" w:hAnsi="仿宋_GB2312" w:eastAsia="仿宋" w:cs="仿宋_GB2312"/>
          <w:bCs/>
          <w:sz w:val="32"/>
          <w:szCs w:val="28"/>
        </w:rPr>
        <w:t>：马尔康市应急管理局</w:t>
      </w:r>
    </w:p>
    <w:p w14:paraId="39C96C5D">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w:t>
      </w:r>
      <w:r>
        <w:rPr>
          <w:rFonts w:hint="eastAsia" w:ascii="仿宋_GB2312" w:hAnsi="仿宋_GB2312" w:eastAsia="仿宋" w:cs="仿宋_GB2312"/>
          <w:bCs/>
          <w:sz w:val="32"/>
          <w:szCs w:val="28"/>
        </w:rPr>
        <w:t>建议被评价单位严格按照合同约定进行结算，加强审核，对金额不符的票据不予报销。</w:t>
      </w:r>
    </w:p>
    <w:p w14:paraId="69A90093">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（9）审核不严，多报销费用</w:t>
      </w:r>
    </w:p>
    <w:p w14:paraId="3D42C5C2">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涉及部门</w:t>
      </w:r>
      <w:r>
        <w:rPr>
          <w:rFonts w:hint="eastAsia" w:ascii="仿宋_GB2312" w:hAnsi="仿宋_GB2312" w:eastAsia="仿宋" w:cs="仿宋_GB2312"/>
          <w:bCs/>
          <w:sz w:val="32"/>
          <w:szCs w:val="28"/>
        </w:rPr>
        <w:t>：马尔康市应急管理局、马尔康市林业和草原局</w:t>
      </w:r>
    </w:p>
    <w:p w14:paraId="4DF95AEC">
      <w:pPr>
        <w:spacing w:line="560" w:lineRule="exact"/>
        <w:ind w:firstLine="562"/>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我们的意见和建议：</w:t>
      </w:r>
      <w:r>
        <w:rPr>
          <w:rFonts w:hint="eastAsia" w:ascii="仿宋_GB2312" w:hAnsi="仿宋_GB2312" w:eastAsia="仿宋" w:cs="仿宋_GB2312"/>
          <w:bCs/>
          <w:sz w:val="32"/>
          <w:szCs w:val="28"/>
        </w:rPr>
        <w:t>建议被评价单位严格按照合同约定进行结算，加强审核，对金额不符的票据不予报销。</w:t>
      </w:r>
    </w:p>
    <w:p w14:paraId="28762F94">
      <w:pPr>
        <w:spacing w:line="560" w:lineRule="exact"/>
        <w:ind w:firstLine="562"/>
        <w:rPr>
          <w:rFonts w:ascii="楷体" w:hAnsi="楷体" w:eastAsia="仿宋"/>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0</w:t>
      </w:r>
      <w:r>
        <w:rPr>
          <w:rFonts w:hint="eastAsia" w:ascii="仿宋_GB2312" w:hAnsi="仿宋_GB2312" w:eastAsia="仿宋" w:cs="仿宋_GB2312"/>
          <w:bCs/>
          <w:sz w:val="32"/>
          <w:szCs w:val="28"/>
        </w:rPr>
        <w:t>）未按款项性质列支费用</w:t>
      </w:r>
    </w:p>
    <w:p w14:paraId="502A12A1">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涉及部门</w:t>
      </w:r>
      <w:r>
        <w:rPr>
          <w:rFonts w:hint="eastAsia" w:ascii="仿宋_GB2312" w:hAnsi="仿宋_GB2312" w:eastAsia="仿宋" w:cs="仿宋_GB2312"/>
          <w:bCs/>
          <w:sz w:val="32"/>
          <w:szCs w:val="28"/>
        </w:rPr>
        <w:t>：马尔康市应急管理局</w:t>
      </w:r>
    </w:p>
    <w:p w14:paraId="68ED1CA3">
      <w:pPr>
        <w:spacing w:line="560" w:lineRule="exact"/>
        <w:ind w:firstLine="562"/>
        <w:rPr>
          <w:rFonts w:ascii="仿宋_GB2312" w:hAnsi="仿宋_GB2312" w:eastAsia="仿宋" w:cs="仿宋_GB2312"/>
          <w:bCs/>
          <w:sz w:val="32"/>
          <w:szCs w:val="28"/>
        </w:rPr>
      </w:pPr>
      <w:r>
        <w:rPr>
          <w:rFonts w:hint="eastAsia" w:ascii="仿宋_GB2312" w:hAnsi="宋体" w:eastAsia="仿宋" w:cs="仿宋_GB2312"/>
          <w:sz w:val="32"/>
          <w:szCs w:val="28"/>
          <w:lang w:bidi="ar"/>
        </w:rPr>
        <w:t>我们的意见和建议：</w:t>
      </w:r>
      <w:r>
        <w:rPr>
          <w:rFonts w:hint="eastAsia" w:ascii="仿宋_GB2312" w:hAnsi="仿宋_GB2312" w:eastAsia="仿宋" w:cs="仿宋_GB2312"/>
          <w:bCs/>
          <w:sz w:val="32"/>
          <w:szCs w:val="28"/>
        </w:rPr>
        <w:t>建议被评价单位会计人员应当对原始凭证进行审核和监督，按照规定列支费用。</w:t>
      </w:r>
    </w:p>
    <w:p w14:paraId="4C5E1EB5">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1</w:t>
      </w:r>
      <w:r>
        <w:rPr>
          <w:rFonts w:hint="eastAsia" w:ascii="仿宋_GB2312" w:hAnsi="仿宋_GB2312" w:eastAsia="仿宋" w:cs="仿宋_GB2312"/>
          <w:bCs/>
          <w:sz w:val="32"/>
          <w:szCs w:val="28"/>
        </w:rPr>
        <w:t>）报销签字不齐全/财务审签制度执行不到位</w:t>
      </w:r>
    </w:p>
    <w:p w14:paraId="3E2A6B9F">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涉及部门：马尔康市水务局、马尔康市卫生健康局、马尔康市林业和草原局</w:t>
      </w:r>
    </w:p>
    <w:p w14:paraId="661F9C91">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我们的意见和建议：建议被评价单位会计人员应当对原始凭证进行审核和监督，按照规定报销费用。</w:t>
      </w:r>
    </w:p>
    <w:p w14:paraId="08EDDAAB">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2</w:t>
      </w:r>
      <w:r>
        <w:rPr>
          <w:rFonts w:hint="eastAsia" w:ascii="仿宋_GB2312" w:hAnsi="仿宋_GB2312" w:eastAsia="仿宋" w:cs="仿宋_GB2312"/>
          <w:bCs/>
          <w:sz w:val="32"/>
          <w:szCs w:val="28"/>
        </w:rPr>
        <w:t>）三家公司参与比选询价，其中两家公司存在关联方关系</w:t>
      </w:r>
    </w:p>
    <w:p w14:paraId="205C1E02">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涉及部门：马尔康市经信局</w:t>
      </w:r>
    </w:p>
    <w:p w14:paraId="2B711160">
      <w:pPr>
        <w:spacing w:line="560" w:lineRule="exact"/>
        <w:ind w:firstLine="562"/>
        <w:rPr>
          <w:rFonts w:ascii="仿宋_GB2312" w:hAnsi="仿宋_GB2312" w:eastAsia="仿宋" w:cs="仿宋_GB2312"/>
          <w:bCs/>
          <w:color w:val="FF0000"/>
          <w:sz w:val="32"/>
          <w:szCs w:val="28"/>
        </w:rPr>
      </w:pPr>
      <w:r>
        <w:rPr>
          <w:rFonts w:hint="eastAsia" w:ascii="仿宋_GB2312" w:hAnsi="仿宋_GB2312" w:eastAsia="仿宋" w:cs="仿宋_GB2312"/>
          <w:bCs/>
          <w:sz w:val="32"/>
          <w:szCs w:val="28"/>
        </w:rPr>
        <w:t>我们的意见和建议：建议被评价单位严格按照规定程序比选询价，加强对供应商资格的审查</w:t>
      </w:r>
      <w:r>
        <w:rPr>
          <w:rFonts w:hint="eastAsia" w:ascii="仿宋_GB2312" w:hAnsi="仿宋_GB2312" w:eastAsia="仿宋" w:cs="仿宋_GB2312"/>
          <w:bCs/>
          <w:color w:val="FF0000"/>
          <w:sz w:val="32"/>
          <w:szCs w:val="28"/>
        </w:rPr>
        <w:t>。</w:t>
      </w:r>
    </w:p>
    <w:p w14:paraId="7D855422">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3</w:t>
      </w:r>
      <w:r>
        <w:rPr>
          <w:rFonts w:hint="eastAsia" w:ascii="仿宋_GB2312" w:hAnsi="仿宋_GB2312" w:eastAsia="仿宋" w:cs="仿宋_GB2312"/>
          <w:bCs/>
          <w:sz w:val="32"/>
          <w:szCs w:val="28"/>
        </w:rPr>
        <w:t>）比选程序不规范</w:t>
      </w:r>
    </w:p>
    <w:p w14:paraId="71067E60">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涉及部门：马尔康市应急管理局</w:t>
      </w:r>
    </w:p>
    <w:p w14:paraId="61F479E5">
      <w:pPr>
        <w:spacing w:line="560" w:lineRule="exact"/>
        <w:ind w:firstLine="562"/>
        <w:rPr>
          <w:rFonts w:ascii="仿宋_GB2312" w:hAnsi="仿宋_GB2312" w:eastAsia="仿宋" w:cs="仿宋_GB2312"/>
          <w:bCs/>
          <w:color w:val="FF0000"/>
          <w:sz w:val="32"/>
          <w:szCs w:val="28"/>
        </w:rPr>
      </w:pPr>
      <w:r>
        <w:rPr>
          <w:rFonts w:hint="eastAsia" w:ascii="仿宋_GB2312" w:hAnsi="仿宋_GB2312" w:eastAsia="仿宋" w:cs="仿宋_GB2312"/>
          <w:bCs/>
          <w:sz w:val="32"/>
          <w:szCs w:val="28"/>
        </w:rPr>
        <w:t>我们的意见和建议：建议被评价单位从严政府采购程序，对采购合规性进行把关。</w:t>
      </w:r>
    </w:p>
    <w:p w14:paraId="430D8E32">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4</w:t>
      </w:r>
      <w:r>
        <w:rPr>
          <w:rFonts w:hint="eastAsia" w:ascii="仿宋_GB2312" w:hAnsi="仿宋_GB2312" w:eastAsia="仿宋" w:cs="仿宋_GB2312"/>
          <w:bCs/>
          <w:sz w:val="32"/>
          <w:szCs w:val="28"/>
        </w:rPr>
        <w:t>）收费许可证已过期，未及时更换</w:t>
      </w:r>
    </w:p>
    <w:p w14:paraId="7BF612F0">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涉及部门：马尔康市应急管理局</w:t>
      </w:r>
    </w:p>
    <w:p w14:paraId="247B2A42">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我们的意见和建议：建议被评价单位加强管理，及时办理换证手续。</w:t>
      </w:r>
    </w:p>
    <w:p w14:paraId="2E24B180">
      <w:pPr>
        <w:spacing w:line="560" w:lineRule="exact"/>
        <w:ind w:firstLine="562"/>
        <w:rPr>
          <w:rFonts w:ascii="仿宋_GB2312" w:hAnsi="仿宋_GB2312" w:eastAsia="仿宋" w:cs="仿宋_GB2312"/>
          <w:bCs/>
          <w:sz w:val="32"/>
          <w:szCs w:val="28"/>
        </w:rPr>
      </w:pPr>
      <w:r>
        <w:rPr>
          <w:rFonts w:hint="eastAsia" w:ascii="仿宋_GB2312" w:hAnsi="仿宋_GB2312" w:eastAsia="仿宋" w:cs="仿宋_GB2312"/>
          <w:bCs/>
          <w:sz w:val="32"/>
          <w:szCs w:val="28"/>
        </w:rPr>
        <w:t>（1</w:t>
      </w:r>
      <w:r>
        <w:rPr>
          <w:rFonts w:ascii="仿宋_GB2312" w:hAnsi="仿宋_GB2312" w:eastAsia="仿宋" w:cs="仿宋_GB2312"/>
          <w:bCs/>
          <w:sz w:val="32"/>
          <w:szCs w:val="28"/>
        </w:rPr>
        <w:t>5</w:t>
      </w:r>
      <w:r>
        <w:rPr>
          <w:rFonts w:hint="eastAsia" w:ascii="仿宋_GB2312" w:hAnsi="仿宋_GB2312" w:eastAsia="仿宋" w:cs="仿宋_GB2312"/>
          <w:bCs/>
          <w:sz w:val="32"/>
          <w:szCs w:val="28"/>
        </w:rPr>
        <w:t>）物资发放未附领取附件</w:t>
      </w:r>
    </w:p>
    <w:p w14:paraId="5D074291">
      <w:pPr>
        <w:spacing w:line="560" w:lineRule="exact"/>
        <w:ind w:firstLine="562"/>
        <w:rPr>
          <w:rFonts w:hint="eastAsia" w:ascii="仿宋_GB2312" w:hAnsi="仿宋_GB2312" w:eastAsia="仿宋" w:cs="仿宋_GB2312"/>
          <w:bCs/>
          <w:sz w:val="32"/>
          <w:szCs w:val="28"/>
        </w:rPr>
      </w:pPr>
      <w:r>
        <w:rPr>
          <w:rFonts w:hint="eastAsia" w:ascii="仿宋_GB2312" w:hAnsi="仿宋_GB2312" w:eastAsia="仿宋" w:cs="仿宋_GB2312"/>
          <w:bCs/>
          <w:sz w:val="32"/>
          <w:szCs w:val="28"/>
        </w:rPr>
        <w:t>涉及部门：马尔康市应急管理局</w:t>
      </w:r>
    </w:p>
    <w:bookmarkEnd w:id="54"/>
    <w:p w14:paraId="2F2043EB">
      <w:pPr>
        <w:spacing w:after="172" w:line="560" w:lineRule="exact"/>
        <w:ind w:firstLine="643"/>
        <w:rPr>
          <w:rFonts w:ascii="楷体_GB2312" w:hAnsi="楷体_GB2312" w:eastAsia="仿宋" w:cs="楷体_GB2312"/>
          <w:bCs/>
          <w:sz w:val="32"/>
          <w:szCs w:val="32"/>
          <w:lang w:bidi="ar"/>
        </w:rPr>
      </w:pPr>
      <w:r>
        <w:rPr>
          <w:rFonts w:hint="eastAsia" w:ascii="楷体_GB2312" w:hAnsi="楷体_GB2312" w:eastAsia="仿宋" w:cs="楷体_GB2312"/>
          <w:bCs/>
          <w:sz w:val="32"/>
          <w:szCs w:val="32"/>
          <w:lang w:bidi="ar"/>
        </w:rPr>
        <w:t>（三）财政政策</w:t>
      </w:r>
    </w:p>
    <w:p w14:paraId="53732ABC">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1、项目在乡（镇）人民政府审批之前已实施</w:t>
      </w:r>
    </w:p>
    <w:p w14:paraId="44D21230">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涉及项目：2019年基层组织活动和公共服务运行项目日部乡、草登乡、党坝乡、脚木足乡。</w:t>
      </w:r>
    </w:p>
    <w:p w14:paraId="7F49218E">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2、项目实施审批签字手续不全</w:t>
      </w:r>
    </w:p>
    <w:p w14:paraId="1F521E83">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涉及项目：2019年基层组织活动和公共服务运行项目草登乡、脚木足乡、梭磨乡人民政府。</w:t>
      </w:r>
    </w:p>
    <w:p w14:paraId="08FFC28B">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3、村民意见汇总表和签字人数不一致</w:t>
      </w:r>
    </w:p>
    <w:p w14:paraId="0D0B331D">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涉及项目：2019年基层组织活动和公共服务运行项目党坝乡、马尔康镇。</w:t>
      </w:r>
    </w:p>
    <w:p w14:paraId="38DD2AB9">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4、未按规定公示评标报告</w:t>
      </w:r>
    </w:p>
    <w:p w14:paraId="3F8AA8C8">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涉及项目：2019年基层组织活动和公共服务运行项目沙尔宗镇、松岗镇。</w:t>
      </w:r>
    </w:p>
    <w:p w14:paraId="708301F0">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5、项目在中标之前已开始实施</w:t>
      </w:r>
    </w:p>
    <w:p w14:paraId="1DD281AD">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涉及项目：2019年基层组织活动和公共服务运行项目日部乡、松岗镇。</w:t>
      </w:r>
    </w:p>
    <w:p w14:paraId="45081194">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6、理财小组、质量监督小组人员签字不符</w:t>
      </w:r>
    </w:p>
    <w:p w14:paraId="1C326AD4">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涉及项目：2019年基层组织活动和公共服务运行项目康山乡、龙尔甲乡。</w:t>
      </w:r>
    </w:p>
    <w:p w14:paraId="15DF248B">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7、中标通知书填写不规范，如未填写中标金额、未填写发出时间</w:t>
      </w:r>
    </w:p>
    <w:p w14:paraId="2F739574">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涉及项目：2019年基层组织活动和公共服务运行项目草登乡、松岗镇。</w:t>
      </w:r>
    </w:p>
    <w:p w14:paraId="66A047F9">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8、公示不规范</w:t>
      </w:r>
    </w:p>
    <w:p w14:paraId="04E5A794">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涉及项目：2019年基层组织活动和公共服务运行项目龙尔甲乡、木尔宗乡。各乡镇均存在公示时未写明公示期间，公示结束后未出具公示结果无异议的公示结果的情况。</w:t>
      </w:r>
    </w:p>
    <w:p w14:paraId="69B64B6F">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9、项目执行进度缓慢，资金未及时使用</w:t>
      </w:r>
    </w:p>
    <w:p w14:paraId="1AD18605">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涉及项目：2019年州级财政专项扶贫资金项目、2019年财政林业改革发展资金。</w:t>
      </w:r>
    </w:p>
    <w:p w14:paraId="413728A6">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0</w:t>
      </w:r>
      <w:r>
        <w:rPr>
          <w:rFonts w:hint="eastAsia" w:ascii="仿宋_GB2312" w:hAnsi="宋体" w:eastAsia="仿宋" w:cs="仿宋_GB2312"/>
          <w:bCs/>
          <w:sz w:val="32"/>
          <w:szCs w:val="28"/>
          <w:lang w:bidi="ar"/>
        </w:rPr>
        <w:t>、项目实施前未设置项目预期绩效目标或设置不明朗，指标未量化</w:t>
      </w:r>
    </w:p>
    <w:p w14:paraId="73F94461">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涉及项目：2019年州级财政专项扶贫资金项目、2019年州级农资补贴资金项目、2019年城乡居民养老保险、2019年财政林业改革发展资金。</w:t>
      </w:r>
    </w:p>
    <w:p w14:paraId="27C45159">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1</w:t>
      </w:r>
      <w:r>
        <w:rPr>
          <w:rFonts w:hint="eastAsia" w:ascii="仿宋_GB2312" w:hAnsi="宋体" w:eastAsia="仿宋" w:cs="仿宋_GB2312"/>
          <w:bCs/>
          <w:sz w:val="32"/>
          <w:szCs w:val="28"/>
          <w:lang w:bidi="ar"/>
        </w:rPr>
        <w:t>、项目未进行验收</w:t>
      </w:r>
    </w:p>
    <w:p w14:paraId="2AA4ED9D">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涉及项目：2019年州级财政专项扶贫资金项目。</w:t>
      </w:r>
    </w:p>
    <w:p w14:paraId="79344BA1">
      <w:pPr>
        <w:spacing w:line="560" w:lineRule="exact"/>
        <w:ind w:firstLine="562"/>
        <w:rPr>
          <w:rFonts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2</w:t>
      </w:r>
      <w:r>
        <w:rPr>
          <w:rFonts w:hint="eastAsia" w:ascii="仿宋_GB2312" w:hAnsi="宋体" w:eastAsia="仿宋" w:cs="仿宋_GB2312"/>
          <w:bCs/>
          <w:sz w:val="32"/>
          <w:szCs w:val="28"/>
          <w:lang w:bidi="ar"/>
        </w:rPr>
        <w:t>、未按照资金使用用途使用</w:t>
      </w:r>
    </w:p>
    <w:p w14:paraId="19860E57">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涉及项目：2019年州级财政专项扶贫资金项目（2019年度州级财政专项扶贫资金用于归垫2017年扶贫保资金）、2019年州级农资补贴资金项目。</w:t>
      </w:r>
    </w:p>
    <w:p w14:paraId="40A05E04">
      <w:pPr>
        <w:spacing w:line="560" w:lineRule="exact"/>
        <w:ind w:firstLine="562"/>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1</w:t>
      </w:r>
      <w:r>
        <w:rPr>
          <w:rFonts w:ascii="仿宋_GB2312" w:hAnsi="宋体" w:eastAsia="仿宋" w:cs="仿宋_GB2312"/>
          <w:bCs/>
          <w:sz w:val="32"/>
          <w:szCs w:val="28"/>
          <w:lang w:bidi="ar"/>
        </w:rPr>
        <w:t>3</w:t>
      </w:r>
      <w:r>
        <w:rPr>
          <w:rFonts w:hint="eastAsia" w:ascii="仿宋_GB2312" w:hAnsi="宋体" w:eastAsia="仿宋" w:cs="仿宋_GB2312"/>
          <w:bCs/>
          <w:sz w:val="32"/>
          <w:szCs w:val="28"/>
          <w:lang w:bidi="ar"/>
        </w:rPr>
        <w:t>、项目资金预算不够合理，资金的使用用途不够明确</w:t>
      </w:r>
    </w:p>
    <w:p w14:paraId="551C282E">
      <w:pPr>
        <w:spacing w:line="560" w:lineRule="exact"/>
        <w:ind w:firstLine="560"/>
        <w:rPr>
          <w:rFonts w:ascii="仿宋_GB2312" w:hAnsi="宋体" w:eastAsia="仿宋" w:cs="仿宋_GB2312"/>
          <w:sz w:val="32"/>
          <w:szCs w:val="28"/>
          <w:lang w:bidi="ar"/>
        </w:rPr>
      </w:pPr>
      <w:r>
        <w:rPr>
          <w:rFonts w:hint="eastAsia" w:ascii="仿宋_GB2312" w:hAnsi="宋体" w:eastAsia="仿宋" w:cs="仿宋_GB2312"/>
          <w:sz w:val="32"/>
          <w:szCs w:val="28"/>
          <w:lang w:bidi="ar"/>
        </w:rPr>
        <w:t>涉及项目：2019年财政林业改革发展资金。</w:t>
      </w:r>
    </w:p>
    <w:p w14:paraId="3538FE25">
      <w:pPr>
        <w:spacing w:line="560" w:lineRule="exact"/>
        <w:ind w:firstLine="560"/>
        <w:rPr>
          <w:rFonts w:hint="eastAsia" w:ascii="仿宋_GB2312" w:hAnsi="宋体" w:eastAsia="仿宋" w:cs="仿宋_GB2312"/>
          <w:sz w:val="32"/>
          <w:szCs w:val="28"/>
          <w:lang w:bidi="ar"/>
        </w:rPr>
      </w:pPr>
    </w:p>
    <w:p w14:paraId="66928394">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附件一：马尔康市20</w:t>
      </w:r>
      <w:r>
        <w:rPr>
          <w:rFonts w:ascii="仿宋_GB2312" w:hAnsi="宋体" w:eastAsia="仿宋" w:cs="仿宋_GB2312"/>
          <w:sz w:val="32"/>
          <w:szCs w:val="28"/>
          <w:lang w:bidi="ar"/>
        </w:rPr>
        <w:t>20</w:t>
      </w:r>
      <w:r>
        <w:rPr>
          <w:rFonts w:hint="eastAsia" w:ascii="仿宋_GB2312" w:hAnsi="宋体" w:eastAsia="仿宋" w:cs="仿宋_GB2312"/>
          <w:sz w:val="32"/>
          <w:szCs w:val="28"/>
          <w:lang w:bidi="ar"/>
        </w:rPr>
        <w:t>年财政支出项目绩效评价得分表</w:t>
      </w:r>
    </w:p>
    <w:p w14:paraId="6097A961">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附件二：马尔康市20</w:t>
      </w:r>
      <w:r>
        <w:rPr>
          <w:rFonts w:ascii="仿宋_GB2312" w:hAnsi="宋体" w:eastAsia="仿宋" w:cs="仿宋_GB2312"/>
          <w:sz w:val="32"/>
          <w:szCs w:val="28"/>
          <w:lang w:bidi="ar"/>
        </w:rPr>
        <w:t>20</w:t>
      </w:r>
      <w:r>
        <w:rPr>
          <w:rFonts w:hint="eastAsia" w:ascii="仿宋_GB2312" w:hAnsi="宋体" w:eastAsia="仿宋" w:cs="仿宋_GB2312"/>
          <w:sz w:val="32"/>
          <w:szCs w:val="28"/>
          <w:lang w:bidi="ar"/>
        </w:rPr>
        <w:t>年部门整体支出项目绩效评价得分表</w:t>
      </w:r>
    </w:p>
    <w:p w14:paraId="01D69DC0">
      <w:pPr>
        <w:spacing w:line="560" w:lineRule="exact"/>
        <w:ind w:firstLine="560"/>
        <w:rPr>
          <w:rFonts w:hint="eastAsia" w:ascii="仿宋_GB2312" w:hAnsi="宋体" w:eastAsia="仿宋" w:cs="仿宋_GB2312"/>
          <w:sz w:val="32"/>
          <w:szCs w:val="28"/>
          <w:lang w:bidi="ar"/>
        </w:rPr>
      </w:pPr>
      <w:r>
        <w:rPr>
          <w:rFonts w:hint="eastAsia" w:ascii="仿宋_GB2312" w:hAnsi="宋体" w:eastAsia="仿宋" w:cs="仿宋_GB2312"/>
          <w:sz w:val="32"/>
          <w:szCs w:val="28"/>
          <w:lang w:bidi="ar"/>
        </w:rPr>
        <w:t>附件三、马尔康市2020年财政政策绩效评价得分表</w:t>
      </w:r>
    </w:p>
    <w:p w14:paraId="467E11EF">
      <w:pPr>
        <w:spacing w:line="560" w:lineRule="exact"/>
        <w:rPr>
          <w:rFonts w:hint="eastAsia" w:ascii="仿宋_GB2312" w:hAnsi="宋体" w:eastAsia="仿宋" w:cs="仿宋_GB2312"/>
          <w:sz w:val="32"/>
          <w:szCs w:val="28"/>
          <w:lang w:bidi="ar"/>
        </w:rPr>
      </w:pPr>
    </w:p>
    <w:p w14:paraId="683C4075">
      <w:pPr>
        <w:spacing w:line="560" w:lineRule="exact"/>
        <w:rPr>
          <w:rFonts w:hint="eastAsia" w:ascii="仿宋_GB2312" w:hAnsi="宋体" w:eastAsia="仿宋" w:cs="仿宋_GB2312"/>
          <w:sz w:val="32"/>
          <w:szCs w:val="28"/>
          <w:lang w:bidi="ar"/>
        </w:rPr>
      </w:pPr>
    </w:p>
    <w:p w14:paraId="1188AEDA">
      <w:pPr>
        <w:spacing w:line="560" w:lineRule="exact"/>
        <w:ind w:firstLine="562"/>
        <w:jc w:val="right"/>
        <w:rPr>
          <w:rFonts w:ascii="仿宋_GB2312" w:hAnsi="宋体" w:eastAsia="仿宋" w:cs="仿宋_GB2312"/>
          <w:bCs/>
          <w:sz w:val="32"/>
          <w:szCs w:val="28"/>
          <w:lang w:bidi="ar"/>
        </w:rPr>
      </w:pPr>
      <w:r>
        <w:rPr>
          <w:rFonts w:hint="eastAsia" w:ascii="仿宋_GB2312" w:hAnsi="宋体" w:eastAsia="仿宋" w:cs="仿宋_GB2312"/>
          <w:bCs/>
          <w:sz w:val="32"/>
          <w:szCs w:val="28"/>
          <w:lang w:bidi="ar"/>
        </w:rPr>
        <w:t>20</w:t>
      </w:r>
      <w:r>
        <w:rPr>
          <w:rFonts w:ascii="仿宋_GB2312" w:hAnsi="宋体" w:eastAsia="仿宋" w:cs="仿宋_GB2312"/>
          <w:bCs/>
          <w:sz w:val="32"/>
          <w:szCs w:val="28"/>
          <w:lang w:bidi="ar"/>
        </w:rPr>
        <w:t>20</w:t>
      </w:r>
      <w:r>
        <w:rPr>
          <w:rFonts w:hint="eastAsia" w:ascii="仿宋_GB2312" w:hAnsi="宋体" w:eastAsia="仿宋" w:cs="仿宋_GB2312"/>
          <w:bCs/>
          <w:sz w:val="32"/>
          <w:szCs w:val="28"/>
          <w:lang w:bidi="ar"/>
        </w:rPr>
        <w:t>年</w:t>
      </w:r>
      <w:r>
        <w:rPr>
          <w:rFonts w:ascii="仿宋_GB2312" w:hAnsi="宋体" w:eastAsia="仿宋" w:cs="仿宋_GB2312"/>
          <w:bCs/>
          <w:sz w:val="32"/>
          <w:szCs w:val="28"/>
          <w:lang w:bidi="ar"/>
        </w:rPr>
        <w:t>10</w:t>
      </w:r>
      <w:r>
        <w:rPr>
          <w:rFonts w:hint="eastAsia" w:ascii="仿宋_GB2312" w:hAnsi="宋体" w:eastAsia="仿宋" w:cs="仿宋_GB2312"/>
          <w:bCs/>
          <w:sz w:val="32"/>
          <w:szCs w:val="28"/>
          <w:lang w:bidi="ar"/>
        </w:rPr>
        <w:t>月</w:t>
      </w:r>
    </w:p>
    <w:p w14:paraId="17E3F185">
      <w:pPr>
        <w:spacing w:line="560" w:lineRule="exact"/>
        <w:ind w:firstLine="562"/>
        <w:jc w:val="right"/>
        <w:rPr>
          <w:rFonts w:hint="eastAsia" w:ascii="仿宋_GB2312" w:hAnsi="宋体" w:eastAsia="仿宋" w:cs="仿宋_GB2312"/>
          <w:bCs/>
          <w:sz w:val="32"/>
          <w:szCs w:val="28"/>
          <w:lang w:bidi="ar"/>
        </w:rPr>
      </w:pPr>
      <w:r>
        <w:rPr>
          <w:rFonts w:hint="eastAsia" w:ascii="仿宋_GB2312" w:hAnsi="宋体" w:eastAsia="仿宋" w:cs="仿宋_GB2312"/>
          <w:bCs/>
          <w:sz w:val="32"/>
          <w:szCs w:val="28"/>
          <w:lang w:bidi="ar"/>
        </w:rPr>
        <w:t>四川融策会计师事务所有限公司</w:t>
      </w:r>
    </w:p>
    <w:p w14:paraId="3727EC3F">
      <w:pPr>
        <w:spacing w:line="560" w:lineRule="exact"/>
        <w:ind w:firstLine="482"/>
        <w:rPr>
          <w:rFonts w:hint="eastAsia" w:ascii="仿宋_GB2312" w:hAnsi="仿宋_GB2312" w:eastAsia="仿宋" w:cs="仿宋_GB2312"/>
          <w:bCs/>
          <w:sz w:val="32"/>
        </w:rPr>
        <w:sectPr>
          <w:pgSz w:w="11906" w:h="16838"/>
          <w:pgMar w:top="1304" w:right="1418" w:bottom="1276" w:left="1418" w:header="851" w:footer="992" w:gutter="284"/>
          <w:cols w:space="720" w:num="1"/>
          <w:docGrid w:type="lines" w:linePitch="312" w:charSpace="0"/>
        </w:sectPr>
      </w:pPr>
    </w:p>
    <w:p w14:paraId="0244F12D">
      <w:pPr>
        <w:spacing w:line="560" w:lineRule="exact"/>
        <w:ind w:firstLine="482"/>
        <w:rPr>
          <w:rFonts w:eastAsia="仿宋"/>
          <w:sz w:val="32"/>
        </w:rPr>
      </w:pPr>
      <w:r>
        <w:rPr>
          <w:rFonts w:hint="eastAsia" w:ascii="仿宋_GB2312" w:hAnsi="仿宋_GB2312" w:eastAsia="仿宋" w:cs="仿宋_GB2312"/>
          <w:bCs/>
          <w:sz w:val="32"/>
        </w:rPr>
        <w:t>附件一</w:t>
      </w:r>
    </w:p>
    <w:p w14:paraId="0F645092">
      <w:pPr>
        <w:spacing w:line="560" w:lineRule="exact"/>
        <w:ind w:firstLine="562"/>
        <w:jc w:val="center"/>
        <w:rPr>
          <w:rFonts w:eastAsia="仿宋"/>
          <w:sz w:val="32"/>
        </w:rPr>
      </w:pPr>
      <w:r>
        <w:rPr>
          <w:rFonts w:hint="eastAsia" w:ascii="仿宋_GB2312" w:hAnsi="仿宋_GB2312" w:eastAsia="仿宋" w:cs="仿宋_GB2312"/>
          <w:bCs/>
          <w:sz w:val="32"/>
          <w:szCs w:val="28"/>
        </w:rPr>
        <w:t>马尔康市20</w:t>
      </w:r>
      <w:r>
        <w:rPr>
          <w:rFonts w:ascii="仿宋_GB2312" w:hAnsi="仿宋_GB2312" w:eastAsia="仿宋" w:cs="仿宋_GB2312"/>
          <w:bCs/>
          <w:sz w:val="32"/>
          <w:szCs w:val="28"/>
        </w:rPr>
        <w:t>20</w:t>
      </w:r>
      <w:r>
        <w:rPr>
          <w:rFonts w:hint="eastAsia" w:ascii="仿宋_GB2312" w:hAnsi="仿宋_GB2312" w:eastAsia="仿宋" w:cs="仿宋_GB2312"/>
          <w:bCs/>
          <w:sz w:val="32"/>
          <w:szCs w:val="28"/>
        </w:rPr>
        <w:t>年财政支出项目绩效评价得分表</w:t>
      </w:r>
    </w:p>
    <w:tbl>
      <w:tblPr>
        <w:tblStyle w:val="15"/>
        <w:tblW w:w="5000" w:type="pct"/>
        <w:tblInd w:w="0" w:type="dxa"/>
        <w:tblLayout w:type="autofit"/>
        <w:tblCellMar>
          <w:top w:w="0" w:type="dxa"/>
          <w:left w:w="108" w:type="dxa"/>
          <w:bottom w:w="0" w:type="dxa"/>
          <w:right w:w="108" w:type="dxa"/>
        </w:tblCellMar>
      </w:tblPr>
      <w:tblGrid>
        <w:gridCol w:w="623"/>
        <w:gridCol w:w="4761"/>
        <w:gridCol w:w="1238"/>
        <w:gridCol w:w="1082"/>
        <w:gridCol w:w="1031"/>
        <w:gridCol w:w="873"/>
        <w:gridCol w:w="239"/>
      </w:tblGrid>
      <w:tr w14:paraId="02CA6959">
        <w:tblPrEx>
          <w:tblCellMar>
            <w:top w:w="0" w:type="dxa"/>
            <w:left w:w="108" w:type="dxa"/>
            <w:bottom w:w="0" w:type="dxa"/>
            <w:right w:w="108" w:type="dxa"/>
          </w:tblCellMar>
        </w:tblPrEx>
        <w:trPr>
          <w:gridAfter w:val="1"/>
          <w:wAfter w:w="123" w:type="pct"/>
          <w:trHeight w:val="560" w:hRule="atLeast"/>
          <w:tblHeader/>
        </w:trPr>
        <w:tc>
          <w:tcPr>
            <w:tcW w:w="318"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7259E12">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序号</w:t>
            </w:r>
          </w:p>
        </w:tc>
        <w:tc>
          <w:tcPr>
            <w:tcW w:w="2419" w:type="pct"/>
            <w:vMerge w:val="restart"/>
            <w:tcBorders>
              <w:top w:val="single" w:color="auto" w:sz="4" w:space="0"/>
              <w:left w:val="single" w:color="auto" w:sz="4" w:space="0"/>
              <w:bottom w:val="nil"/>
              <w:right w:val="single" w:color="auto" w:sz="4" w:space="0"/>
            </w:tcBorders>
            <w:shd w:val="clear" w:color="auto" w:fill="auto"/>
            <w:vAlign w:val="center"/>
          </w:tcPr>
          <w:p w14:paraId="30AF98B1">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项目名称</w:t>
            </w:r>
          </w:p>
        </w:tc>
        <w:tc>
          <w:tcPr>
            <w:tcW w:w="6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1BAA9A">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项目决策</w:t>
            </w:r>
            <w:r>
              <w:rPr>
                <w:rFonts w:ascii="Arial Narrow" w:hAnsi="Arial Narrow" w:eastAsia="仿宋" w:cs="宋体"/>
                <w:bCs/>
                <w:sz w:val="32"/>
                <w:szCs w:val="18"/>
              </w:rPr>
              <w:br w:type="textWrapping"/>
            </w:r>
            <w:r>
              <w:rPr>
                <w:rFonts w:ascii="Arial Narrow" w:hAnsi="Arial Narrow" w:eastAsia="仿宋" w:cs="宋体"/>
                <w:bCs/>
                <w:sz w:val="32"/>
                <w:szCs w:val="18"/>
              </w:rPr>
              <w:t>（20分）</w:t>
            </w:r>
          </w:p>
        </w:tc>
        <w:tc>
          <w:tcPr>
            <w:tcW w:w="55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657A85">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项目管理</w:t>
            </w:r>
            <w:r>
              <w:rPr>
                <w:rFonts w:ascii="Arial Narrow" w:hAnsi="Arial Narrow" w:eastAsia="仿宋" w:cs="宋体"/>
                <w:bCs/>
                <w:sz w:val="32"/>
                <w:szCs w:val="18"/>
              </w:rPr>
              <w:br w:type="textWrapping"/>
            </w:r>
            <w:r>
              <w:rPr>
                <w:rFonts w:ascii="Arial Narrow" w:hAnsi="Arial Narrow" w:eastAsia="仿宋" w:cs="宋体"/>
                <w:bCs/>
                <w:sz w:val="32"/>
                <w:szCs w:val="18"/>
              </w:rPr>
              <w:t>（10分）</w:t>
            </w:r>
          </w:p>
        </w:tc>
        <w:tc>
          <w:tcPr>
            <w:tcW w:w="52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3B9B63">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项目效果</w:t>
            </w:r>
            <w:r>
              <w:rPr>
                <w:rFonts w:ascii="Arial Narrow" w:hAnsi="Arial Narrow" w:eastAsia="仿宋" w:cs="宋体"/>
                <w:bCs/>
                <w:sz w:val="32"/>
                <w:szCs w:val="18"/>
              </w:rPr>
              <w:br w:type="textWrapping"/>
            </w:r>
            <w:r>
              <w:rPr>
                <w:rFonts w:ascii="Arial Narrow" w:hAnsi="Arial Narrow" w:eastAsia="仿宋" w:cs="宋体"/>
                <w:bCs/>
                <w:sz w:val="32"/>
                <w:szCs w:val="18"/>
              </w:rPr>
              <w:t>（70分）</w:t>
            </w:r>
          </w:p>
        </w:tc>
        <w:tc>
          <w:tcPr>
            <w:tcW w:w="434"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161D7A">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得分</w:t>
            </w:r>
          </w:p>
        </w:tc>
      </w:tr>
      <w:tr w14:paraId="4864D46D">
        <w:tblPrEx>
          <w:tblCellMar>
            <w:top w:w="0" w:type="dxa"/>
            <w:left w:w="108" w:type="dxa"/>
            <w:bottom w:w="0" w:type="dxa"/>
            <w:right w:w="108" w:type="dxa"/>
          </w:tblCellMar>
        </w:tblPrEx>
        <w:trPr>
          <w:trHeight w:val="280" w:hRule="atLeast"/>
          <w:tblHeader/>
        </w:trPr>
        <w:tc>
          <w:tcPr>
            <w:tcW w:w="318" w:type="pct"/>
            <w:vMerge w:val="continue"/>
            <w:tcBorders>
              <w:top w:val="single" w:color="auto" w:sz="4" w:space="0"/>
              <w:left w:val="single" w:color="auto" w:sz="4" w:space="0"/>
              <w:bottom w:val="single" w:color="000000" w:sz="4" w:space="0"/>
              <w:right w:val="single" w:color="auto" w:sz="4" w:space="0"/>
            </w:tcBorders>
            <w:vAlign w:val="center"/>
          </w:tcPr>
          <w:p w14:paraId="77C793A9">
            <w:pPr>
              <w:spacing w:line="560" w:lineRule="exact"/>
              <w:rPr>
                <w:rFonts w:ascii="Arial Narrow" w:hAnsi="Arial Narrow" w:eastAsia="仿宋" w:cs="宋体"/>
                <w:bCs/>
                <w:sz w:val="32"/>
                <w:szCs w:val="18"/>
              </w:rPr>
            </w:pPr>
          </w:p>
        </w:tc>
        <w:tc>
          <w:tcPr>
            <w:tcW w:w="2419" w:type="pct"/>
            <w:vMerge w:val="continue"/>
            <w:tcBorders>
              <w:top w:val="single" w:color="auto" w:sz="4" w:space="0"/>
              <w:left w:val="single" w:color="auto" w:sz="4" w:space="0"/>
              <w:bottom w:val="nil"/>
              <w:right w:val="single" w:color="auto" w:sz="4" w:space="0"/>
            </w:tcBorders>
            <w:vAlign w:val="center"/>
          </w:tcPr>
          <w:p w14:paraId="591D29F1">
            <w:pPr>
              <w:spacing w:line="560" w:lineRule="exact"/>
              <w:rPr>
                <w:rFonts w:ascii="Arial Narrow" w:hAnsi="Arial Narrow" w:eastAsia="仿宋" w:cs="宋体"/>
                <w:bCs/>
                <w:sz w:val="32"/>
                <w:szCs w:val="18"/>
              </w:rPr>
            </w:pPr>
          </w:p>
        </w:tc>
        <w:tc>
          <w:tcPr>
            <w:tcW w:w="630" w:type="pct"/>
            <w:vMerge w:val="continue"/>
            <w:tcBorders>
              <w:top w:val="single" w:color="auto" w:sz="4" w:space="0"/>
              <w:left w:val="single" w:color="auto" w:sz="4" w:space="0"/>
              <w:bottom w:val="single" w:color="auto" w:sz="4" w:space="0"/>
              <w:right w:val="single" w:color="auto" w:sz="4" w:space="0"/>
            </w:tcBorders>
            <w:vAlign w:val="center"/>
          </w:tcPr>
          <w:p w14:paraId="36D157E1">
            <w:pPr>
              <w:spacing w:line="560" w:lineRule="exact"/>
              <w:rPr>
                <w:rFonts w:ascii="Arial Narrow" w:hAnsi="Arial Narrow" w:eastAsia="仿宋" w:cs="宋体"/>
                <w:bCs/>
                <w:sz w:val="32"/>
                <w:szCs w:val="18"/>
              </w:rPr>
            </w:pPr>
          </w:p>
        </w:tc>
        <w:tc>
          <w:tcPr>
            <w:tcW w:w="551" w:type="pct"/>
            <w:vMerge w:val="continue"/>
            <w:tcBorders>
              <w:top w:val="single" w:color="auto" w:sz="4" w:space="0"/>
              <w:left w:val="single" w:color="auto" w:sz="4" w:space="0"/>
              <w:bottom w:val="single" w:color="auto" w:sz="4" w:space="0"/>
              <w:right w:val="single" w:color="auto" w:sz="4" w:space="0"/>
            </w:tcBorders>
            <w:vAlign w:val="center"/>
          </w:tcPr>
          <w:p w14:paraId="04694C39">
            <w:pPr>
              <w:spacing w:line="560" w:lineRule="exact"/>
              <w:rPr>
                <w:rFonts w:ascii="Arial Narrow" w:hAnsi="Arial Narrow" w:eastAsia="仿宋" w:cs="宋体"/>
                <w:bCs/>
                <w:sz w:val="32"/>
                <w:szCs w:val="18"/>
              </w:rPr>
            </w:pPr>
          </w:p>
        </w:tc>
        <w:tc>
          <w:tcPr>
            <w:tcW w:w="525" w:type="pct"/>
            <w:vMerge w:val="continue"/>
            <w:tcBorders>
              <w:top w:val="single" w:color="auto" w:sz="4" w:space="0"/>
              <w:left w:val="single" w:color="auto" w:sz="4" w:space="0"/>
              <w:bottom w:val="single" w:color="auto" w:sz="4" w:space="0"/>
              <w:right w:val="single" w:color="auto" w:sz="4" w:space="0"/>
            </w:tcBorders>
            <w:vAlign w:val="center"/>
          </w:tcPr>
          <w:p w14:paraId="000264DF">
            <w:pPr>
              <w:spacing w:line="560" w:lineRule="exact"/>
              <w:rPr>
                <w:rFonts w:ascii="Arial Narrow" w:hAnsi="Arial Narrow" w:eastAsia="仿宋" w:cs="宋体"/>
                <w:bCs/>
                <w:sz w:val="32"/>
                <w:szCs w:val="18"/>
              </w:rPr>
            </w:pPr>
          </w:p>
        </w:tc>
        <w:tc>
          <w:tcPr>
            <w:tcW w:w="434" w:type="pct"/>
            <w:vMerge w:val="continue"/>
            <w:tcBorders>
              <w:top w:val="single" w:color="auto" w:sz="4" w:space="0"/>
              <w:left w:val="single" w:color="auto" w:sz="4" w:space="0"/>
              <w:bottom w:val="single" w:color="auto" w:sz="4" w:space="0"/>
              <w:right w:val="single" w:color="auto" w:sz="4" w:space="0"/>
            </w:tcBorders>
            <w:vAlign w:val="center"/>
          </w:tcPr>
          <w:p w14:paraId="57F19C9C">
            <w:pPr>
              <w:spacing w:line="560" w:lineRule="exact"/>
              <w:rPr>
                <w:rFonts w:ascii="Arial Narrow" w:hAnsi="Arial Narrow" w:eastAsia="仿宋" w:cs="宋体"/>
                <w:bCs/>
                <w:sz w:val="32"/>
                <w:szCs w:val="18"/>
              </w:rPr>
            </w:pPr>
          </w:p>
        </w:tc>
        <w:tc>
          <w:tcPr>
            <w:tcW w:w="123" w:type="pct"/>
            <w:tcBorders>
              <w:top w:val="nil"/>
              <w:left w:val="nil"/>
              <w:bottom w:val="nil"/>
              <w:right w:val="nil"/>
            </w:tcBorders>
            <w:shd w:val="clear" w:color="auto" w:fill="auto"/>
            <w:noWrap/>
            <w:vAlign w:val="center"/>
          </w:tcPr>
          <w:p w14:paraId="534364EE">
            <w:pPr>
              <w:spacing w:line="560" w:lineRule="exact"/>
              <w:jc w:val="center"/>
              <w:rPr>
                <w:rFonts w:ascii="Arial Narrow" w:hAnsi="Arial Narrow" w:eastAsia="仿宋" w:cs="宋体"/>
                <w:bCs/>
                <w:sz w:val="32"/>
                <w:szCs w:val="18"/>
              </w:rPr>
            </w:pPr>
          </w:p>
        </w:tc>
      </w:tr>
      <w:tr w14:paraId="5CDCF2C6">
        <w:tblPrEx>
          <w:tblCellMar>
            <w:top w:w="0" w:type="dxa"/>
            <w:left w:w="108" w:type="dxa"/>
            <w:bottom w:w="0" w:type="dxa"/>
            <w:right w:w="108" w:type="dxa"/>
          </w:tblCellMar>
        </w:tblPrEx>
        <w:trPr>
          <w:trHeight w:val="280" w:hRule="atLeast"/>
          <w:tblHeader/>
        </w:trPr>
        <w:tc>
          <w:tcPr>
            <w:tcW w:w="318" w:type="pct"/>
            <w:vMerge w:val="continue"/>
            <w:tcBorders>
              <w:top w:val="single" w:color="auto" w:sz="4" w:space="0"/>
              <w:left w:val="single" w:color="auto" w:sz="4" w:space="0"/>
              <w:bottom w:val="single" w:color="000000" w:sz="4" w:space="0"/>
              <w:right w:val="single" w:color="auto" w:sz="4" w:space="0"/>
            </w:tcBorders>
            <w:vAlign w:val="center"/>
          </w:tcPr>
          <w:p w14:paraId="01568B76">
            <w:pPr>
              <w:spacing w:line="560" w:lineRule="exact"/>
              <w:rPr>
                <w:rFonts w:ascii="Arial Narrow" w:hAnsi="Arial Narrow" w:eastAsia="仿宋" w:cs="宋体"/>
                <w:bCs/>
                <w:sz w:val="32"/>
                <w:szCs w:val="18"/>
              </w:rPr>
            </w:pPr>
          </w:p>
        </w:tc>
        <w:tc>
          <w:tcPr>
            <w:tcW w:w="2419" w:type="pct"/>
            <w:vMerge w:val="continue"/>
            <w:tcBorders>
              <w:top w:val="single" w:color="auto" w:sz="4" w:space="0"/>
              <w:left w:val="single" w:color="auto" w:sz="4" w:space="0"/>
              <w:bottom w:val="nil"/>
              <w:right w:val="single" w:color="auto" w:sz="4" w:space="0"/>
            </w:tcBorders>
            <w:vAlign w:val="center"/>
          </w:tcPr>
          <w:p w14:paraId="13AC402C">
            <w:pPr>
              <w:spacing w:line="560" w:lineRule="exact"/>
              <w:rPr>
                <w:rFonts w:ascii="Arial Narrow" w:hAnsi="Arial Narrow" w:eastAsia="仿宋" w:cs="宋体"/>
                <w:bCs/>
                <w:sz w:val="32"/>
                <w:szCs w:val="18"/>
              </w:rPr>
            </w:pPr>
          </w:p>
        </w:tc>
        <w:tc>
          <w:tcPr>
            <w:tcW w:w="630" w:type="pct"/>
            <w:vMerge w:val="continue"/>
            <w:tcBorders>
              <w:top w:val="single" w:color="auto" w:sz="4" w:space="0"/>
              <w:left w:val="single" w:color="auto" w:sz="4" w:space="0"/>
              <w:bottom w:val="single" w:color="auto" w:sz="4" w:space="0"/>
              <w:right w:val="single" w:color="auto" w:sz="4" w:space="0"/>
            </w:tcBorders>
            <w:vAlign w:val="center"/>
          </w:tcPr>
          <w:p w14:paraId="06D7462A">
            <w:pPr>
              <w:spacing w:line="560" w:lineRule="exact"/>
              <w:rPr>
                <w:rFonts w:ascii="Arial Narrow" w:hAnsi="Arial Narrow" w:eastAsia="仿宋" w:cs="宋体"/>
                <w:bCs/>
                <w:sz w:val="32"/>
                <w:szCs w:val="18"/>
              </w:rPr>
            </w:pPr>
          </w:p>
        </w:tc>
        <w:tc>
          <w:tcPr>
            <w:tcW w:w="551" w:type="pct"/>
            <w:vMerge w:val="continue"/>
            <w:tcBorders>
              <w:top w:val="single" w:color="auto" w:sz="4" w:space="0"/>
              <w:left w:val="single" w:color="auto" w:sz="4" w:space="0"/>
              <w:bottom w:val="single" w:color="auto" w:sz="4" w:space="0"/>
              <w:right w:val="single" w:color="auto" w:sz="4" w:space="0"/>
            </w:tcBorders>
            <w:vAlign w:val="center"/>
          </w:tcPr>
          <w:p w14:paraId="56D882DD">
            <w:pPr>
              <w:spacing w:line="560" w:lineRule="exact"/>
              <w:rPr>
                <w:rFonts w:ascii="Arial Narrow" w:hAnsi="Arial Narrow" w:eastAsia="仿宋" w:cs="宋体"/>
                <w:bCs/>
                <w:sz w:val="32"/>
                <w:szCs w:val="18"/>
              </w:rPr>
            </w:pPr>
          </w:p>
        </w:tc>
        <w:tc>
          <w:tcPr>
            <w:tcW w:w="525" w:type="pct"/>
            <w:vMerge w:val="continue"/>
            <w:tcBorders>
              <w:top w:val="single" w:color="auto" w:sz="4" w:space="0"/>
              <w:left w:val="single" w:color="auto" w:sz="4" w:space="0"/>
              <w:bottom w:val="single" w:color="auto" w:sz="4" w:space="0"/>
              <w:right w:val="single" w:color="auto" w:sz="4" w:space="0"/>
            </w:tcBorders>
            <w:vAlign w:val="center"/>
          </w:tcPr>
          <w:p w14:paraId="4E711721">
            <w:pPr>
              <w:spacing w:line="560" w:lineRule="exact"/>
              <w:rPr>
                <w:rFonts w:ascii="Arial Narrow" w:hAnsi="Arial Narrow" w:eastAsia="仿宋" w:cs="宋体"/>
                <w:bCs/>
                <w:sz w:val="32"/>
                <w:szCs w:val="18"/>
              </w:rPr>
            </w:pPr>
          </w:p>
        </w:tc>
        <w:tc>
          <w:tcPr>
            <w:tcW w:w="434" w:type="pct"/>
            <w:vMerge w:val="continue"/>
            <w:tcBorders>
              <w:top w:val="single" w:color="auto" w:sz="4" w:space="0"/>
              <w:left w:val="single" w:color="auto" w:sz="4" w:space="0"/>
              <w:bottom w:val="single" w:color="auto" w:sz="4" w:space="0"/>
              <w:right w:val="single" w:color="auto" w:sz="4" w:space="0"/>
            </w:tcBorders>
            <w:vAlign w:val="center"/>
          </w:tcPr>
          <w:p w14:paraId="6882963C">
            <w:pPr>
              <w:spacing w:line="560" w:lineRule="exact"/>
              <w:rPr>
                <w:rFonts w:ascii="Arial Narrow" w:hAnsi="Arial Narrow" w:eastAsia="仿宋" w:cs="宋体"/>
                <w:bCs/>
                <w:sz w:val="32"/>
                <w:szCs w:val="18"/>
              </w:rPr>
            </w:pPr>
          </w:p>
        </w:tc>
        <w:tc>
          <w:tcPr>
            <w:tcW w:w="123" w:type="pct"/>
            <w:tcBorders>
              <w:top w:val="nil"/>
              <w:left w:val="nil"/>
              <w:bottom w:val="nil"/>
              <w:right w:val="nil"/>
            </w:tcBorders>
            <w:shd w:val="clear" w:color="auto" w:fill="auto"/>
            <w:noWrap/>
            <w:vAlign w:val="center"/>
          </w:tcPr>
          <w:p w14:paraId="0775DA53">
            <w:pPr>
              <w:spacing w:line="560" w:lineRule="exact"/>
              <w:rPr>
                <w:rFonts w:ascii="Arial Narrow" w:hAnsi="Arial Narrow" w:eastAsia="仿宋"/>
                <w:sz w:val="32"/>
                <w:szCs w:val="18"/>
              </w:rPr>
            </w:pPr>
          </w:p>
        </w:tc>
      </w:tr>
      <w:tr w14:paraId="4AC691A4">
        <w:tblPrEx>
          <w:tblCellMar>
            <w:top w:w="0" w:type="dxa"/>
            <w:left w:w="108" w:type="dxa"/>
            <w:bottom w:w="0" w:type="dxa"/>
            <w:right w:w="108" w:type="dxa"/>
          </w:tblCellMar>
        </w:tblPrEx>
        <w:trPr>
          <w:trHeight w:val="340" w:hRule="atLeast"/>
          <w:tblHeader/>
        </w:trPr>
        <w:tc>
          <w:tcPr>
            <w:tcW w:w="318" w:type="pct"/>
            <w:vMerge w:val="continue"/>
            <w:tcBorders>
              <w:top w:val="single" w:color="auto" w:sz="4" w:space="0"/>
              <w:left w:val="single" w:color="auto" w:sz="4" w:space="0"/>
              <w:bottom w:val="single" w:color="000000" w:sz="4" w:space="0"/>
              <w:right w:val="single" w:color="auto" w:sz="4" w:space="0"/>
            </w:tcBorders>
            <w:vAlign w:val="center"/>
          </w:tcPr>
          <w:p w14:paraId="203E891E">
            <w:pPr>
              <w:spacing w:line="560" w:lineRule="exact"/>
              <w:rPr>
                <w:rFonts w:ascii="Arial Narrow" w:hAnsi="Arial Narrow" w:eastAsia="仿宋" w:cs="宋体"/>
                <w:bCs/>
                <w:sz w:val="32"/>
                <w:szCs w:val="18"/>
              </w:rPr>
            </w:pPr>
          </w:p>
        </w:tc>
        <w:tc>
          <w:tcPr>
            <w:tcW w:w="2419" w:type="pct"/>
            <w:tcBorders>
              <w:top w:val="single" w:color="auto" w:sz="4" w:space="0"/>
              <w:left w:val="nil"/>
              <w:bottom w:val="single" w:color="auto" w:sz="4" w:space="0"/>
              <w:right w:val="single" w:color="auto" w:sz="4" w:space="0"/>
            </w:tcBorders>
            <w:shd w:val="clear" w:color="auto" w:fill="auto"/>
            <w:vAlign w:val="center"/>
          </w:tcPr>
          <w:p w14:paraId="6D0BA4D4">
            <w:pPr>
              <w:spacing w:line="560" w:lineRule="exact"/>
              <w:jc w:val="center"/>
              <w:rPr>
                <w:rFonts w:ascii="Arial Narrow" w:hAnsi="Arial Narrow" w:eastAsia="仿宋" w:cs="宋体"/>
                <w:sz w:val="32"/>
                <w:szCs w:val="18"/>
              </w:rPr>
            </w:pPr>
            <w:r>
              <w:rPr>
                <w:rFonts w:ascii="Arial Narrow" w:hAnsi="Arial Narrow" w:eastAsia="仿宋" w:cs="宋体"/>
                <w:sz w:val="32"/>
                <w:szCs w:val="18"/>
              </w:rPr>
              <w:t>权重</w:t>
            </w:r>
          </w:p>
        </w:tc>
        <w:tc>
          <w:tcPr>
            <w:tcW w:w="630" w:type="pct"/>
            <w:tcBorders>
              <w:top w:val="nil"/>
              <w:left w:val="nil"/>
              <w:bottom w:val="single" w:color="auto" w:sz="4" w:space="0"/>
              <w:right w:val="single" w:color="auto" w:sz="4" w:space="0"/>
            </w:tcBorders>
            <w:shd w:val="clear" w:color="auto" w:fill="auto"/>
            <w:vAlign w:val="center"/>
          </w:tcPr>
          <w:p w14:paraId="68E1AA68">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 xml:space="preserve">20.00 </w:t>
            </w:r>
          </w:p>
        </w:tc>
        <w:tc>
          <w:tcPr>
            <w:tcW w:w="551" w:type="pct"/>
            <w:tcBorders>
              <w:top w:val="nil"/>
              <w:left w:val="nil"/>
              <w:bottom w:val="single" w:color="auto" w:sz="4" w:space="0"/>
              <w:right w:val="single" w:color="auto" w:sz="4" w:space="0"/>
            </w:tcBorders>
            <w:shd w:val="clear" w:color="auto" w:fill="auto"/>
            <w:vAlign w:val="center"/>
          </w:tcPr>
          <w:p w14:paraId="682078E5">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 xml:space="preserve">10.00 </w:t>
            </w:r>
          </w:p>
        </w:tc>
        <w:tc>
          <w:tcPr>
            <w:tcW w:w="525" w:type="pct"/>
            <w:tcBorders>
              <w:top w:val="nil"/>
              <w:left w:val="nil"/>
              <w:bottom w:val="single" w:color="auto" w:sz="4" w:space="0"/>
              <w:right w:val="single" w:color="auto" w:sz="4" w:space="0"/>
            </w:tcBorders>
            <w:shd w:val="clear" w:color="auto" w:fill="auto"/>
            <w:vAlign w:val="center"/>
          </w:tcPr>
          <w:p w14:paraId="0E5FF3E5">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 xml:space="preserve">70.00 </w:t>
            </w:r>
          </w:p>
        </w:tc>
        <w:tc>
          <w:tcPr>
            <w:tcW w:w="434" w:type="pct"/>
            <w:tcBorders>
              <w:top w:val="nil"/>
              <w:left w:val="nil"/>
              <w:bottom w:val="single" w:color="auto" w:sz="4" w:space="0"/>
              <w:right w:val="single" w:color="auto" w:sz="4" w:space="0"/>
            </w:tcBorders>
            <w:shd w:val="clear" w:color="auto" w:fill="auto"/>
            <w:noWrap/>
            <w:vAlign w:val="center"/>
          </w:tcPr>
          <w:p w14:paraId="4BDB7441">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100</w:t>
            </w:r>
          </w:p>
        </w:tc>
        <w:tc>
          <w:tcPr>
            <w:tcW w:w="123" w:type="pct"/>
            <w:vAlign w:val="center"/>
          </w:tcPr>
          <w:p w14:paraId="0E2196E4">
            <w:pPr>
              <w:spacing w:line="560" w:lineRule="exact"/>
              <w:rPr>
                <w:rFonts w:ascii="Arial Narrow" w:hAnsi="Arial Narrow" w:eastAsia="仿宋"/>
                <w:sz w:val="32"/>
                <w:szCs w:val="18"/>
              </w:rPr>
            </w:pPr>
          </w:p>
        </w:tc>
      </w:tr>
      <w:tr w14:paraId="4A251A01">
        <w:tblPrEx>
          <w:tblCellMar>
            <w:top w:w="0" w:type="dxa"/>
            <w:left w:w="108" w:type="dxa"/>
            <w:bottom w:w="0" w:type="dxa"/>
            <w:right w:w="108" w:type="dxa"/>
          </w:tblCellMar>
        </w:tblPrEx>
        <w:trPr>
          <w:trHeight w:val="4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7D503127">
            <w:pPr>
              <w:spacing w:line="560" w:lineRule="exact"/>
              <w:jc w:val="center"/>
              <w:rPr>
                <w:rFonts w:ascii="Arial Narrow" w:hAnsi="Arial Narrow" w:eastAsia="仿宋" w:cs="宋体"/>
                <w:sz w:val="32"/>
                <w:szCs w:val="18"/>
              </w:rPr>
            </w:pPr>
            <w:r>
              <w:rPr>
                <w:rFonts w:ascii="Arial Narrow" w:hAnsi="Arial Narrow" w:eastAsia="仿宋" w:cs="宋体"/>
                <w:sz w:val="32"/>
                <w:szCs w:val="18"/>
              </w:rPr>
              <w:t>1</w:t>
            </w:r>
          </w:p>
        </w:tc>
        <w:tc>
          <w:tcPr>
            <w:tcW w:w="2419" w:type="pct"/>
            <w:tcBorders>
              <w:top w:val="nil"/>
              <w:left w:val="nil"/>
              <w:bottom w:val="single" w:color="auto" w:sz="4" w:space="0"/>
              <w:right w:val="single" w:color="auto" w:sz="4" w:space="0"/>
            </w:tcBorders>
            <w:shd w:val="clear" w:color="auto" w:fill="auto"/>
            <w:vAlign w:val="center"/>
          </w:tcPr>
          <w:p w14:paraId="142FC668">
            <w:pPr>
              <w:spacing w:line="560" w:lineRule="exact"/>
              <w:rPr>
                <w:rFonts w:ascii="Arial Narrow" w:hAnsi="Arial Narrow" w:eastAsia="仿宋" w:cs="宋体"/>
                <w:sz w:val="32"/>
                <w:szCs w:val="18"/>
              </w:rPr>
            </w:pPr>
            <w:r>
              <w:rPr>
                <w:rFonts w:ascii="Arial Narrow" w:hAnsi="Arial Narrow" w:eastAsia="仿宋" w:cs="宋体"/>
                <w:sz w:val="32"/>
                <w:szCs w:val="18"/>
              </w:rPr>
              <w:t>2018年第四批新增地方政府债券资金</w:t>
            </w:r>
          </w:p>
        </w:tc>
        <w:tc>
          <w:tcPr>
            <w:tcW w:w="630" w:type="pct"/>
            <w:tcBorders>
              <w:top w:val="nil"/>
              <w:left w:val="nil"/>
              <w:bottom w:val="single" w:color="auto" w:sz="4" w:space="0"/>
              <w:right w:val="single" w:color="auto" w:sz="4" w:space="0"/>
            </w:tcBorders>
            <w:shd w:val="clear" w:color="auto" w:fill="auto"/>
            <w:vAlign w:val="center"/>
          </w:tcPr>
          <w:p w14:paraId="0EF42B7A">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10.00 </w:t>
            </w:r>
          </w:p>
        </w:tc>
        <w:tc>
          <w:tcPr>
            <w:tcW w:w="551" w:type="pct"/>
            <w:tcBorders>
              <w:top w:val="nil"/>
              <w:left w:val="nil"/>
              <w:bottom w:val="single" w:color="auto" w:sz="4" w:space="0"/>
              <w:right w:val="single" w:color="auto" w:sz="4" w:space="0"/>
            </w:tcBorders>
            <w:shd w:val="clear" w:color="auto" w:fill="auto"/>
            <w:vAlign w:val="center"/>
          </w:tcPr>
          <w:p w14:paraId="61D515D6">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7.14 </w:t>
            </w:r>
          </w:p>
        </w:tc>
        <w:tc>
          <w:tcPr>
            <w:tcW w:w="525" w:type="pct"/>
            <w:tcBorders>
              <w:top w:val="nil"/>
              <w:left w:val="nil"/>
              <w:bottom w:val="single" w:color="auto" w:sz="4" w:space="0"/>
              <w:right w:val="single" w:color="auto" w:sz="4" w:space="0"/>
            </w:tcBorders>
            <w:shd w:val="clear" w:color="auto" w:fill="auto"/>
            <w:vAlign w:val="center"/>
          </w:tcPr>
          <w:p w14:paraId="7C88764E">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52.37 </w:t>
            </w:r>
          </w:p>
        </w:tc>
        <w:tc>
          <w:tcPr>
            <w:tcW w:w="434" w:type="pct"/>
            <w:tcBorders>
              <w:top w:val="nil"/>
              <w:left w:val="nil"/>
              <w:bottom w:val="single" w:color="auto" w:sz="4" w:space="0"/>
              <w:right w:val="single" w:color="auto" w:sz="4" w:space="0"/>
            </w:tcBorders>
            <w:shd w:val="clear" w:color="auto" w:fill="auto"/>
            <w:vAlign w:val="center"/>
          </w:tcPr>
          <w:p w14:paraId="1BA6EAF7">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69.51 </w:t>
            </w:r>
          </w:p>
        </w:tc>
        <w:tc>
          <w:tcPr>
            <w:tcW w:w="123" w:type="pct"/>
            <w:vAlign w:val="center"/>
          </w:tcPr>
          <w:p w14:paraId="32798EB9">
            <w:pPr>
              <w:spacing w:line="560" w:lineRule="exact"/>
              <w:rPr>
                <w:rFonts w:ascii="Arial Narrow" w:hAnsi="Arial Narrow" w:eastAsia="仿宋"/>
                <w:sz w:val="32"/>
                <w:szCs w:val="18"/>
              </w:rPr>
            </w:pPr>
          </w:p>
        </w:tc>
      </w:tr>
      <w:tr w14:paraId="16C41E9F">
        <w:tblPrEx>
          <w:tblCellMar>
            <w:top w:w="0" w:type="dxa"/>
            <w:left w:w="108" w:type="dxa"/>
            <w:bottom w:w="0" w:type="dxa"/>
            <w:right w:w="108" w:type="dxa"/>
          </w:tblCellMar>
        </w:tblPrEx>
        <w:trPr>
          <w:trHeight w:val="4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0041A569">
            <w:pPr>
              <w:spacing w:line="560" w:lineRule="exact"/>
              <w:jc w:val="center"/>
              <w:rPr>
                <w:rFonts w:ascii="Arial Narrow" w:hAnsi="Arial Narrow" w:eastAsia="仿宋" w:cs="宋体"/>
                <w:sz w:val="32"/>
                <w:szCs w:val="18"/>
              </w:rPr>
            </w:pPr>
            <w:r>
              <w:rPr>
                <w:rFonts w:ascii="Arial Narrow" w:hAnsi="Arial Narrow" w:eastAsia="仿宋" w:cs="宋体"/>
                <w:sz w:val="32"/>
                <w:szCs w:val="18"/>
              </w:rPr>
              <w:t>2</w:t>
            </w:r>
          </w:p>
        </w:tc>
        <w:tc>
          <w:tcPr>
            <w:tcW w:w="2419" w:type="pct"/>
            <w:tcBorders>
              <w:top w:val="nil"/>
              <w:left w:val="nil"/>
              <w:bottom w:val="single" w:color="auto" w:sz="4" w:space="0"/>
              <w:right w:val="single" w:color="auto" w:sz="4" w:space="0"/>
            </w:tcBorders>
            <w:shd w:val="clear" w:color="auto" w:fill="auto"/>
            <w:vAlign w:val="center"/>
          </w:tcPr>
          <w:p w14:paraId="220F6E9B">
            <w:pPr>
              <w:spacing w:line="560" w:lineRule="exact"/>
              <w:rPr>
                <w:rFonts w:ascii="Arial Narrow" w:hAnsi="Arial Narrow" w:eastAsia="仿宋" w:cs="宋体"/>
                <w:sz w:val="32"/>
                <w:szCs w:val="18"/>
              </w:rPr>
            </w:pPr>
            <w:r>
              <w:rPr>
                <w:rFonts w:ascii="Arial Narrow" w:hAnsi="Arial Narrow" w:eastAsia="仿宋" w:cs="宋体"/>
                <w:sz w:val="32"/>
                <w:szCs w:val="18"/>
              </w:rPr>
              <w:t>阿底村防洪堤项目</w:t>
            </w:r>
          </w:p>
        </w:tc>
        <w:tc>
          <w:tcPr>
            <w:tcW w:w="630" w:type="pct"/>
            <w:tcBorders>
              <w:top w:val="nil"/>
              <w:left w:val="nil"/>
              <w:bottom w:val="single" w:color="auto" w:sz="4" w:space="0"/>
              <w:right w:val="single" w:color="auto" w:sz="4" w:space="0"/>
            </w:tcBorders>
            <w:shd w:val="clear" w:color="auto" w:fill="auto"/>
            <w:vAlign w:val="center"/>
          </w:tcPr>
          <w:p w14:paraId="4F963BC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20.00 </w:t>
            </w:r>
          </w:p>
        </w:tc>
        <w:tc>
          <w:tcPr>
            <w:tcW w:w="551" w:type="pct"/>
            <w:tcBorders>
              <w:top w:val="nil"/>
              <w:left w:val="nil"/>
              <w:bottom w:val="single" w:color="auto" w:sz="4" w:space="0"/>
              <w:right w:val="single" w:color="auto" w:sz="4" w:space="0"/>
            </w:tcBorders>
            <w:shd w:val="clear" w:color="auto" w:fill="auto"/>
            <w:vAlign w:val="center"/>
          </w:tcPr>
          <w:p w14:paraId="5212947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7.73 </w:t>
            </w:r>
          </w:p>
        </w:tc>
        <w:tc>
          <w:tcPr>
            <w:tcW w:w="525" w:type="pct"/>
            <w:tcBorders>
              <w:top w:val="nil"/>
              <w:left w:val="nil"/>
              <w:bottom w:val="single" w:color="auto" w:sz="4" w:space="0"/>
              <w:right w:val="single" w:color="auto" w:sz="4" w:space="0"/>
            </w:tcBorders>
            <w:shd w:val="clear" w:color="auto" w:fill="auto"/>
            <w:vAlign w:val="center"/>
          </w:tcPr>
          <w:p w14:paraId="64475889">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64.06 </w:t>
            </w:r>
          </w:p>
        </w:tc>
        <w:tc>
          <w:tcPr>
            <w:tcW w:w="434" w:type="pct"/>
            <w:tcBorders>
              <w:top w:val="nil"/>
              <w:left w:val="nil"/>
              <w:bottom w:val="single" w:color="auto" w:sz="4" w:space="0"/>
              <w:right w:val="single" w:color="auto" w:sz="4" w:space="0"/>
            </w:tcBorders>
            <w:shd w:val="clear" w:color="auto" w:fill="auto"/>
            <w:vAlign w:val="center"/>
          </w:tcPr>
          <w:p w14:paraId="54195983">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91.79 </w:t>
            </w:r>
          </w:p>
        </w:tc>
        <w:tc>
          <w:tcPr>
            <w:tcW w:w="123" w:type="pct"/>
            <w:vAlign w:val="center"/>
          </w:tcPr>
          <w:p w14:paraId="791C17F2">
            <w:pPr>
              <w:spacing w:line="560" w:lineRule="exact"/>
              <w:rPr>
                <w:rFonts w:ascii="Arial Narrow" w:hAnsi="Arial Narrow" w:eastAsia="仿宋"/>
                <w:sz w:val="32"/>
                <w:szCs w:val="18"/>
              </w:rPr>
            </w:pPr>
          </w:p>
        </w:tc>
      </w:tr>
      <w:tr w14:paraId="1668B081">
        <w:tblPrEx>
          <w:tblCellMar>
            <w:top w:w="0" w:type="dxa"/>
            <w:left w:w="108" w:type="dxa"/>
            <w:bottom w:w="0" w:type="dxa"/>
            <w:right w:w="108" w:type="dxa"/>
          </w:tblCellMar>
        </w:tblPrEx>
        <w:trPr>
          <w:trHeight w:val="4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4444C171">
            <w:pPr>
              <w:spacing w:line="560" w:lineRule="exact"/>
              <w:jc w:val="center"/>
              <w:rPr>
                <w:rFonts w:ascii="Arial Narrow" w:hAnsi="Arial Narrow" w:eastAsia="仿宋" w:cs="宋体"/>
                <w:sz w:val="32"/>
                <w:szCs w:val="18"/>
              </w:rPr>
            </w:pPr>
            <w:r>
              <w:rPr>
                <w:rFonts w:ascii="Arial Narrow" w:hAnsi="Arial Narrow" w:eastAsia="仿宋" w:cs="宋体"/>
                <w:sz w:val="32"/>
                <w:szCs w:val="18"/>
              </w:rPr>
              <w:t>3</w:t>
            </w:r>
          </w:p>
        </w:tc>
        <w:tc>
          <w:tcPr>
            <w:tcW w:w="2419" w:type="pct"/>
            <w:tcBorders>
              <w:top w:val="nil"/>
              <w:left w:val="nil"/>
              <w:bottom w:val="single" w:color="auto" w:sz="4" w:space="0"/>
              <w:right w:val="single" w:color="auto" w:sz="4" w:space="0"/>
            </w:tcBorders>
            <w:shd w:val="clear" w:color="auto" w:fill="auto"/>
            <w:vAlign w:val="center"/>
          </w:tcPr>
          <w:p w14:paraId="3D96FCE5">
            <w:pPr>
              <w:spacing w:line="560" w:lineRule="exact"/>
              <w:rPr>
                <w:rFonts w:ascii="Arial Narrow" w:hAnsi="Arial Narrow" w:eastAsia="仿宋" w:cs="宋体"/>
                <w:sz w:val="32"/>
                <w:szCs w:val="18"/>
              </w:rPr>
            </w:pPr>
            <w:r>
              <w:rPr>
                <w:rFonts w:ascii="Arial Narrow" w:hAnsi="Arial Narrow" w:eastAsia="仿宋" w:cs="宋体"/>
                <w:sz w:val="32"/>
                <w:szCs w:val="18"/>
              </w:rPr>
              <w:t>松岗柯盘天街景区标识标牌制作和安装项目</w:t>
            </w:r>
          </w:p>
        </w:tc>
        <w:tc>
          <w:tcPr>
            <w:tcW w:w="630" w:type="pct"/>
            <w:tcBorders>
              <w:top w:val="nil"/>
              <w:left w:val="nil"/>
              <w:bottom w:val="single" w:color="auto" w:sz="4" w:space="0"/>
              <w:right w:val="single" w:color="auto" w:sz="4" w:space="0"/>
            </w:tcBorders>
            <w:shd w:val="clear" w:color="auto" w:fill="auto"/>
            <w:vAlign w:val="center"/>
          </w:tcPr>
          <w:p w14:paraId="2F3A7EAF">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9.00 </w:t>
            </w:r>
          </w:p>
        </w:tc>
        <w:tc>
          <w:tcPr>
            <w:tcW w:w="551" w:type="pct"/>
            <w:tcBorders>
              <w:top w:val="nil"/>
              <w:left w:val="nil"/>
              <w:bottom w:val="single" w:color="auto" w:sz="4" w:space="0"/>
              <w:right w:val="single" w:color="auto" w:sz="4" w:space="0"/>
            </w:tcBorders>
            <w:shd w:val="clear" w:color="auto" w:fill="auto"/>
            <w:vAlign w:val="center"/>
          </w:tcPr>
          <w:p w14:paraId="49B7F140">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4.29 </w:t>
            </w:r>
          </w:p>
        </w:tc>
        <w:tc>
          <w:tcPr>
            <w:tcW w:w="525" w:type="pct"/>
            <w:tcBorders>
              <w:top w:val="nil"/>
              <w:left w:val="nil"/>
              <w:bottom w:val="single" w:color="auto" w:sz="4" w:space="0"/>
              <w:right w:val="single" w:color="auto" w:sz="4" w:space="0"/>
            </w:tcBorders>
            <w:shd w:val="clear" w:color="auto" w:fill="auto"/>
            <w:vAlign w:val="center"/>
          </w:tcPr>
          <w:p w14:paraId="22D05349">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58.25 </w:t>
            </w:r>
          </w:p>
        </w:tc>
        <w:tc>
          <w:tcPr>
            <w:tcW w:w="434" w:type="pct"/>
            <w:tcBorders>
              <w:top w:val="nil"/>
              <w:left w:val="nil"/>
              <w:bottom w:val="single" w:color="auto" w:sz="4" w:space="0"/>
              <w:right w:val="single" w:color="auto" w:sz="4" w:space="0"/>
            </w:tcBorders>
            <w:shd w:val="clear" w:color="auto" w:fill="auto"/>
            <w:vAlign w:val="center"/>
          </w:tcPr>
          <w:p w14:paraId="35FAF7FA">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71.54 </w:t>
            </w:r>
          </w:p>
        </w:tc>
        <w:tc>
          <w:tcPr>
            <w:tcW w:w="123" w:type="pct"/>
            <w:vAlign w:val="center"/>
          </w:tcPr>
          <w:p w14:paraId="6CE48968">
            <w:pPr>
              <w:spacing w:line="560" w:lineRule="exact"/>
              <w:rPr>
                <w:rFonts w:ascii="Arial Narrow" w:hAnsi="Arial Narrow" w:eastAsia="仿宋"/>
                <w:sz w:val="32"/>
                <w:szCs w:val="18"/>
              </w:rPr>
            </w:pPr>
          </w:p>
        </w:tc>
      </w:tr>
      <w:tr w14:paraId="4FCB7EB9">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0C3D9049">
            <w:pPr>
              <w:spacing w:line="560" w:lineRule="exact"/>
              <w:jc w:val="center"/>
              <w:rPr>
                <w:rFonts w:ascii="Arial Narrow" w:hAnsi="Arial Narrow" w:eastAsia="仿宋" w:cs="宋体"/>
                <w:sz w:val="32"/>
                <w:szCs w:val="18"/>
              </w:rPr>
            </w:pPr>
            <w:r>
              <w:rPr>
                <w:rFonts w:ascii="Arial Narrow" w:hAnsi="Arial Narrow" w:eastAsia="仿宋" w:cs="宋体"/>
                <w:sz w:val="32"/>
                <w:szCs w:val="18"/>
              </w:rPr>
              <w:t>4</w:t>
            </w:r>
          </w:p>
        </w:tc>
        <w:tc>
          <w:tcPr>
            <w:tcW w:w="2419" w:type="pct"/>
            <w:tcBorders>
              <w:top w:val="nil"/>
              <w:left w:val="nil"/>
              <w:bottom w:val="single" w:color="auto" w:sz="4" w:space="0"/>
              <w:right w:val="single" w:color="auto" w:sz="4" w:space="0"/>
            </w:tcBorders>
            <w:shd w:val="clear" w:color="auto" w:fill="auto"/>
            <w:vAlign w:val="center"/>
          </w:tcPr>
          <w:p w14:paraId="1443C8A4">
            <w:pPr>
              <w:spacing w:line="560" w:lineRule="exact"/>
              <w:rPr>
                <w:rFonts w:ascii="Arial Narrow" w:hAnsi="Arial Narrow" w:eastAsia="仿宋" w:cs="宋体"/>
                <w:sz w:val="32"/>
                <w:szCs w:val="18"/>
              </w:rPr>
            </w:pPr>
            <w:r>
              <w:rPr>
                <w:rFonts w:ascii="Arial Narrow" w:hAnsi="Arial Narrow" w:eastAsia="仿宋" w:cs="宋体"/>
                <w:sz w:val="32"/>
                <w:szCs w:val="18"/>
              </w:rPr>
              <w:t>2019年中央专项彩票公益金支出贫困革命老区脱贫攻坚资金建设项目</w:t>
            </w:r>
          </w:p>
        </w:tc>
        <w:tc>
          <w:tcPr>
            <w:tcW w:w="630" w:type="pct"/>
            <w:tcBorders>
              <w:top w:val="nil"/>
              <w:left w:val="nil"/>
              <w:bottom w:val="single" w:color="auto" w:sz="4" w:space="0"/>
              <w:right w:val="single" w:color="auto" w:sz="4" w:space="0"/>
            </w:tcBorders>
            <w:shd w:val="clear" w:color="auto" w:fill="auto"/>
            <w:vAlign w:val="center"/>
          </w:tcPr>
          <w:p w14:paraId="6690033A">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20.00 </w:t>
            </w:r>
          </w:p>
        </w:tc>
        <w:tc>
          <w:tcPr>
            <w:tcW w:w="551" w:type="pct"/>
            <w:tcBorders>
              <w:top w:val="nil"/>
              <w:left w:val="nil"/>
              <w:bottom w:val="single" w:color="auto" w:sz="4" w:space="0"/>
              <w:right w:val="single" w:color="auto" w:sz="4" w:space="0"/>
            </w:tcBorders>
            <w:shd w:val="clear" w:color="auto" w:fill="auto"/>
            <w:vAlign w:val="center"/>
          </w:tcPr>
          <w:p w14:paraId="56C90265">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5.71 </w:t>
            </w:r>
          </w:p>
        </w:tc>
        <w:tc>
          <w:tcPr>
            <w:tcW w:w="525" w:type="pct"/>
            <w:tcBorders>
              <w:top w:val="nil"/>
              <w:left w:val="nil"/>
              <w:bottom w:val="single" w:color="auto" w:sz="4" w:space="0"/>
              <w:right w:val="single" w:color="auto" w:sz="4" w:space="0"/>
            </w:tcBorders>
            <w:shd w:val="clear" w:color="auto" w:fill="auto"/>
            <w:vAlign w:val="center"/>
          </w:tcPr>
          <w:p w14:paraId="06CC0A0E">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55.00 </w:t>
            </w:r>
          </w:p>
        </w:tc>
        <w:tc>
          <w:tcPr>
            <w:tcW w:w="434" w:type="pct"/>
            <w:tcBorders>
              <w:top w:val="nil"/>
              <w:left w:val="nil"/>
              <w:bottom w:val="single" w:color="auto" w:sz="4" w:space="0"/>
              <w:right w:val="single" w:color="auto" w:sz="4" w:space="0"/>
            </w:tcBorders>
            <w:shd w:val="clear" w:color="auto" w:fill="auto"/>
            <w:vAlign w:val="center"/>
          </w:tcPr>
          <w:p w14:paraId="694D3B60">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80.71 </w:t>
            </w:r>
          </w:p>
        </w:tc>
        <w:tc>
          <w:tcPr>
            <w:tcW w:w="123" w:type="pct"/>
            <w:vAlign w:val="center"/>
          </w:tcPr>
          <w:p w14:paraId="6E751CE3">
            <w:pPr>
              <w:spacing w:line="560" w:lineRule="exact"/>
              <w:rPr>
                <w:rFonts w:ascii="Arial Narrow" w:hAnsi="Arial Narrow" w:eastAsia="仿宋"/>
                <w:sz w:val="32"/>
                <w:szCs w:val="18"/>
              </w:rPr>
            </w:pPr>
          </w:p>
        </w:tc>
      </w:tr>
      <w:tr w14:paraId="65C95A95">
        <w:tblPrEx>
          <w:tblCellMar>
            <w:top w:w="0" w:type="dxa"/>
            <w:left w:w="108" w:type="dxa"/>
            <w:bottom w:w="0" w:type="dxa"/>
            <w:right w:w="108" w:type="dxa"/>
          </w:tblCellMar>
        </w:tblPrEx>
        <w:trPr>
          <w:trHeight w:val="48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3029C129">
            <w:pPr>
              <w:spacing w:line="560" w:lineRule="exact"/>
              <w:jc w:val="center"/>
              <w:rPr>
                <w:rFonts w:ascii="Arial Narrow" w:hAnsi="Arial Narrow" w:eastAsia="仿宋" w:cs="宋体"/>
                <w:sz w:val="32"/>
                <w:szCs w:val="18"/>
              </w:rPr>
            </w:pPr>
            <w:r>
              <w:rPr>
                <w:rFonts w:ascii="Arial Narrow" w:hAnsi="Arial Narrow" w:eastAsia="仿宋" w:cs="宋体"/>
                <w:sz w:val="32"/>
                <w:szCs w:val="18"/>
              </w:rPr>
              <w:t>5</w:t>
            </w:r>
          </w:p>
        </w:tc>
        <w:tc>
          <w:tcPr>
            <w:tcW w:w="2419" w:type="pct"/>
            <w:tcBorders>
              <w:top w:val="nil"/>
              <w:left w:val="nil"/>
              <w:bottom w:val="single" w:color="auto" w:sz="4" w:space="0"/>
              <w:right w:val="single" w:color="auto" w:sz="4" w:space="0"/>
            </w:tcBorders>
            <w:shd w:val="clear" w:color="auto" w:fill="auto"/>
            <w:vAlign w:val="center"/>
          </w:tcPr>
          <w:p w14:paraId="5D1ADBC4">
            <w:pPr>
              <w:spacing w:line="560" w:lineRule="exact"/>
              <w:rPr>
                <w:rFonts w:ascii="Arial Narrow" w:hAnsi="Arial Narrow" w:eastAsia="仿宋" w:cs="宋体"/>
                <w:sz w:val="32"/>
                <w:szCs w:val="18"/>
              </w:rPr>
            </w:pPr>
            <w:r>
              <w:rPr>
                <w:rFonts w:ascii="Arial Narrow" w:hAnsi="Arial Narrow" w:eastAsia="仿宋" w:cs="宋体"/>
                <w:sz w:val="32"/>
                <w:szCs w:val="18"/>
              </w:rPr>
              <w:t>草原防灭火项目</w:t>
            </w:r>
          </w:p>
        </w:tc>
        <w:tc>
          <w:tcPr>
            <w:tcW w:w="630" w:type="pct"/>
            <w:tcBorders>
              <w:top w:val="nil"/>
              <w:left w:val="nil"/>
              <w:bottom w:val="single" w:color="auto" w:sz="4" w:space="0"/>
              <w:right w:val="single" w:color="auto" w:sz="4" w:space="0"/>
            </w:tcBorders>
            <w:shd w:val="clear" w:color="auto" w:fill="auto"/>
            <w:vAlign w:val="center"/>
          </w:tcPr>
          <w:p w14:paraId="3E42E7D9">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20.00 </w:t>
            </w:r>
          </w:p>
        </w:tc>
        <w:tc>
          <w:tcPr>
            <w:tcW w:w="551" w:type="pct"/>
            <w:tcBorders>
              <w:top w:val="nil"/>
              <w:left w:val="nil"/>
              <w:bottom w:val="single" w:color="auto" w:sz="4" w:space="0"/>
              <w:right w:val="single" w:color="auto" w:sz="4" w:space="0"/>
            </w:tcBorders>
            <w:shd w:val="clear" w:color="auto" w:fill="auto"/>
            <w:vAlign w:val="center"/>
          </w:tcPr>
          <w:p w14:paraId="21742F3C">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5.71 </w:t>
            </w:r>
          </w:p>
        </w:tc>
        <w:tc>
          <w:tcPr>
            <w:tcW w:w="525" w:type="pct"/>
            <w:tcBorders>
              <w:top w:val="nil"/>
              <w:left w:val="nil"/>
              <w:bottom w:val="single" w:color="auto" w:sz="4" w:space="0"/>
              <w:right w:val="single" w:color="auto" w:sz="4" w:space="0"/>
            </w:tcBorders>
            <w:shd w:val="clear" w:color="auto" w:fill="auto"/>
            <w:vAlign w:val="center"/>
          </w:tcPr>
          <w:p w14:paraId="383C28BF">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65.65 </w:t>
            </w:r>
          </w:p>
        </w:tc>
        <w:tc>
          <w:tcPr>
            <w:tcW w:w="434" w:type="pct"/>
            <w:tcBorders>
              <w:top w:val="nil"/>
              <w:left w:val="nil"/>
              <w:bottom w:val="single" w:color="auto" w:sz="4" w:space="0"/>
              <w:right w:val="single" w:color="auto" w:sz="4" w:space="0"/>
            </w:tcBorders>
            <w:shd w:val="clear" w:color="auto" w:fill="auto"/>
            <w:vAlign w:val="center"/>
          </w:tcPr>
          <w:p w14:paraId="66653BF7">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91.36 </w:t>
            </w:r>
          </w:p>
        </w:tc>
        <w:tc>
          <w:tcPr>
            <w:tcW w:w="123" w:type="pct"/>
            <w:vAlign w:val="center"/>
          </w:tcPr>
          <w:p w14:paraId="5F0FC6F3">
            <w:pPr>
              <w:spacing w:line="560" w:lineRule="exact"/>
              <w:rPr>
                <w:rFonts w:ascii="Arial Narrow" w:hAnsi="Arial Narrow" w:eastAsia="仿宋"/>
                <w:sz w:val="32"/>
                <w:szCs w:val="18"/>
              </w:rPr>
            </w:pPr>
          </w:p>
        </w:tc>
      </w:tr>
      <w:tr w14:paraId="20782995">
        <w:tblPrEx>
          <w:tblCellMar>
            <w:top w:w="0" w:type="dxa"/>
            <w:left w:w="108" w:type="dxa"/>
            <w:bottom w:w="0" w:type="dxa"/>
            <w:right w:w="108" w:type="dxa"/>
          </w:tblCellMar>
        </w:tblPrEx>
        <w:trPr>
          <w:trHeight w:val="48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3E0436B2">
            <w:pPr>
              <w:spacing w:line="560" w:lineRule="exact"/>
              <w:jc w:val="center"/>
              <w:rPr>
                <w:rFonts w:ascii="Arial Narrow" w:hAnsi="Arial Narrow" w:eastAsia="仿宋" w:cs="宋体"/>
                <w:sz w:val="32"/>
                <w:szCs w:val="18"/>
              </w:rPr>
            </w:pPr>
            <w:r>
              <w:rPr>
                <w:rFonts w:ascii="Arial Narrow" w:hAnsi="Arial Narrow" w:eastAsia="仿宋" w:cs="宋体"/>
                <w:sz w:val="32"/>
                <w:szCs w:val="18"/>
              </w:rPr>
              <w:t>6</w:t>
            </w:r>
          </w:p>
        </w:tc>
        <w:tc>
          <w:tcPr>
            <w:tcW w:w="2419" w:type="pct"/>
            <w:tcBorders>
              <w:top w:val="nil"/>
              <w:left w:val="nil"/>
              <w:bottom w:val="single" w:color="auto" w:sz="4" w:space="0"/>
              <w:right w:val="single" w:color="auto" w:sz="4" w:space="0"/>
            </w:tcBorders>
            <w:shd w:val="clear" w:color="auto" w:fill="auto"/>
            <w:vAlign w:val="center"/>
          </w:tcPr>
          <w:p w14:paraId="6A0CD149">
            <w:pPr>
              <w:spacing w:line="560" w:lineRule="exact"/>
              <w:rPr>
                <w:rFonts w:ascii="Arial Narrow" w:hAnsi="Arial Narrow" w:eastAsia="仿宋" w:cs="宋体"/>
                <w:sz w:val="32"/>
                <w:szCs w:val="18"/>
              </w:rPr>
            </w:pPr>
            <w:r>
              <w:rPr>
                <w:rFonts w:ascii="Arial Narrow" w:hAnsi="Arial Narrow" w:eastAsia="仿宋" w:cs="宋体"/>
                <w:sz w:val="32"/>
                <w:szCs w:val="18"/>
              </w:rPr>
              <w:t>地质灾害综合防治体系建设项目</w:t>
            </w:r>
          </w:p>
        </w:tc>
        <w:tc>
          <w:tcPr>
            <w:tcW w:w="630" w:type="pct"/>
            <w:tcBorders>
              <w:top w:val="nil"/>
              <w:left w:val="nil"/>
              <w:bottom w:val="single" w:color="auto" w:sz="4" w:space="0"/>
              <w:right w:val="single" w:color="auto" w:sz="4" w:space="0"/>
            </w:tcBorders>
            <w:shd w:val="clear" w:color="auto" w:fill="auto"/>
            <w:vAlign w:val="center"/>
          </w:tcPr>
          <w:p w14:paraId="6D2ACCE4">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10.00 </w:t>
            </w:r>
          </w:p>
        </w:tc>
        <w:tc>
          <w:tcPr>
            <w:tcW w:w="551" w:type="pct"/>
            <w:tcBorders>
              <w:top w:val="nil"/>
              <w:left w:val="nil"/>
              <w:bottom w:val="single" w:color="auto" w:sz="4" w:space="0"/>
              <w:right w:val="single" w:color="auto" w:sz="4" w:space="0"/>
            </w:tcBorders>
            <w:shd w:val="clear" w:color="auto" w:fill="auto"/>
            <w:vAlign w:val="center"/>
          </w:tcPr>
          <w:p w14:paraId="5DA3225A">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8.00 </w:t>
            </w:r>
          </w:p>
        </w:tc>
        <w:tc>
          <w:tcPr>
            <w:tcW w:w="525" w:type="pct"/>
            <w:tcBorders>
              <w:top w:val="nil"/>
              <w:left w:val="nil"/>
              <w:bottom w:val="single" w:color="auto" w:sz="4" w:space="0"/>
              <w:right w:val="single" w:color="auto" w:sz="4" w:space="0"/>
            </w:tcBorders>
            <w:shd w:val="clear" w:color="auto" w:fill="auto"/>
            <w:vAlign w:val="center"/>
          </w:tcPr>
          <w:p w14:paraId="30E4861B">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55.62 </w:t>
            </w:r>
          </w:p>
        </w:tc>
        <w:tc>
          <w:tcPr>
            <w:tcW w:w="434" w:type="pct"/>
            <w:tcBorders>
              <w:top w:val="nil"/>
              <w:left w:val="nil"/>
              <w:bottom w:val="single" w:color="auto" w:sz="4" w:space="0"/>
              <w:right w:val="single" w:color="auto" w:sz="4" w:space="0"/>
            </w:tcBorders>
            <w:shd w:val="clear" w:color="auto" w:fill="auto"/>
            <w:vAlign w:val="center"/>
          </w:tcPr>
          <w:p w14:paraId="0786D838">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73.62 </w:t>
            </w:r>
          </w:p>
        </w:tc>
        <w:tc>
          <w:tcPr>
            <w:tcW w:w="123" w:type="pct"/>
            <w:vAlign w:val="center"/>
          </w:tcPr>
          <w:p w14:paraId="79D360FD">
            <w:pPr>
              <w:spacing w:line="560" w:lineRule="exact"/>
              <w:rPr>
                <w:rFonts w:ascii="Arial Narrow" w:hAnsi="Arial Narrow" w:eastAsia="仿宋"/>
                <w:sz w:val="32"/>
                <w:szCs w:val="18"/>
              </w:rPr>
            </w:pPr>
          </w:p>
        </w:tc>
      </w:tr>
      <w:tr w14:paraId="351E8C61">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4E42BFD1">
            <w:pPr>
              <w:spacing w:line="560" w:lineRule="exact"/>
              <w:jc w:val="center"/>
              <w:rPr>
                <w:rFonts w:ascii="Arial Narrow" w:hAnsi="Arial Narrow" w:eastAsia="仿宋" w:cs="宋体"/>
                <w:sz w:val="32"/>
                <w:szCs w:val="18"/>
              </w:rPr>
            </w:pPr>
            <w:r>
              <w:rPr>
                <w:rFonts w:ascii="Arial Narrow" w:hAnsi="Arial Narrow" w:eastAsia="仿宋" w:cs="宋体"/>
                <w:sz w:val="32"/>
                <w:szCs w:val="18"/>
              </w:rPr>
              <w:t>7</w:t>
            </w:r>
          </w:p>
        </w:tc>
        <w:tc>
          <w:tcPr>
            <w:tcW w:w="2419" w:type="pct"/>
            <w:tcBorders>
              <w:top w:val="nil"/>
              <w:left w:val="nil"/>
              <w:bottom w:val="single" w:color="auto" w:sz="4" w:space="0"/>
              <w:right w:val="single" w:color="auto" w:sz="4" w:space="0"/>
            </w:tcBorders>
            <w:shd w:val="clear" w:color="auto" w:fill="auto"/>
            <w:vAlign w:val="center"/>
          </w:tcPr>
          <w:p w14:paraId="2DF3DD00">
            <w:pPr>
              <w:spacing w:line="560" w:lineRule="exact"/>
              <w:rPr>
                <w:rFonts w:ascii="Arial Narrow" w:hAnsi="Arial Narrow" w:eastAsia="仿宋" w:cs="宋体"/>
                <w:sz w:val="32"/>
                <w:szCs w:val="18"/>
              </w:rPr>
            </w:pPr>
            <w:r>
              <w:rPr>
                <w:rFonts w:ascii="Arial Narrow" w:hAnsi="Arial Narrow" w:eastAsia="仿宋" w:cs="宋体"/>
                <w:sz w:val="32"/>
                <w:szCs w:val="18"/>
              </w:rPr>
              <w:t>2019年革命老区转移支付项目支出绩效评价报告</w:t>
            </w:r>
          </w:p>
        </w:tc>
        <w:tc>
          <w:tcPr>
            <w:tcW w:w="630" w:type="pct"/>
            <w:tcBorders>
              <w:top w:val="nil"/>
              <w:left w:val="nil"/>
              <w:bottom w:val="single" w:color="auto" w:sz="4" w:space="0"/>
              <w:right w:val="single" w:color="auto" w:sz="4" w:space="0"/>
            </w:tcBorders>
            <w:shd w:val="clear" w:color="auto" w:fill="auto"/>
            <w:vAlign w:val="center"/>
          </w:tcPr>
          <w:p w14:paraId="06A7372F">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10.00 </w:t>
            </w:r>
          </w:p>
        </w:tc>
        <w:tc>
          <w:tcPr>
            <w:tcW w:w="551" w:type="pct"/>
            <w:tcBorders>
              <w:top w:val="nil"/>
              <w:left w:val="nil"/>
              <w:bottom w:val="single" w:color="auto" w:sz="4" w:space="0"/>
              <w:right w:val="single" w:color="auto" w:sz="4" w:space="0"/>
            </w:tcBorders>
            <w:shd w:val="clear" w:color="auto" w:fill="auto"/>
            <w:vAlign w:val="center"/>
          </w:tcPr>
          <w:p w14:paraId="3D76256D">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5.71 </w:t>
            </w:r>
          </w:p>
        </w:tc>
        <w:tc>
          <w:tcPr>
            <w:tcW w:w="525" w:type="pct"/>
            <w:tcBorders>
              <w:top w:val="nil"/>
              <w:left w:val="nil"/>
              <w:bottom w:val="single" w:color="auto" w:sz="4" w:space="0"/>
              <w:right w:val="single" w:color="auto" w:sz="4" w:space="0"/>
            </w:tcBorders>
            <w:shd w:val="clear" w:color="auto" w:fill="auto"/>
            <w:vAlign w:val="center"/>
          </w:tcPr>
          <w:p w14:paraId="5E41E63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55.99 </w:t>
            </w:r>
          </w:p>
        </w:tc>
        <w:tc>
          <w:tcPr>
            <w:tcW w:w="434" w:type="pct"/>
            <w:tcBorders>
              <w:top w:val="nil"/>
              <w:left w:val="nil"/>
              <w:bottom w:val="single" w:color="auto" w:sz="4" w:space="0"/>
              <w:right w:val="single" w:color="auto" w:sz="4" w:space="0"/>
            </w:tcBorders>
            <w:shd w:val="clear" w:color="auto" w:fill="auto"/>
            <w:vAlign w:val="center"/>
          </w:tcPr>
          <w:p w14:paraId="2D8AD678">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71.70 </w:t>
            </w:r>
          </w:p>
        </w:tc>
        <w:tc>
          <w:tcPr>
            <w:tcW w:w="123" w:type="pct"/>
            <w:vAlign w:val="center"/>
          </w:tcPr>
          <w:p w14:paraId="5FFA56AA">
            <w:pPr>
              <w:spacing w:line="560" w:lineRule="exact"/>
              <w:rPr>
                <w:rFonts w:ascii="Arial Narrow" w:hAnsi="Arial Narrow" w:eastAsia="仿宋"/>
                <w:sz w:val="32"/>
                <w:szCs w:val="18"/>
              </w:rPr>
            </w:pPr>
          </w:p>
        </w:tc>
      </w:tr>
      <w:tr w14:paraId="59D3A1EA">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59B31188">
            <w:pPr>
              <w:spacing w:line="560" w:lineRule="exact"/>
              <w:jc w:val="center"/>
              <w:rPr>
                <w:rFonts w:ascii="Arial Narrow" w:hAnsi="Arial Narrow" w:eastAsia="仿宋" w:cs="宋体"/>
                <w:sz w:val="32"/>
                <w:szCs w:val="18"/>
              </w:rPr>
            </w:pPr>
            <w:r>
              <w:rPr>
                <w:rFonts w:ascii="Arial Narrow" w:hAnsi="Arial Narrow" w:eastAsia="仿宋" w:cs="宋体"/>
                <w:sz w:val="32"/>
                <w:szCs w:val="18"/>
              </w:rPr>
              <w:t>8</w:t>
            </w:r>
          </w:p>
        </w:tc>
        <w:tc>
          <w:tcPr>
            <w:tcW w:w="2419" w:type="pct"/>
            <w:tcBorders>
              <w:top w:val="nil"/>
              <w:left w:val="nil"/>
              <w:bottom w:val="single" w:color="auto" w:sz="4" w:space="0"/>
              <w:right w:val="single" w:color="auto" w:sz="4" w:space="0"/>
            </w:tcBorders>
            <w:shd w:val="clear" w:color="auto" w:fill="auto"/>
            <w:vAlign w:val="center"/>
          </w:tcPr>
          <w:p w14:paraId="78012E30">
            <w:pPr>
              <w:spacing w:line="560" w:lineRule="exact"/>
              <w:rPr>
                <w:rFonts w:ascii="Arial Narrow" w:hAnsi="Arial Narrow" w:eastAsia="仿宋" w:cs="宋体"/>
                <w:sz w:val="32"/>
                <w:szCs w:val="18"/>
              </w:rPr>
            </w:pPr>
            <w:r>
              <w:rPr>
                <w:rFonts w:ascii="Arial Narrow" w:hAnsi="Arial Narrow" w:eastAsia="仿宋" w:cs="宋体"/>
                <w:sz w:val="32"/>
                <w:szCs w:val="18"/>
              </w:rPr>
              <w:t>第八届嘉绒锅庄文化旅游节项目支出评价报告</w:t>
            </w:r>
          </w:p>
        </w:tc>
        <w:tc>
          <w:tcPr>
            <w:tcW w:w="630" w:type="pct"/>
            <w:tcBorders>
              <w:top w:val="nil"/>
              <w:left w:val="nil"/>
              <w:bottom w:val="single" w:color="auto" w:sz="4" w:space="0"/>
              <w:right w:val="single" w:color="auto" w:sz="4" w:space="0"/>
            </w:tcBorders>
            <w:shd w:val="clear" w:color="auto" w:fill="auto"/>
            <w:vAlign w:val="center"/>
          </w:tcPr>
          <w:p w14:paraId="58A5CA5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10.00 </w:t>
            </w:r>
          </w:p>
        </w:tc>
        <w:tc>
          <w:tcPr>
            <w:tcW w:w="551" w:type="pct"/>
            <w:tcBorders>
              <w:top w:val="nil"/>
              <w:left w:val="nil"/>
              <w:bottom w:val="single" w:color="auto" w:sz="4" w:space="0"/>
              <w:right w:val="single" w:color="auto" w:sz="4" w:space="0"/>
            </w:tcBorders>
            <w:shd w:val="clear" w:color="auto" w:fill="auto"/>
            <w:vAlign w:val="center"/>
          </w:tcPr>
          <w:p w14:paraId="4F19FBA7">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7.71 </w:t>
            </w:r>
          </w:p>
        </w:tc>
        <w:tc>
          <w:tcPr>
            <w:tcW w:w="525" w:type="pct"/>
            <w:tcBorders>
              <w:top w:val="nil"/>
              <w:left w:val="nil"/>
              <w:bottom w:val="single" w:color="auto" w:sz="4" w:space="0"/>
              <w:right w:val="single" w:color="auto" w:sz="4" w:space="0"/>
            </w:tcBorders>
            <w:shd w:val="clear" w:color="auto" w:fill="auto"/>
            <w:vAlign w:val="center"/>
          </w:tcPr>
          <w:p w14:paraId="6475837C">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66.99 </w:t>
            </w:r>
          </w:p>
        </w:tc>
        <w:tc>
          <w:tcPr>
            <w:tcW w:w="434" w:type="pct"/>
            <w:tcBorders>
              <w:top w:val="nil"/>
              <w:left w:val="nil"/>
              <w:bottom w:val="single" w:color="auto" w:sz="4" w:space="0"/>
              <w:right w:val="single" w:color="auto" w:sz="4" w:space="0"/>
            </w:tcBorders>
            <w:shd w:val="clear" w:color="auto" w:fill="auto"/>
            <w:vAlign w:val="center"/>
          </w:tcPr>
          <w:p w14:paraId="03515C49">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84.70 </w:t>
            </w:r>
          </w:p>
        </w:tc>
        <w:tc>
          <w:tcPr>
            <w:tcW w:w="123" w:type="pct"/>
            <w:vAlign w:val="center"/>
          </w:tcPr>
          <w:p w14:paraId="7B92C46B">
            <w:pPr>
              <w:spacing w:line="560" w:lineRule="exact"/>
              <w:rPr>
                <w:rFonts w:ascii="Arial Narrow" w:hAnsi="Arial Narrow" w:eastAsia="仿宋"/>
                <w:sz w:val="32"/>
                <w:szCs w:val="18"/>
              </w:rPr>
            </w:pPr>
          </w:p>
        </w:tc>
      </w:tr>
      <w:tr w14:paraId="1C380B7D">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0DF02690">
            <w:pPr>
              <w:spacing w:line="560" w:lineRule="exact"/>
              <w:jc w:val="center"/>
              <w:rPr>
                <w:rFonts w:ascii="Arial Narrow" w:hAnsi="Arial Narrow" w:eastAsia="仿宋" w:cs="宋体"/>
                <w:sz w:val="32"/>
                <w:szCs w:val="18"/>
              </w:rPr>
            </w:pPr>
            <w:r>
              <w:rPr>
                <w:rFonts w:ascii="Arial Narrow" w:hAnsi="Arial Narrow" w:eastAsia="仿宋" w:cs="宋体"/>
                <w:sz w:val="32"/>
                <w:szCs w:val="18"/>
              </w:rPr>
              <w:t>9</w:t>
            </w:r>
          </w:p>
        </w:tc>
        <w:tc>
          <w:tcPr>
            <w:tcW w:w="2419" w:type="pct"/>
            <w:tcBorders>
              <w:top w:val="nil"/>
              <w:left w:val="nil"/>
              <w:bottom w:val="single" w:color="auto" w:sz="4" w:space="0"/>
              <w:right w:val="single" w:color="auto" w:sz="4" w:space="0"/>
            </w:tcBorders>
            <w:shd w:val="clear" w:color="auto" w:fill="auto"/>
            <w:vAlign w:val="center"/>
          </w:tcPr>
          <w:p w14:paraId="1134EC05">
            <w:pPr>
              <w:spacing w:line="560" w:lineRule="exact"/>
              <w:rPr>
                <w:rFonts w:ascii="Arial Narrow" w:hAnsi="Arial Narrow" w:eastAsia="仿宋" w:cs="宋体"/>
                <w:sz w:val="32"/>
                <w:szCs w:val="18"/>
              </w:rPr>
            </w:pPr>
            <w:r>
              <w:rPr>
                <w:rFonts w:ascii="Arial Narrow" w:hAnsi="Arial Narrow" w:eastAsia="仿宋" w:cs="宋体"/>
                <w:sz w:val="32"/>
                <w:szCs w:val="18"/>
              </w:rPr>
              <w:t>建档立卡贫困人口基本医疗保险参保项目支出评价报告</w:t>
            </w:r>
          </w:p>
        </w:tc>
        <w:tc>
          <w:tcPr>
            <w:tcW w:w="630" w:type="pct"/>
            <w:tcBorders>
              <w:top w:val="nil"/>
              <w:left w:val="nil"/>
              <w:bottom w:val="single" w:color="auto" w:sz="4" w:space="0"/>
              <w:right w:val="single" w:color="auto" w:sz="4" w:space="0"/>
            </w:tcBorders>
            <w:shd w:val="clear" w:color="auto" w:fill="auto"/>
            <w:vAlign w:val="center"/>
          </w:tcPr>
          <w:p w14:paraId="30D29B4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15.00 </w:t>
            </w:r>
          </w:p>
        </w:tc>
        <w:tc>
          <w:tcPr>
            <w:tcW w:w="551" w:type="pct"/>
            <w:tcBorders>
              <w:top w:val="nil"/>
              <w:left w:val="nil"/>
              <w:bottom w:val="single" w:color="auto" w:sz="4" w:space="0"/>
              <w:right w:val="single" w:color="auto" w:sz="4" w:space="0"/>
            </w:tcBorders>
            <w:shd w:val="clear" w:color="auto" w:fill="auto"/>
            <w:vAlign w:val="center"/>
          </w:tcPr>
          <w:p w14:paraId="05B24809">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8.71 </w:t>
            </w:r>
          </w:p>
        </w:tc>
        <w:tc>
          <w:tcPr>
            <w:tcW w:w="525" w:type="pct"/>
            <w:tcBorders>
              <w:top w:val="nil"/>
              <w:left w:val="nil"/>
              <w:bottom w:val="single" w:color="auto" w:sz="4" w:space="0"/>
              <w:right w:val="single" w:color="auto" w:sz="4" w:space="0"/>
            </w:tcBorders>
            <w:shd w:val="clear" w:color="auto" w:fill="auto"/>
            <w:vAlign w:val="center"/>
          </w:tcPr>
          <w:p w14:paraId="37FD955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66.64 </w:t>
            </w:r>
          </w:p>
        </w:tc>
        <w:tc>
          <w:tcPr>
            <w:tcW w:w="434" w:type="pct"/>
            <w:tcBorders>
              <w:top w:val="nil"/>
              <w:left w:val="nil"/>
              <w:bottom w:val="single" w:color="auto" w:sz="4" w:space="0"/>
              <w:right w:val="single" w:color="auto" w:sz="4" w:space="0"/>
            </w:tcBorders>
            <w:shd w:val="clear" w:color="auto" w:fill="auto"/>
            <w:vAlign w:val="center"/>
          </w:tcPr>
          <w:p w14:paraId="0CED484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90.35 </w:t>
            </w:r>
          </w:p>
        </w:tc>
        <w:tc>
          <w:tcPr>
            <w:tcW w:w="123" w:type="pct"/>
            <w:vAlign w:val="center"/>
          </w:tcPr>
          <w:p w14:paraId="3D4AC4A2">
            <w:pPr>
              <w:spacing w:line="560" w:lineRule="exact"/>
              <w:rPr>
                <w:rFonts w:ascii="Arial Narrow" w:hAnsi="Arial Narrow" w:eastAsia="仿宋"/>
                <w:sz w:val="32"/>
                <w:szCs w:val="18"/>
              </w:rPr>
            </w:pPr>
          </w:p>
        </w:tc>
      </w:tr>
      <w:tr w14:paraId="3AED9598">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3B5E3558">
            <w:pPr>
              <w:spacing w:line="560" w:lineRule="exact"/>
              <w:jc w:val="center"/>
              <w:rPr>
                <w:rFonts w:ascii="Arial Narrow" w:hAnsi="Arial Narrow" w:eastAsia="仿宋" w:cs="宋体"/>
                <w:sz w:val="32"/>
                <w:szCs w:val="18"/>
              </w:rPr>
            </w:pPr>
            <w:r>
              <w:rPr>
                <w:rFonts w:ascii="Arial Narrow" w:hAnsi="Arial Narrow" w:eastAsia="仿宋" w:cs="宋体"/>
                <w:sz w:val="32"/>
                <w:szCs w:val="18"/>
              </w:rPr>
              <w:t>10</w:t>
            </w:r>
          </w:p>
        </w:tc>
        <w:tc>
          <w:tcPr>
            <w:tcW w:w="2419" w:type="pct"/>
            <w:tcBorders>
              <w:top w:val="nil"/>
              <w:left w:val="nil"/>
              <w:bottom w:val="single" w:color="auto" w:sz="4" w:space="0"/>
              <w:right w:val="single" w:color="auto" w:sz="4" w:space="0"/>
            </w:tcBorders>
            <w:shd w:val="clear" w:color="auto" w:fill="auto"/>
            <w:vAlign w:val="center"/>
          </w:tcPr>
          <w:p w14:paraId="60B0556B">
            <w:pPr>
              <w:spacing w:line="560" w:lineRule="exact"/>
              <w:rPr>
                <w:rFonts w:ascii="Arial Narrow" w:hAnsi="Arial Narrow" w:eastAsia="仿宋" w:cs="宋体"/>
                <w:sz w:val="32"/>
                <w:szCs w:val="18"/>
              </w:rPr>
            </w:pPr>
            <w:r>
              <w:rPr>
                <w:rFonts w:ascii="Arial Narrow" w:hAnsi="Arial Narrow" w:eastAsia="仿宋" w:cs="宋体"/>
                <w:sz w:val="32"/>
                <w:szCs w:val="18"/>
              </w:rPr>
              <w:t>看守拘留所建设项目支出评价报告</w:t>
            </w:r>
          </w:p>
        </w:tc>
        <w:tc>
          <w:tcPr>
            <w:tcW w:w="630" w:type="pct"/>
            <w:tcBorders>
              <w:top w:val="nil"/>
              <w:left w:val="nil"/>
              <w:bottom w:val="single" w:color="auto" w:sz="4" w:space="0"/>
              <w:right w:val="single" w:color="auto" w:sz="4" w:space="0"/>
            </w:tcBorders>
            <w:shd w:val="clear" w:color="auto" w:fill="auto"/>
            <w:vAlign w:val="center"/>
          </w:tcPr>
          <w:p w14:paraId="6761BBC8">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20.00 </w:t>
            </w:r>
          </w:p>
        </w:tc>
        <w:tc>
          <w:tcPr>
            <w:tcW w:w="551" w:type="pct"/>
            <w:tcBorders>
              <w:top w:val="nil"/>
              <w:left w:val="nil"/>
              <w:bottom w:val="single" w:color="auto" w:sz="4" w:space="0"/>
              <w:right w:val="single" w:color="auto" w:sz="4" w:space="0"/>
            </w:tcBorders>
            <w:shd w:val="clear" w:color="auto" w:fill="auto"/>
            <w:vAlign w:val="center"/>
          </w:tcPr>
          <w:p w14:paraId="0602ED5C">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10.00 </w:t>
            </w:r>
          </w:p>
        </w:tc>
        <w:tc>
          <w:tcPr>
            <w:tcW w:w="525" w:type="pct"/>
            <w:tcBorders>
              <w:top w:val="nil"/>
              <w:left w:val="nil"/>
              <w:bottom w:val="single" w:color="auto" w:sz="4" w:space="0"/>
              <w:right w:val="single" w:color="auto" w:sz="4" w:space="0"/>
            </w:tcBorders>
            <w:shd w:val="clear" w:color="auto" w:fill="auto"/>
            <w:vAlign w:val="center"/>
          </w:tcPr>
          <w:p w14:paraId="5AA7BA6D">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53.13 </w:t>
            </w:r>
          </w:p>
        </w:tc>
        <w:tc>
          <w:tcPr>
            <w:tcW w:w="434" w:type="pct"/>
            <w:tcBorders>
              <w:top w:val="nil"/>
              <w:left w:val="nil"/>
              <w:bottom w:val="single" w:color="auto" w:sz="4" w:space="0"/>
              <w:right w:val="single" w:color="auto" w:sz="4" w:space="0"/>
            </w:tcBorders>
            <w:shd w:val="clear" w:color="auto" w:fill="auto"/>
            <w:vAlign w:val="center"/>
          </w:tcPr>
          <w:p w14:paraId="038724F6">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83.13 </w:t>
            </w:r>
          </w:p>
        </w:tc>
        <w:tc>
          <w:tcPr>
            <w:tcW w:w="123" w:type="pct"/>
            <w:vAlign w:val="center"/>
          </w:tcPr>
          <w:p w14:paraId="2F3CD4DA">
            <w:pPr>
              <w:spacing w:line="560" w:lineRule="exact"/>
              <w:rPr>
                <w:rFonts w:ascii="Arial Narrow" w:hAnsi="Arial Narrow" w:eastAsia="仿宋"/>
                <w:sz w:val="32"/>
                <w:szCs w:val="18"/>
              </w:rPr>
            </w:pPr>
          </w:p>
        </w:tc>
      </w:tr>
      <w:tr w14:paraId="766DBE9C">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37257B2B">
            <w:pPr>
              <w:spacing w:line="560" w:lineRule="exact"/>
              <w:jc w:val="center"/>
              <w:rPr>
                <w:rFonts w:ascii="Arial Narrow" w:hAnsi="Arial Narrow" w:eastAsia="仿宋" w:cs="宋体"/>
                <w:sz w:val="32"/>
                <w:szCs w:val="18"/>
              </w:rPr>
            </w:pPr>
            <w:r>
              <w:rPr>
                <w:rFonts w:ascii="Arial Narrow" w:hAnsi="Arial Narrow" w:eastAsia="仿宋" w:cs="宋体"/>
                <w:sz w:val="32"/>
                <w:szCs w:val="18"/>
              </w:rPr>
              <w:t>11</w:t>
            </w:r>
          </w:p>
        </w:tc>
        <w:tc>
          <w:tcPr>
            <w:tcW w:w="2419" w:type="pct"/>
            <w:tcBorders>
              <w:top w:val="nil"/>
              <w:left w:val="nil"/>
              <w:bottom w:val="single" w:color="auto" w:sz="4" w:space="0"/>
              <w:right w:val="single" w:color="auto" w:sz="4" w:space="0"/>
            </w:tcBorders>
            <w:shd w:val="clear" w:color="auto" w:fill="auto"/>
            <w:vAlign w:val="center"/>
          </w:tcPr>
          <w:p w14:paraId="6ED16E38">
            <w:pPr>
              <w:spacing w:line="560" w:lineRule="exact"/>
              <w:rPr>
                <w:rFonts w:ascii="Arial Narrow" w:hAnsi="Arial Narrow" w:eastAsia="仿宋" w:cs="宋体"/>
                <w:sz w:val="32"/>
                <w:szCs w:val="18"/>
              </w:rPr>
            </w:pPr>
            <w:r>
              <w:rPr>
                <w:rFonts w:ascii="Arial Narrow" w:hAnsi="Arial Narrow" w:eastAsia="仿宋" w:cs="宋体"/>
                <w:sz w:val="32"/>
                <w:szCs w:val="18"/>
              </w:rPr>
              <w:t>党坝乡地拉秋村跨河大桥建设项目支出评价报告</w:t>
            </w:r>
          </w:p>
        </w:tc>
        <w:tc>
          <w:tcPr>
            <w:tcW w:w="630" w:type="pct"/>
            <w:tcBorders>
              <w:top w:val="nil"/>
              <w:left w:val="nil"/>
              <w:bottom w:val="single" w:color="auto" w:sz="4" w:space="0"/>
              <w:right w:val="single" w:color="auto" w:sz="4" w:space="0"/>
            </w:tcBorders>
            <w:shd w:val="clear" w:color="auto" w:fill="auto"/>
            <w:vAlign w:val="center"/>
          </w:tcPr>
          <w:p w14:paraId="63586060">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10.00 </w:t>
            </w:r>
          </w:p>
        </w:tc>
        <w:tc>
          <w:tcPr>
            <w:tcW w:w="551" w:type="pct"/>
            <w:tcBorders>
              <w:top w:val="nil"/>
              <w:left w:val="nil"/>
              <w:bottom w:val="single" w:color="auto" w:sz="4" w:space="0"/>
              <w:right w:val="single" w:color="auto" w:sz="4" w:space="0"/>
            </w:tcBorders>
            <w:shd w:val="clear" w:color="auto" w:fill="auto"/>
            <w:vAlign w:val="center"/>
          </w:tcPr>
          <w:p w14:paraId="5ECA2E6A">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5.71 </w:t>
            </w:r>
          </w:p>
        </w:tc>
        <w:tc>
          <w:tcPr>
            <w:tcW w:w="525" w:type="pct"/>
            <w:tcBorders>
              <w:top w:val="nil"/>
              <w:left w:val="nil"/>
              <w:bottom w:val="single" w:color="auto" w:sz="4" w:space="0"/>
              <w:right w:val="single" w:color="auto" w:sz="4" w:space="0"/>
            </w:tcBorders>
            <w:shd w:val="clear" w:color="auto" w:fill="auto"/>
            <w:vAlign w:val="center"/>
          </w:tcPr>
          <w:p w14:paraId="20BE6545">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64.98 </w:t>
            </w:r>
          </w:p>
        </w:tc>
        <w:tc>
          <w:tcPr>
            <w:tcW w:w="434" w:type="pct"/>
            <w:tcBorders>
              <w:top w:val="nil"/>
              <w:left w:val="nil"/>
              <w:bottom w:val="single" w:color="auto" w:sz="4" w:space="0"/>
              <w:right w:val="single" w:color="auto" w:sz="4" w:space="0"/>
            </w:tcBorders>
            <w:shd w:val="clear" w:color="auto" w:fill="auto"/>
            <w:vAlign w:val="center"/>
          </w:tcPr>
          <w:p w14:paraId="7AD41E55">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80.69 </w:t>
            </w:r>
          </w:p>
        </w:tc>
        <w:tc>
          <w:tcPr>
            <w:tcW w:w="123" w:type="pct"/>
            <w:vAlign w:val="center"/>
          </w:tcPr>
          <w:p w14:paraId="55277421">
            <w:pPr>
              <w:spacing w:line="560" w:lineRule="exact"/>
              <w:rPr>
                <w:rFonts w:ascii="Arial Narrow" w:hAnsi="Arial Narrow" w:eastAsia="仿宋"/>
                <w:sz w:val="32"/>
                <w:szCs w:val="18"/>
              </w:rPr>
            </w:pPr>
          </w:p>
        </w:tc>
      </w:tr>
      <w:tr w14:paraId="71EF79B9">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754BC212">
            <w:pPr>
              <w:spacing w:line="560" w:lineRule="exact"/>
              <w:jc w:val="center"/>
              <w:rPr>
                <w:rFonts w:ascii="Arial Narrow" w:hAnsi="Arial Narrow" w:eastAsia="仿宋" w:cs="宋体"/>
                <w:sz w:val="32"/>
                <w:szCs w:val="18"/>
              </w:rPr>
            </w:pPr>
            <w:r>
              <w:rPr>
                <w:rFonts w:ascii="Arial Narrow" w:hAnsi="Arial Narrow" w:eastAsia="仿宋" w:cs="宋体"/>
                <w:sz w:val="32"/>
                <w:szCs w:val="18"/>
              </w:rPr>
              <w:t>12</w:t>
            </w:r>
          </w:p>
        </w:tc>
        <w:tc>
          <w:tcPr>
            <w:tcW w:w="2419" w:type="pct"/>
            <w:tcBorders>
              <w:top w:val="nil"/>
              <w:left w:val="nil"/>
              <w:bottom w:val="single" w:color="auto" w:sz="4" w:space="0"/>
              <w:right w:val="single" w:color="auto" w:sz="4" w:space="0"/>
            </w:tcBorders>
            <w:shd w:val="clear" w:color="auto" w:fill="auto"/>
            <w:vAlign w:val="center"/>
          </w:tcPr>
          <w:p w14:paraId="77F4F600">
            <w:pPr>
              <w:spacing w:line="560" w:lineRule="exact"/>
              <w:rPr>
                <w:rFonts w:ascii="Arial Narrow" w:hAnsi="Arial Narrow" w:eastAsia="仿宋" w:cs="宋体"/>
                <w:sz w:val="32"/>
                <w:szCs w:val="18"/>
              </w:rPr>
            </w:pPr>
            <w:r>
              <w:rPr>
                <w:rFonts w:ascii="Arial Narrow" w:hAnsi="Arial Narrow" w:eastAsia="仿宋" w:cs="宋体"/>
                <w:sz w:val="32"/>
                <w:szCs w:val="18"/>
              </w:rPr>
              <w:t>2018-2019年粮食低温储备库建设项目支出评价报告</w:t>
            </w:r>
          </w:p>
        </w:tc>
        <w:tc>
          <w:tcPr>
            <w:tcW w:w="630" w:type="pct"/>
            <w:tcBorders>
              <w:top w:val="nil"/>
              <w:left w:val="nil"/>
              <w:bottom w:val="single" w:color="auto" w:sz="4" w:space="0"/>
              <w:right w:val="single" w:color="auto" w:sz="4" w:space="0"/>
            </w:tcBorders>
            <w:shd w:val="clear" w:color="auto" w:fill="auto"/>
            <w:vAlign w:val="center"/>
          </w:tcPr>
          <w:p w14:paraId="313D80DC">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15.00 </w:t>
            </w:r>
          </w:p>
        </w:tc>
        <w:tc>
          <w:tcPr>
            <w:tcW w:w="551" w:type="pct"/>
            <w:tcBorders>
              <w:top w:val="nil"/>
              <w:left w:val="nil"/>
              <w:bottom w:val="single" w:color="auto" w:sz="4" w:space="0"/>
              <w:right w:val="single" w:color="auto" w:sz="4" w:space="0"/>
            </w:tcBorders>
            <w:shd w:val="clear" w:color="auto" w:fill="auto"/>
            <w:vAlign w:val="center"/>
          </w:tcPr>
          <w:p w14:paraId="183100BD">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5.71 </w:t>
            </w:r>
          </w:p>
        </w:tc>
        <w:tc>
          <w:tcPr>
            <w:tcW w:w="525" w:type="pct"/>
            <w:tcBorders>
              <w:top w:val="nil"/>
              <w:left w:val="nil"/>
              <w:bottom w:val="single" w:color="auto" w:sz="4" w:space="0"/>
              <w:right w:val="single" w:color="auto" w:sz="4" w:space="0"/>
            </w:tcBorders>
            <w:shd w:val="clear" w:color="auto" w:fill="auto"/>
            <w:vAlign w:val="center"/>
          </w:tcPr>
          <w:p w14:paraId="58FB9586">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54.50 </w:t>
            </w:r>
          </w:p>
        </w:tc>
        <w:tc>
          <w:tcPr>
            <w:tcW w:w="434" w:type="pct"/>
            <w:tcBorders>
              <w:top w:val="nil"/>
              <w:left w:val="nil"/>
              <w:bottom w:val="single" w:color="auto" w:sz="4" w:space="0"/>
              <w:right w:val="single" w:color="auto" w:sz="4" w:space="0"/>
            </w:tcBorders>
            <w:shd w:val="clear" w:color="auto" w:fill="auto"/>
            <w:vAlign w:val="center"/>
          </w:tcPr>
          <w:p w14:paraId="44BC1A97">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75.21 </w:t>
            </w:r>
          </w:p>
        </w:tc>
        <w:tc>
          <w:tcPr>
            <w:tcW w:w="123" w:type="pct"/>
            <w:vAlign w:val="center"/>
          </w:tcPr>
          <w:p w14:paraId="0890FDCF">
            <w:pPr>
              <w:spacing w:line="560" w:lineRule="exact"/>
              <w:rPr>
                <w:rFonts w:ascii="Arial Narrow" w:hAnsi="Arial Narrow" w:eastAsia="仿宋"/>
                <w:sz w:val="32"/>
                <w:szCs w:val="18"/>
              </w:rPr>
            </w:pPr>
          </w:p>
        </w:tc>
      </w:tr>
      <w:tr w14:paraId="62B2DCB7">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61071BD4">
            <w:pPr>
              <w:spacing w:line="560" w:lineRule="exact"/>
              <w:jc w:val="center"/>
              <w:rPr>
                <w:rFonts w:ascii="Arial Narrow" w:hAnsi="Arial Narrow" w:eastAsia="仿宋" w:cs="宋体"/>
                <w:sz w:val="32"/>
                <w:szCs w:val="18"/>
              </w:rPr>
            </w:pPr>
            <w:r>
              <w:rPr>
                <w:rFonts w:ascii="Arial Narrow" w:hAnsi="Arial Narrow" w:eastAsia="仿宋" w:cs="宋体"/>
                <w:sz w:val="32"/>
                <w:szCs w:val="18"/>
              </w:rPr>
              <w:t>13</w:t>
            </w:r>
          </w:p>
        </w:tc>
        <w:tc>
          <w:tcPr>
            <w:tcW w:w="2419" w:type="pct"/>
            <w:tcBorders>
              <w:top w:val="nil"/>
              <w:left w:val="nil"/>
              <w:bottom w:val="single" w:color="auto" w:sz="4" w:space="0"/>
              <w:right w:val="single" w:color="auto" w:sz="4" w:space="0"/>
            </w:tcBorders>
            <w:shd w:val="clear" w:color="auto" w:fill="auto"/>
            <w:vAlign w:val="center"/>
          </w:tcPr>
          <w:p w14:paraId="5A56B0A0">
            <w:pPr>
              <w:spacing w:line="560" w:lineRule="exact"/>
              <w:rPr>
                <w:rFonts w:ascii="Arial Narrow" w:hAnsi="Arial Narrow" w:eastAsia="仿宋" w:cs="宋体"/>
                <w:sz w:val="32"/>
                <w:szCs w:val="18"/>
              </w:rPr>
            </w:pPr>
            <w:r>
              <w:rPr>
                <w:rFonts w:ascii="Arial Narrow" w:hAnsi="Arial Narrow" w:eastAsia="仿宋" w:cs="宋体"/>
                <w:sz w:val="32"/>
                <w:szCs w:val="18"/>
              </w:rPr>
              <w:t>马尔康市城市设计项目支出绩效评价报告</w:t>
            </w:r>
          </w:p>
        </w:tc>
        <w:tc>
          <w:tcPr>
            <w:tcW w:w="630" w:type="pct"/>
            <w:tcBorders>
              <w:top w:val="nil"/>
              <w:left w:val="nil"/>
              <w:bottom w:val="single" w:color="auto" w:sz="4" w:space="0"/>
              <w:right w:val="single" w:color="auto" w:sz="4" w:space="0"/>
            </w:tcBorders>
            <w:shd w:val="clear" w:color="auto" w:fill="auto"/>
            <w:vAlign w:val="center"/>
          </w:tcPr>
          <w:p w14:paraId="14992581">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15.00 </w:t>
            </w:r>
          </w:p>
        </w:tc>
        <w:tc>
          <w:tcPr>
            <w:tcW w:w="551" w:type="pct"/>
            <w:tcBorders>
              <w:top w:val="nil"/>
              <w:left w:val="nil"/>
              <w:bottom w:val="single" w:color="auto" w:sz="4" w:space="0"/>
              <w:right w:val="single" w:color="auto" w:sz="4" w:space="0"/>
            </w:tcBorders>
            <w:shd w:val="clear" w:color="auto" w:fill="auto"/>
            <w:vAlign w:val="center"/>
          </w:tcPr>
          <w:p w14:paraId="1218CB2D">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9.14 </w:t>
            </w:r>
          </w:p>
        </w:tc>
        <w:tc>
          <w:tcPr>
            <w:tcW w:w="525" w:type="pct"/>
            <w:tcBorders>
              <w:top w:val="nil"/>
              <w:left w:val="nil"/>
              <w:bottom w:val="single" w:color="auto" w:sz="4" w:space="0"/>
              <w:right w:val="single" w:color="auto" w:sz="4" w:space="0"/>
            </w:tcBorders>
            <w:shd w:val="clear" w:color="auto" w:fill="auto"/>
            <w:vAlign w:val="center"/>
          </w:tcPr>
          <w:p w14:paraId="6732BE2B">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47.74 </w:t>
            </w:r>
          </w:p>
        </w:tc>
        <w:tc>
          <w:tcPr>
            <w:tcW w:w="434" w:type="pct"/>
            <w:tcBorders>
              <w:top w:val="nil"/>
              <w:left w:val="nil"/>
              <w:bottom w:val="single" w:color="auto" w:sz="4" w:space="0"/>
              <w:right w:val="single" w:color="auto" w:sz="4" w:space="0"/>
            </w:tcBorders>
            <w:shd w:val="clear" w:color="auto" w:fill="auto"/>
            <w:vAlign w:val="center"/>
          </w:tcPr>
          <w:p w14:paraId="2F015661">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71.88 </w:t>
            </w:r>
          </w:p>
        </w:tc>
        <w:tc>
          <w:tcPr>
            <w:tcW w:w="123" w:type="pct"/>
            <w:vAlign w:val="center"/>
          </w:tcPr>
          <w:p w14:paraId="5D4F0D31">
            <w:pPr>
              <w:spacing w:line="560" w:lineRule="exact"/>
              <w:rPr>
                <w:rFonts w:ascii="Arial Narrow" w:hAnsi="Arial Narrow" w:eastAsia="仿宋"/>
                <w:sz w:val="32"/>
                <w:szCs w:val="18"/>
              </w:rPr>
            </w:pPr>
          </w:p>
        </w:tc>
      </w:tr>
      <w:tr w14:paraId="3153FD7B">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5BD65BA7">
            <w:pPr>
              <w:spacing w:line="560" w:lineRule="exact"/>
              <w:jc w:val="center"/>
              <w:rPr>
                <w:rFonts w:ascii="Arial Narrow" w:hAnsi="Arial Narrow" w:eastAsia="仿宋" w:cs="宋体"/>
                <w:sz w:val="32"/>
                <w:szCs w:val="18"/>
              </w:rPr>
            </w:pPr>
            <w:r>
              <w:rPr>
                <w:rFonts w:ascii="Arial Narrow" w:hAnsi="Arial Narrow" w:eastAsia="仿宋" w:cs="宋体"/>
                <w:sz w:val="32"/>
                <w:szCs w:val="18"/>
              </w:rPr>
              <w:t>14</w:t>
            </w:r>
          </w:p>
        </w:tc>
        <w:tc>
          <w:tcPr>
            <w:tcW w:w="2419" w:type="pct"/>
            <w:tcBorders>
              <w:top w:val="nil"/>
              <w:left w:val="nil"/>
              <w:bottom w:val="single" w:color="auto" w:sz="4" w:space="0"/>
              <w:right w:val="single" w:color="auto" w:sz="4" w:space="0"/>
            </w:tcBorders>
            <w:shd w:val="clear" w:color="auto" w:fill="auto"/>
            <w:vAlign w:val="center"/>
          </w:tcPr>
          <w:p w14:paraId="24DEBC8B">
            <w:pPr>
              <w:spacing w:line="560" w:lineRule="exact"/>
              <w:rPr>
                <w:rFonts w:ascii="Arial Narrow" w:hAnsi="Arial Narrow" w:eastAsia="仿宋" w:cs="宋体"/>
                <w:sz w:val="32"/>
                <w:szCs w:val="18"/>
              </w:rPr>
            </w:pPr>
            <w:r>
              <w:rPr>
                <w:rFonts w:ascii="Arial Narrow" w:hAnsi="Arial Narrow" w:eastAsia="仿宋" w:cs="宋体"/>
                <w:sz w:val="32"/>
                <w:szCs w:val="18"/>
              </w:rPr>
              <w:t>马尔康市第四小学会议室办公设备及学生生活设备项目支出评价报告</w:t>
            </w:r>
          </w:p>
        </w:tc>
        <w:tc>
          <w:tcPr>
            <w:tcW w:w="630" w:type="pct"/>
            <w:tcBorders>
              <w:top w:val="nil"/>
              <w:left w:val="nil"/>
              <w:bottom w:val="single" w:color="auto" w:sz="4" w:space="0"/>
              <w:right w:val="single" w:color="auto" w:sz="4" w:space="0"/>
            </w:tcBorders>
            <w:shd w:val="clear" w:color="auto" w:fill="auto"/>
            <w:vAlign w:val="center"/>
          </w:tcPr>
          <w:p w14:paraId="115D6E3C">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15.00 </w:t>
            </w:r>
          </w:p>
        </w:tc>
        <w:tc>
          <w:tcPr>
            <w:tcW w:w="551" w:type="pct"/>
            <w:tcBorders>
              <w:top w:val="nil"/>
              <w:left w:val="nil"/>
              <w:bottom w:val="single" w:color="auto" w:sz="4" w:space="0"/>
              <w:right w:val="single" w:color="auto" w:sz="4" w:space="0"/>
            </w:tcBorders>
            <w:shd w:val="clear" w:color="auto" w:fill="auto"/>
            <w:vAlign w:val="center"/>
          </w:tcPr>
          <w:p w14:paraId="1B846467">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8.29 </w:t>
            </w:r>
          </w:p>
        </w:tc>
        <w:tc>
          <w:tcPr>
            <w:tcW w:w="525" w:type="pct"/>
            <w:tcBorders>
              <w:top w:val="nil"/>
              <w:left w:val="nil"/>
              <w:bottom w:val="single" w:color="auto" w:sz="4" w:space="0"/>
              <w:right w:val="single" w:color="auto" w:sz="4" w:space="0"/>
            </w:tcBorders>
            <w:shd w:val="clear" w:color="auto" w:fill="auto"/>
            <w:vAlign w:val="center"/>
          </w:tcPr>
          <w:p w14:paraId="23030CFC">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63.85 </w:t>
            </w:r>
          </w:p>
        </w:tc>
        <w:tc>
          <w:tcPr>
            <w:tcW w:w="434" w:type="pct"/>
            <w:tcBorders>
              <w:top w:val="nil"/>
              <w:left w:val="nil"/>
              <w:bottom w:val="single" w:color="auto" w:sz="4" w:space="0"/>
              <w:right w:val="single" w:color="auto" w:sz="4" w:space="0"/>
            </w:tcBorders>
            <w:shd w:val="clear" w:color="auto" w:fill="auto"/>
            <w:vAlign w:val="center"/>
          </w:tcPr>
          <w:p w14:paraId="4767222B">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87.14 </w:t>
            </w:r>
          </w:p>
        </w:tc>
        <w:tc>
          <w:tcPr>
            <w:tcW w:w="123" w:type="pct"/>
            <w:vAlign w:val="center"/>
          </w:tcPr>
          <w:p w14:paraId="1809CF7F">
            <w:pPr>
              <w:spacing w:line="560" w:lineRule="exact"/>
              <w:rPr>
                <w:rFonts w:ascii="Arial Narrow" w:hAnsi="Arial Narrow" w:eastAsia="仿宋"/>
                <w:sz w:val="32"/>
                <w:szCs w:val="18"/>
              </w:rPr>
            </w:pPr>
          </w:p>
        </w:tc>
      </w:tr>
      <w:tr w14:paraId="0E9CEE0E">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3DCA54E8">
            <w:pPr>
              <w:spacing w:line="560" w:lineRule="exact"/>
              <w:jc w:val="center"/>
              <w:rPr>
                <w:rFonts w:ascii="Arial Narrow" w:hAnsi="Arial Narrow" w:eastAsia="仿宋" w:cs="宋体"/>
                <w:sz w:val="32"/>
                <w:szCs w:val="18"/>
              </w:rPr>
            </w:pPr>
            <w:r>
              <w:rPr>
                <w:rFonts w:ascii="Arial Narrow" w:hAnsi="Arial Narrow" w:eastAsia="仿宋" w:cs="宋体"/>
                <w:sz w:val="32"/>
                <w:szCs w:val="18"/>
              </w:rPr>
              <w:t>15</w:t>
            </w:r>
          </w:p>
        </w:tc>
        <w:tc>
          <w:tcPr>
            <w:tcW w:w="2419" w:type="pct"/>
            <w:tcBorders>
              <w:top w:val="nil"/>
              <w:left w:val="nil"/>
              <w:bottom w:val="single" w:color="auto" w:sz="4" w:space="0"/>
              <w:right w:val="single" w:color="auto" w:sz="4" w:space="0"/>
            </w:tcBorders>
            <w:shd w:val="clear" w:color="auto" w:fill="auto"/>
            <w:vAlign w:val="center"/>
          </w:tcPr>
          <w:p w14:paraId="41F0D8CD">
            <w:pPr>
              <w:spacing w:line="560" w:lineRule="exact"/>
              <w:rPr>
                <w:rFonts w:ascii="Arial Narrow" w:hAnsi="Arial Narrow" w:eastAsia="仿宋" w:cs="宋体"/>
                <w:sz w:val="32"/>
                <w:szCs w:val="18"/>
              </w:rPr>
            </w:pPr>
            <w:r>
              <w:rPr>
                <w:rFonts w:ascii="Arial Narrow" w:hAnsi="Arial Narrow" w:eastAsia="仿宋" w:cs="宋体"/>
                <w:sz w:val="32"/>
                <w:szCs w:val="18"/>
              </w:rPr>
              <w:t>农牧林产品加工物流园区产业扶持项目支出评价报告</w:t>
            </w:r>
          </w:p>
        </w:tc>
        <w:tc>
          <w:tcPr>
            <w:tcW w:w="630" w:type="pct"/>
            <w:tcBorders>
              <w:top w:val="nil"/>
              <w:left w:val="nil"/>
              <w:bottom w:val="single" w:color="auto" w:sz="4" w:space="0"/>
              <w:right w:val="single" w:color="auto" w:sz="4" w:space="0"/>
            </w:tcBorders>
            <w:shd w:val="clear" w:color="auto" w:fill="auto"/>
            <w:vAlign w:val="center"/>
          </w:tcPr>
          <w:p w14:paraId="1BBE4F13">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20.00 </w:t>
            </w:r>
          </w:p>
        </w:tc>
        <w:tc>
          <w:tcPr>
            <w:tcW w:w="551" w:type="pct"/>
            <w:tcBorders>
              <w:top w:val="nil"/>
              <w:left w:val="nil"/>
              <w:bottom w:val="single" w:color="auto" w:sz="4" w:space="0"/>
              <w:right w:val="single" w:color="auto" w:sz="4" w:space="0"/>
            </w:tcBorders>
            <w:shd w:val="clear" w:color="auto" w:fill="auto"/>
            <w:vAlign w:val="center"/>
          </w:tcPr>
          <w:p w14:paraId="5ACD55A1">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7.14 </w:t>
            </w:r>
          </w:p>
        </w:tc>
        <w:tc>
          <w:tcPr>
            <w:tcW w:w="525" w:type="pct"/>
            <w:tcBorders>
              <w:top w:val="nil"/>
              <w:left w:val="nil"/>
              <w:bottom w:val="single" w:color="auto" w:sz="4" w:space="0"/>
              <w:right w:val="single" w:color="auto" w:sz="4" w:space="0"/>
            </w:tcBorders>
            <w:shd w:val="clear" w:color="auto" w:fill="auto"/>
            <w:vAlign w:val="center"/>
          </w:tcPr>
          <w:p w14:paraId="7447E1A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53.00 </w:t>
            </w:r>
          </w:p>
        </w:tc>
        <w:tc>
          <w:tcPr>
            <w:tcW w:w="434" w:type="pct"/>
            <w:tcBorders>
              <w:top w:val="nil"/>
              <w:left w:val="nil"/>
              <w:bottom w:val="single" w:color="auto" w:sz="4" w:space="0"/>
              <w:right w:val="single" w:color="auto" w:sz="4" w:space="0"/>
            </w:tcBorders>
            <w:shd w:val="clear" w:color="auto" w:fill="auto"/>
            <w:vAlign w:val="center"/>
          </w:tcPr>
          <w:p w14:paraId="145F7A1A">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80.14 </w:t>
            </w:r>
          </w:p>
        </w:tc>
        <w:tc>
          <w:tcPr>
            <w:tcW w:w="123" w:type="pct"/>
            <w:vAlign w:val="center"/>
          </w:tcPr>
          <w:p w14:paraId="07C5A9B9">
            <w:pPr>
              <w:spacing w:line="560" w:lineRule="exact"/>
              <w:rPr>
                <w:rFonts w:ascii="Arial Narrow" w:hAnsi="Arial Narrow" w:eastAsia="仿宋"/>
                <w:sz w:val="32"/>
                <w:szCs w:val="18"/>
              </w:rPr>
            </w:pPr>
          </w:p>
        </w:tc>
      </w:tr>
      <w:tr w14:paraId="7840ACD3">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10BACEC4">
            <w:pPr>
              <w:spacing w:line="560" w:lineRule="exact"/>
              <w:jc w:val="center"/>
              <w:rPr>
                <w:rFonts w:ascii="Arial Narrow" w:hAnsi="Arial Narrow" w:eastAsia="仿宋" w:cs="宋体"/>
                <w:sz w:val="32"/>
                <w:szCs w:val="18"/>
              </w:rPr>
            </w:pPr>
            <w:r>
              <w:rPr>
                <w:rFonts w:ascii="Arial Narrow" w:hAnsi="Arial Narrow" w:eastAsia="仿宋" w:cs="宋体"/>
                <w:sz w:val="32"/>
                <w:szCs w:val="18"/>
              </w:rPr>
              <w:t>16</w:t>
            </w:r>
          </w:p>
        </w:tc>
        <w:tc>
          <w:tcPr>
            <w:tcW w:w="2419" w:type="pct"/>
            <w:tcBorders>
              <w:top w:val="nil"/>
              <w:left w:val="nil"/>
              <w:bottom w:val="single" w:color="auto" w:sz="4" w:space="0"/>
              <w:right w:val="single" w:color="auto" w:sz="4" w:space="0"/>
            </w:tcBorders>
            <w:shd w:val="clear" w:color="auto" w:fill="auto"/>
            <w:vAlign w:val="center"/>
          </w:tcPr>
          <w:p w14:paraId="7592BCDC">
            <w:pPr>
              <w:spacing w:line="560" w:lineRule="exact"/>
              <w:rPr>
                <w:rFonts w:ascii="Arial Narrow" w:hAnsi="Arial Narrow" w:eastAsia="仿宋" w:cs="宋体"/>
                <w:sz w:val="32"/>
                <w:szCs w:val="18"/>
              </w:rPr>
            </w:pPr>
            <w:r>
              <w:rPr>
                <w:rFonts w:ascii="Arial Narrow" w:hAnsi="Arial Narrow" w:eastAsia="仿宋" w:cs="宋体"/>
                <w:sz w:val="32"/>
                <w:szCs w:val="18"/>
              </w:rPr>
              <w:t>马尔康市人民医院太阳能热水系统及采暖改造采购项目支出评价报告</w:t>
            </w:r>
          </w:p>
        </w:tc>
        <w:tc>
          <w:tcPr>
            <w:tcW w:w="630" w:type="pct"/>
            <w:tcBorders>
              <w:top w:val="nil"/>
              <w:left w:val="nil"/>
              <w:bottom w:val="single" w:color="auto" w:sz="4" w:space="0"/>
              <w:right w:val="single" w:color="auto" w:sz="4" w:space="0"/>
            </w:tcBorders>
            <w:shd w:val="clear" w:color="auto" w:fill="auto"/>
            <w:vAlign w:val="center"/>
          </w:tcPr>
          <w:p w14:paraId="29545BC0">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15.00 </w:t>
            </w:r>
          </w:p>
        </w:tc>
        <w:tc>
          <w:tcPr>
            <w:tcW w:w="551" w:type="pct"/>
            <w:tcBorders>
              <w:top w:val="nil"/>
              <w:left w:val="nil"/>
              <w:bottom w:val="single" w:color="auto" w:sz="4" w:space="0"/>
              <w:right w:val="single" w:color="auto" w:sz="4" w:space="0"/>
            </w:tcBorders>
            <w:shd w:val="clear" w:color="auto" w:fill="auto"/>
            <w:vAlign w:val="center"/>
          </w:tcPr>
          <w:p w14:paraId="79CB479C">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8.00 </w:t>
            </w:r>
          </w:p>
        </w:tc>
        <w:tc>
          <w:tcPr>
            <w:tcW w:w="525" w:type="pct"/>
            <w:tcBorders>
              <w:top w:val="nil"/>
              <w:left w:val="nil"/>
              <w:bottom w:val="single" w:color="auto" w:sz="4" w:space="0"/>
              <w:right w:val="single" w:color="auto" w:sz="4" w:space="0"/>
            </w:tcBorders>
            <w:shd w:val="clear" w:color="auto" w:fill="auto"/>
            <w:vAlign w:val="center"/>
          </w:tcPr>
          <w:p w14:paraId="5454BDCF">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50.00 </w:t>
            </w:r>
          </w:p>
        </w:tc>
        <w:tc>
          <w:tcPr>
            <w:tcW w:w="434" w:type="pct"/>
            <w:tcBorders>
              <w:top w:val="nil"/>
              <w:left w:val="nil"/>
              <w:bottom w:val="single" w:color="auto" w:sz="4" w:space="0"/>
              <w:right w:val="single" w:color="auto" w:sz="4" w:space="0"/>
            </w:tcBorders>
            <w:shd w:val="clear" w:color="auto" w:fill="auto"/>
            <w:vAlign w:val="center"/>
          </w:tcPr>
          <w:p w14:paraId="7AF34B9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73.00 </w:t>
            </w:r>
          </w:p>
        </w:tc>
        <w:tc>
          <w:tcPr>
            <w:tcW w:w="123" w:type="pct"/>
            <w:vAlign w:val="center"/>
          </w:tcPr>
          <w:p w14:paraId="28E948FD">
            <w:pPr>
              <w:spacing w:line="560" w:lineRule="exact"/>
              <w:rPr>
                <w:rFonts w:ascii="Arial Narrow" w:hAnsi="Arial Narrow" w:eastAsia="仿宋"/>
                <w:sz w:val="32"/>
                <w:szCs w:val="18"/>
              </w:rPr>
            </w:pPr>
          </w:p>
        </w:tc>
      </w:tr>
      <w:tr w14:paraId="0961DCBE">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66D7FAAF">
            <w:pPr>
              <w:spacing w:line="560" w:lineRule="exact"/>
              <w:jc w:val="center"/>
              <w:rPr>
                <w:rFonts w:ascii="Arial Narrow" w:hAnsi="Arial Narrow" w:eastAsia="仿宋" w:cs="宋体"/>
                <w:sz w:val="32"/>
                <w:szCs w:val="18"/>
              </w:rPr>
            </w:pPr>
            <w:r>
              <w:rPr>
                <w:rFonts w:ascii="Arial Narrow" w:hAnsi="Arial Narrow" w:eastAsia="仿宋" w:cs="宋体"/>
                <w:sz w:val="32"/>
                <w:szCs w:val="18"/>
              </w:rPr>
              <w:t>17</w:t>
            </w:r>
          </w:p>
        </w:tc>
        <w:tc>
          <w:tcPr>
            <w:tcW w:w="2419" w:type="pct"/>
            <w:tcBorders>
              <w:top w:val="nil"/>
              <w:left w:val="nil"/>
              <w:bottom w:val="single" w:color="auto" w:sz="4" w:space="0"/>
              <w:right w:val="single" w:color="auto" w:sz="4" w:space="0"/>
            </w:tcBorders>
            <w:shd w:val="clear" w:color="auto" w:fill="auto"/>
            <w:vAlign w:val="center"/>
          </w:tcPr>
          <w:p w14:paraId="384F005A">
            <w:pPr>
              <w:spacing w:line="560" w:lineRule="exact"/>
              <w:rPr>
                <w:rFonts w:ascii="Arial Narrow" w:hAnsi="Arial Narrow" w:eastAsia="仿宋" w:cs="宋体"/>
                <w:sz w:val="32"/>
                <w:szCs w:val="18"/>
              </w:rPr>
            </w:pPr>
            <w:r>
              <w:rPr>
                <w:rFonts w:ascii="Arial Narrow" w:hAnsi="Arial Narrow" w:eastAsia="仿宋" w:cs="宋体"/>
                <w:sz w:val="32"/>
                <w:szCs w:val="18"/>
              </w:rPr>
              <w:t>中共马尔康市委宣传部马尔康市融媒体中心建设项目支出评价报告</w:t>
            </w:r>
          </w:p>
        </w:tc>
        <w:tc>
          <w:tcPr>
            <w:tcW w:w="630" w:type="pct"/>
            <w:tcBorders>
              <w:top w:val="nil"/>
              <w:left w:val="nil"/>
              <w:bottom w:val="single" w:color="auto" w:sz="4" w:space="0"/>
              <w:right w:val="single" w:color="auto" w:sz="4" w:space="0"/>
            </w:tcBorders>
            <w:shd w:val="clear" w:color="auto" w:fill="auto"/>
            <w:vAlign w:val="center"/>
          </w:tcPr>
          <w:p w14:paraId="0EC54F1E">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15.00 </w:t>
            </w:r>
          </w:p>
        </w:tc>
        <w:tc>
          <w:tcPr>
            <w:tcW w:w="551" w:type="pct"/>
            <w:tcBorders>
              <w:top w:val="nil"/>
              <w:left w:val="nil"/>
              <w:bottom w:val="single" w:color="auto" w:sz="4" w:space="0"/>
              <w:right w:val="single" w:color="auto" w:sz="4" w:space="0"/>
            </w:tcBorders>
            <w:shd w:val="clear" w:color="auto" w:fill="auto"/>
            <w:vAlign w:val="center"/>
          </w:tcPr>
          <w:p w14:paraId="3D06628F">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7.00 </w:t>
            </w:r>
          </w:p>
        </w:tc>
        <w:tc>
          <w:tcPr>
            <w:tcW w:w="525" w:type="pct"/>
            <w:tcBorders>
              <w:top w:val="nil"/>
              <w:left w:val="nil"/>
              <w:bottom w:val="single" w:color="auto" w:sz="4" w:space="0"/>
              <w:right w:val="single" w:color="auto" w:sz="4" w:space="0"/>
            </w:tcBorders>
            <w:shd w:val="clear" w:color="auto" w:fill="auto"/>
            <w:vAlign w:val="center"/>
          </w:tcPr>
          <w:p w14:paraId="35D9817B">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50.86 </w:t>
            </w:r>
          </w:p>
        </w:tc>
        <w:tc>
          <w:tcPr>
            <w:tcW w:w="434" w:type="pct"/>
            <w:tcBorders>
              <w:top w:val="nil"/>
              <w:left w:val="nil"/>
              <w:bottom w:val="single" w:color="auto" w:sz="4" w:space="0"/>
              <w:right w:val="single" w:color="auto" w:sz="4" w:space="0"/>
            </w:tcBorders>
            <w:shd w:val="clear" w:color="auto" w:fill="auto"/>
            <w:vAlign w:val="center"/>
          </w:tcPr>
          <w:p w14:paraId="0123CF5E">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72.86 </w:t>
            </w:r>
          </w:p>
        </w:tc>
        <w:tc>
          <w:tcPr>
            <w:tcW w:w="123" w:type="pct"/>
            <w:vAlign w:val="center"/>
          </w:tcPr>
          <w:p w14:paraId="413C743D">
            <w:pPr>
              <w:spacing w:line="560" w:lineRule="exact"/>
              <w:rPr>
                <w:rFonts w:ascii="Arial Narrow" w:hAnsi="Arial Narrow" w:eastAsia="仿宋"/>
                <w:sz w:val="32"/>
                <w:szCs w:val="18"/>
              </w:rPr>
            </w:pPr>
          </w:p>
        </w:tc>
      </w:tr>
      <w:tr w14:paraId="4D9E03F0">
        <w:tblPrEx>
          <w:tblCellMar>
            <w:top w:w="0" w:type="dxa"/>
            <w:left w:w="108" w:type="dxa"/>
            <w:bottom w:w="0" w:type="dxa"/>
            <w:right w:w="108" w:type="dxa"/>
          </w:tblCellMar>
        </w:tblPrEx>
        <w:trPr>
          <w:trHeight w:val="44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3D9FE3CF">
            <w:pPr>
              <w:spacing w:line="560" w:lineRule="exact"/>
              <w:jc w:val="center"/>
              <w:rPr>
                <w:rFonts w:ascii="Arial Narrow" w:hAnsi="Arial Narrow" w:eastAsia="仿宋" w:cs="宋体"/>
                <w:sz w:val="32"/>
                <w:szCs w:val="18"/>
              </w:rPr>
            </w:pPr>
            <w:r>
              <w:rPr>
                <w:rFonts w:ascii="Arial Narrow" w:hAnsi="Arial Narrow" w:eastAsia="仿宋" w:cs="宋体"/>
                <w:sz w:val="32"/>
                <w:szCs w:val="18"/>
              </w:rPr>
              <w:t>18</w:t>
            </w:r>
          </w:p>
        </w:tc>
        <w:tc>
          <w:tcPr>
            <w:tcW w:w="2419" w:type="pct"/>
            <w:tcBorders>
              <w:top w:val="nil"/>
              <w:left w:val="nil"/>
              <w:bottom w:val="single" w:color="auto" w:sz="4" w:space="0"/>
              <w:right w:val="single" w:color="auto" w:sz="4" w:space="0"/>
            </w:tcBorders>
            <w:shd w:val="clear" w:color="auto" w:fill="auto"/>
            <w:vAlign w:val="center"/>
          </w:tcPr>
          <w:p w14:paraId="1B9C425C">
            <w:pPr>
              <w:spacing w:line="560" w:lineRule="exact"/>
              <w:rPr>
                <w:rFonts w:ascii="Arial Narrow" w:hAnsi="Arial Narrow" w:eastAsia="仿宋" w:cs="宋体"/>
                <w:sz w:val="32"/>
                <w:szCs w:val="18"/>
              </w:rPr>
            </w:pPr>
            <w:r>
              <w:rPr>
                <w:rFonts w:ascii="Arial Narrow" w:hAnsi="Arial Narrow" w:eastAsia="仿宋" w:cs="宋体"/>
                <w:sz w:val="32"/>
                <w:szCs w:val="18"/>
              </w:rPr>
              <w:t>松岗村旅游综合服务设施项目支出评价报告</w:t>
            </w:r>
          </w:p>
        </w:tc>
        <w:tc>
          <w:tcPr>
            <w:tcW w:w="630" w:type="pct"/>
            <w:tcBorders>
              <w:top w:val="nil"/>
              <w:left w:val="nil"/>
              <w:bottom w:val="single" w:color="auto" w:sz="4" w:space="0"/>
              <w:right w:val="single" w:color="auto" w:sz="4" w:space="0"/>
            </w:tcBorders>
            <w:shd w:val="clear" w:color="auto" w:fill="auto"/>
            <w:vAlign w:val="center"/>
          </w:tcPr>
          <w:p w14:paraId="6125355B">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10.00 </w:t>
            </w:r>
          </w:p>
        </w:tc>
        <w:tc>
          <w:tcPr>
            <w:tcW w:w="551" w:type="pct"/>
            <w:tcBorders>
              <w:top w:val="nil"/>
              <w:left w:val="nil"/>
              <w:bottom w:val="single" w:color="auto" w:sz="4" w:space="0"/>
              <w:right w:val="single" w:color="auto" w:sz="4" w:space="0"/>
            </w:tcBorders>
            <w:shd w:val="clear" w:color="auto" w:fill="auto"/>
            <w:vAlign w:val="center"/>
          </w:tcPr>
          <w:p w14:paraId="7D0C7F4D">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5.71 </w:t>
            </w:r>
          </w:p>
        </w:tc>
        <w:tc>
          <w:tcPr>
            <w:tcW w:w="525" w:type="pct"/>
            <w:tcBorders>
              <w:top w:val="nil"/>
              <w:left w:val="nil"/>
              <w:bottom w:val="single" w:color="auto" w:sz="4" w:space="0"/>
              <w:right w:val="single" w:color="auto" w:sz="4" w:space="0"/>
            </w:tcBorders>
            <w:shd w:val="clear" w:color="auto" w:fill="auto"/>
            <w:vAlign w:val="center"/>
          </w:tcPr>
          <w:p w14:paraId="2E0F20E9">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64.92 </w:t>
            </w:r>
          </w:p>
        </w:tc>
        <w:tc>
          <w:tcPr>
            <w:tcW w:w="434" w:type="pct"/>
            <w:tcBorders>
              <w:top w:val="nil"/>
              <w:left w:val="nil"/>
              <w:bottom w:val="single" w:color="auto" w:sz="4" w:space="0"/>
              <w:right w:val="single" w:color="auto" w:sz="4" w:space="0"/>
            </w:tcBorders>
            <w:shd w:val="clear" w:color="auto" w:fill="auto"/>
            <w:vAlign w:val="center"/>
          </w:tcPr>
          <w:p w14:paraId="0ED8E87B">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80.63 </w:t>
            </w:r>
          </w:p>
        </w:tc>
        <w:tc>
          <w:tcPr>
            <w:tcW w:w="123" w:type="pct"/>
            <w:vAlign w:val="center"/>
          </w:tcPr>
          <w:p w14:paraId="13DA8220">
            <w:pPr>
              <w:spacing w:line="560" w:lineRule="exact"/>
              <w:rPr>
                <w:rFonts w:ascii="Arial Narrow" w:hAnsi="Arial Narrow" w:eastAsia="仿宋"/>
                <w:sz w:val="32"/>
                <w:szCs w:val="18"/>
              </w:rPr>
            </w:pPr>
          </w:p>
        </w:tc>
      </w:tr>
      <w:tr w14:paraId="7238087D">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1D6AB661">
            <w:pPr>
              <w:spacing w:line="560" w:lineRule="exact"/>
              <w:jc w:val="center"/>
              <w:rPr>
                <w:rFonts w:ascii="Arial Narrow" w:hAnsi="Arial Narrow" w:eastAsia="仿宋" w:cs="宋体"/>
                <w:sz w:val="32"/>
                <w:szCs w:val="18"/>
              </w:rPr>
            </w:pPr>
            <w:r>
              <w:rPr>
                <w:rFonts w:ascii="Arial Narrow" w:hAnsi="Arial Narrow" w:eastAsia="仿宋" w:cs="宋体"/>
                <w:sz w:val="32"/>
                <w:szCs w:val="18"/>
              </w:rPr>
              <w:t>19</w:t>
            </w:r>
          </w:p>
        </w:tc>
        <w:tc>
          <w:tcPr>
            <w:tcW w:w="2419" w:type="pct"/>
            <w:tcBorders>
              <w:top w:val="nil"/>
              <w:left w:val="nil"/>
              <w:bottom w:val="single" w:color="auto" w:sz="4" w:space="0"/>
              <w:right w:val="single" w:color="auto" w:sz="4" w:space="0"/>
            </w:tcBorders>
            <w:shd w:val="clear" w:color="auto" w:fill="auto"/>
            <w:vAlign w:val="center"/>
          </w:tcPr>
          <w:p w14:paraId="60D3D7F8">
            <w:pPr>
              <w:spacing w:line="560" w:lineRule="exact"/>
              <w:rPr>
                <w:rFonts w:ascii="Arial Narrow" w:hAnsi="Arial Narrow" w:eastAsia="仿宋" w:cs="宋体"/>
                <w:sz w:val="32"/>
                <w:szCs w:val="18"/>
              </w:rPr>
            </w:pPr>
            <w:r>
              <w:rPr>
                <w:rFonts w:ascii="Arial Narrow" w:hAnsi="Arial Narrow" w:eastAsia="仿宋" w:cs="宋体"/>
                <w:sz w:val="32"/>
                <w:szCs w:val="18"/>
              </w:rPr>
              <w:t>2019年农村教师周转宿舍建设省级补助资金项目支出评价报告</w:t>
            </w:r>
          </w:p>
        </w:tc>
        <w:tc>
          <w:tcPr>
            <w:tcW w:w="630" w:type="pct"/>
            <w:tcBorders>
              <w:top w:val="nil"/>
              <w:left w:val="nil"/>
              <w:bottom w:val="single" w:color="auto" w:sz="4" w:space="0"/>
              <w:right w:val="single" w:color="auto" w:sz="4" w:space="0"/>
            </w:tcBorders>
            <w:shd w:val="clear" w:color="auto" w:fill="auto"/>
            <w:vAlign w:val="center"/>
          </w:tcPr>
          <w:p w14:paraId="1EB571BD">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15.00 </w:t>
            </w:r>
          </w:p>
        </w:tc>
        <w:tc>
          <w:tcPr>
            <w:tcW w:w="551" w:type="pct"/>
            <w:tcBorders>
              <w:top w:val="nil"/>
              <w:left w:val="nil"/>
              <w:bottom w:val="single" w:color="auto" w:sz="4" w:space="0"/>
              <w:right w:val="single" w:color="auto" w:sz="4" w:space="0"/>
            </w:tcBorders>
            <w:shd w:val="clear" w:color="auto" w:fill="auto"/>
            <w:vAlign w:val="center"/>
          </w:tcPr>
          <w:p w14:paraId="2E5A2327">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9.14 </w:t>
            </w:r>
          </w:p>
        </w:tc>
        <w:tc>
          <w:tcPr>
            <w:tcW w:w="525" w:type="pct"/>
            <w:tcBorders>
              <w:top w:val="nil"/>
              <w:left w:val="nil"/>
              <w:bottom w:val="single" w:color="auto" w:sz="4" w:space="0"/>
              <w:right w:val="single" w:color="auto" w:sz="4" w:space="0"/>
            </w:tcBorders>
            <w:shd w:val="clear" w:color="auto" w:fill="auto"/>
            <w:vAlign w:val="center"/>
          </w:tcPr>
          <w:p w14:paraId="61362AE7">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45.00 </w:t>
            </w:r>
          </w:p>
        </w:tc>
        <w:tc>
          <w:tcPr>
            <w:tcW w:w="434" w:type="pct"/>
            <w:tcBorders>
              <w:top w:val="nil"/>
              <w:left w:val="nil"/>
              <w:bottom w:val="single" w:color="auto" w:sz="4" w:space="0"/>
              <w:right w:val="single" w:color="auto" w:sz="4" w:space="0"/>
            </w:tcBorders>
            <w:shd w:val="clear" w:color="auto" w:fill="auto"/>
            <w:vAlign w:val="center"/>
          </w:tcPr>
          <w:p w14:paraId="7B56E43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69.14 </w:t>
            </w:r>
          </w:p>
        </w:tc>
        <w:tc>
          <w:tcPr>
            <w:tcW w:w="123" w:type="pct"/>
            <w:vAlign w:val="center"/>
          </w:tcPr>
          <w:p w14:paraId="12E25F33">
            <w:pPr>
              <w:spacing w:line="560" w:lineRule="exact"/>
              <w:rPr>
                <w:rFonts w:ascii="Arial Narrow" w:hAnsi="Arial Narrow" w:eastAsia="仿宋"/>
                <w:sz w:val="32"/>
                <w:szCs w:val="18"/>
              </w:rPr>
            </w:pPr>
          </w:p>
        </w:tc>
      </w:tr>
      <w:tr w14:paraId="36535B1E">
        <w:tblPrEx>
          <w:tblCellMar>
            <w:top w:w="0" w:type="dxa"/>
            <w:left w:w="108" w:type="dxa"/>
            <w:bottom w:w="0" w:type="dxa"/>
            <w:right w:w="108" w:type="dxa"/>
          </w:tblCellMar>
        </w:tblPrEx>
        <w:trPr>
          <w:trHeight w:val="3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3451F616">
            <w:pPr>
              <w:spacing w:line="560" w:lineRule="exact"/>
              <w:jc w:val="center"/>
              <w:rPr>
                <w:rFonts w:ascii="Arial Narrow" w:hAnsi="Arial Narrow" w:eastAsia="仿宋" w:cs="宋体"/>
                <w:sz w:val="32"/>
                <w:szCs w:val="18"/>
              </w:rPr>
            </w:pPr>
            <w:r>
              <w:rPr>
                <w:rFonts w:ascii="Arial Narrow" w:hAnsi="Arial Narrow" w:eastAsia="仿宋" w:cs="宋体"/>
                <w:sz w:val="32"/>
                <w:szCs w:val="18"/>
              </w:rPr>
              <w:t>20</w:t>
            </w:r>
          </w:p>
        </w:tc>
        <w:tc>
          <w:tcPr>
            <w:tcW w:w="2419" w:type="pct"/>
            <w:tcBorders>
              <w:top w:val="nil"/>
              <w:left w:val="nil"/>
              <w:bottom w:val="single" w:color="auto" w:sz="4" w:space="0"/>
              <w:right w:val="single" w:color="auto" w:sz="4" w:space="0"/>
            </w:tcBorders>
            <w:shd w:val="clear" w:color="auto" w:fill="auto"/>
            <w:vAlign w:val="center"/>
          </w:tcPr>
          <w:p w14:paraId="2BFB5A20">
            <w:pPr>
              <w:spacing w:line="560" w:lineRule="exact"/>
              <w:rPr>
                <w:rFonts w:ascii="Arial Narrow" w:hAnsi="Arial Narrow" w:eastAsia="仿宋" w:cs="宋体"/>
                <w:sz w:val="32"/>
                <w:szCs w:val="18"/>
              </w:rPr>
            </w:pPr>
            <w:r>
              <w:rPr>
                <w:rFonts w:ascii="Arial Narrow" w:hAnsi="Arial Narrow" w:eastAsia="仿宋" w:cs="宋体"/>
                <w:sz w:val="32"/>
                <w:szCs w:val="18"/>
              </w:rPr>
              <w:t>夜景照明工程项目支出评价报告</w:t>
            </w:r>
          </w:p>
        </w:tc>
        <w:tc>
          <w:tcPr>
            <w:tcW w:w="630" w:type="pct"/>
            <w:tcBorders>
              <w:top w:val="nil"/>
              <w:left w:val="nil"/>
              <w:bottom w:val="single" w:color="auto" w:sz="4" w:space="0"/>
              <w:right w:val="single" w:color="auto" w:sz="4" w:space="0"/>
            </w:tcBorders>
            <w:shd w:val="clear" w:color="auto" w:fill="auto"/>
            <w:vAlign w:val="center"/>
          </w:tcPr>
          <w:p w14:paraId="143B6D0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9.00 </w:t>
            </w:r>
          </w:p>
        </w:tc>
        <w:tc>
          <w:tcPr>
            <w:tcW w:w="551" w:type="pct"/>
            <w:tcBorders>
              <w:top w:val="nil"/>
              <w:left w:val="nil"/>
              <w:bottom w:val="single" w:color="auto" w:sz="4" w:space="0"/>
              <w:right w:val="single" w:color="auto" w:sz="4" w:space="0"/>
            </w:tcBorders>
            <w:shd w:val="clear" w:color="auto" w:fill="auto"/>
            <w:vAlign w:val="center"/>
          </w:tcPr>
          <w:p w14:paraId="77E83F97">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5.71 </w:t>
            </w:r>
          </w:p>
        </w:tc>
        <w:tc>
          <w:tcPr>
            <w:tcW w:w="525" w:type="pct"/>
            <w:tcBorders>
              <w:top w:val="nil"/>
              <w:left w:val="nil"/>
              <w:bottom w:val="single" w:color="auto" w:sz="4" w:space="0"/>
              <w:right w:val="single" w:color="auto" w:sz="4" w:space="0"/>
            </w:tcBorders>
            <w:shd w:val="clear" w:color="auto" w:fill="auto"/>
            <w:vAlign w:val="center"/>
          </w:tcPr>
          <w:p w14:paraId="6189A52C">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64.48 </w:t>
            </w:r>
          </w:p>
        </w:tc>
        <w:tc>
          <w:tcPr>
            <w:tcW w:w="434" w:type="pct"/>
            <w:tcBorders>
              <w:top w:val="nil"/>
              <w:left w:val="nil"/>
              <w:bottom w:val="single" w:color="auto" w:sz="4" w:space="0"/>
              <w:right w:val="single" w:color="auto" w:sz="4" w:space="0"/>
            </w:tcBorders>
            <w:shd w:val="clear" w:color="auto" w:fill="auto"/>
            <w:vAlign w:val="center"/>
          </w:tcPr>
          <w:p w14:paraId="53BE9136">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79.19 </w:t>
            </w:r>
          </w:p>
        </w:tc>
        <w:tc>
          <w:tcPr>
            <w:tcW w:w="123" w:type="pct"/>
            <w:vAlign w:val="center"/>
          </w:tcPr>
          <w:p w14:paraId="7BED6B4D">
            <w:pPr>
              <w:spacing w:line="560" w:lineRule="exact"/>
              <w:rPr>
                <w:rFonts w:ascii="Arial Narrow" w:hAnsi="Arial Narrow" w:eastAsia="仿宋"/>
                <w:sz w:val="32"/>
                <w:szCs w:val="18"/>
              </w:rPr>
            </w:pPr>
          </w:p>
        </w:tc>
      </w:tr>
      <w:tr w14:paraId="4BD0905D">
        <w:tblPrEx>
          <w:tblCellMar>
            <w:top w:w="0" w:type="dxa"/>
            <w:left w:w="108" w:type="dxa"/>
            <w:bottom w:w="0" w:type="dxa"/>
            <w:right w:w="108" w:type="dxa"/>
          </w:tblCellMar>
        </w:tblPrEx>
        <w:trPr>
          <w:trHeight w:val="5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4E521BA1">
            <w:pPr>
              <w:spacing w:line="560" w:lineRule="exact"/>
              <w:jc w:val="center"/>
              <w:rPr>
                <w:rFonts w:ascii="Arial Narrow" w:hAnsi="Arial Narrow" w:eastAsia="仿宋" w:cs="宋体"/>
                <w:sz w:val="32"/>
                <w:szCs w:val="18"/>
              </w:rPr>
            </w:pPr>
            <w:r>
              <w:rPr>
                <w:rFonts w:ascii="Arial Narrow" w:hAnsi="Arial Narrow" w:eastAsia="仿宋" w:cs="宋体"/>
                <w:sz w:val="32"/>
                <w:szCs w:val="18"/>
              </w:rPr>
              <w:t>21</w:t>
            </w:r>
          </w:p>
        </w:tc>
        <w:tc>
          <w:tcPr>
            <w:tcW w:w="2419" w:type="pct"/>
            <w:tcBorders>
              <w:top w:val="nil"/>
              <w:left w:val="nil"/>
              <w:bottom w:val="single" w:color="auto" w:sz="4" w:space="0"/>
              <w:right w:val="single" w:color="auto" w:sz="4" w:space="0"/>
            </w:tcBorders>
            <w:shd w:val="clear" w:color="auto" w:fill="auto"/>
            <w:vAlign w:val="center"/>
          </w:tcPr>
          <w:p w14:paraId="0824D336">
            <w:pPr>
              <w:spacing w:line="560" w:lineRule="exact"/>
              <w:rPr>
                <w:rFonts w:ascii="Arial Narrow" w:hAnsi="Arial Narrow" w:eastAsia="仿宋" w:cs="宋体"/>
                <w:sz w:val="32"/>
                <w:szCs w:val="18"/>
              </w:rPr>
            </w:pPr>
            <w:r>
              <w:rPr>
                <w:rFonts w:ascii="Arial Narrow" w:hAnsi="Arial Narrow" w:eastAsia="仿宋" w:cs="宋体"/>
                <w:sz w:val="32"/>
                <w:szCs w:val="18"/>
              </w:rPr>
              <w:t>松岗天街配套基础设施建设项目支出评价报告</w:t>
            </w:r>
          </w:p>
        </w:tc>
        <w:tc>
          <w:tcPr>
            <w:tcW w:w="630" w:type="pct"/>
            <w:tcBorders>
              <w:top w:val="nil"/>
              <w:left w:val="nil"/>
              <w:bottom w:val="single" w:color="auto" w:sz="4" w:space="0"/>
              <w:right w:val="single" w:color="auto" w:sz="4" w:space="0"/>
            </w:tcBorders>
            <w:shd w:val="clear" w:color="auto" w:fill="auto"/>
            <w:vAlign w:val="center"/>
          </w:tcPr>
          <w:p w14:paraId="4CF1E48F">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10.00 </w:t>
            </w:r>
          </w:p>
        </w:tc>
        <w:tc>
          <w:tcPr>
            <w:tcW w:w="551" w:type="pct"/>
            <w:tcBorders>
              <w:top w:val="nil"/>
              <w:left w:val="nil"/>
              <w:bottom w:val="single" w:color="auto" w:sz="4" w:space="0"/>
              <w:right w:val="single" w:color="auto" w:sz="4" w:space="0"/>
            </w:tcBorders>
            <w:shd w:val="clear" w:color="auto" w:fill="auto"/>
            <w:vAlign w:val="center"/>
          </w:tcPr>
          <w:p w14:paraId="58DD0656">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7.71 </w:t>
            </w:r>
          </w:p>
        </w:tc>
        <w:tc>
          <w:tcPr>
            <w:tcW w:w="525" w:type="pct"/>
            <w:tcBorders>
              <w:top w:val="nil"/>
              <w:left w:val="nil"/>
              <w:bottom w:val="single" w:color="auto" w:sz="4" w:space="0"/>
              <w:right w:val="single" w:color="auto" w:sz="4" w:space="0"/>
            </w:tcBorders>
            <w:shd w:val="clear" w:color="auto" w:fill="auto"/>
            <w:vAlign w:val="center"/>
          </w:tcPr>
          <w:p w14:paraId="0808CFCF">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52.97 </w:t>
            </w:r>
          </w:p>
        </w:tc>
        <w:tc>
          <w:tcPr>
            <w:tcW w:w="434" w:type="pct"/>
            <w:tcBorders>
              <w:top w:val="nil"/>
              <w:left w:val="nil"/>
              <w:bottom w:val="single" w:color="auto" w:sz="4" w:space="0"/>
              <w:right w:val="single" w:color="auto" w:sz="4" w:space="0"/>
            </w:tcBorders>
            <w:shd w:val="clear" w:color="auto" w:fill="auto"/>
            <w:vAlign w:val="center"/>
          </w:tcPr>
          <w:p w14:paraId="3634A183">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70.68 </w:t>
            </w:r>
          </w:p>
        </w:tc>
        <w:tc>
          <w:tcPr>
            <w:tcW w:w="123" w:type="pct"/>
            <w:vAlign w:val="center"/>
          </w:tcPr>
          <w:p w14:paraId="62BDAF44">
            <w:pPr>
              <w:spacing w:line="560" w:lineRule="exact"/>
              <w:rPr>
                <w:rFonts w:ascii="Arial Narrow" w:hAnsi="Arial Narrow" w:eastAsia="仿宋"/>
                <w:sz w:val="32"/>
                <w:szCs w:val="18"/>
              </w:rPr>
            </w:pPr>
          </w:p>
        </w:tc>
      </w:tr>
      <w:tr w14:paraId="1C0F0653">
        <w:tblPrEx>
          <w:tblCellMar>
            <w:top w:w="0" w:type="dxa"/>
            <w:left w:w="108" w:type="dxa"/>
            <w:bottom w:w="0" w:type="dxa"/>
            <w:right w:w="108" w:type="dxa"/>
          </w:tblCellMar>
        </w:tblPrEx>
        <w:trPr>
          <w:trHeight w:val="3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1C0E18E5">
            <w:pPr>
              <w:spacing w:line="560" w:lineRule="exact"/>
              <w:jc w:val="center"/>
              <w:rPr>
                <w:rFonts w:ascii="Arial Narrow" w:hAnsi="Arial Narrow" w:eastAsia="仿宋" w:cs="宋体"/>
                <w:sz w:val="32"/>
                <w:szCs w:val="18"/>
              </w:rPr>
            </w:pPr>
            <w:r>
              <w:rPr>
                <w:rFonts w:ascii="Arial Narrow" w:hAnsi="Arial Narrow" w:eastAsia="仿宋" w:cs="宋体"/>
                <w:sz w:val="32"/>
                <w:szCs w:val="18"/>
              </w:rPr>
              <w:t>22</w:t>
            </w:r>
          </w:p>
        </w:tc>
        <w:tc>
          <w:tcPr>
            <w:tcW w:w="2419" w:type="pct"/>
            <w:tcBorders>
              <w:top w:val="nil"/>
              <w:left w:val="nil"/>
              <w:bottom w:val="single" w:color="auto" w:sz="4" w:space="0"/>
              <w:right w:val="single" w:color="auto" w:sz="4" w:space="0"/>
            </w:tcBorders>
            <w:shd w:val="clear" w:color="auto" w:fill="auto"/>
            <w:vAlign w:val="center"/>
          </w:tcPr>
          <w:p w14:paraId="2CFCE08F">
            <w:pPr>
              <w:spacing w:line="560" w:lineRule="exact"/>
              <w:rPr>
                <w:rFonts w:ascii="Arial Narrow" w:hAnsi="Arial Narrow" w:eastAsia="仿宋" w:cs="宋体"/>
                <w:sz w:val="32"/>
                <w:szCs w:val="18"/>
              </w:rPr>
            </w:pPr>
            <w:r>
              <w:rPr>
                <w:rFonts w:ascii="Arial Narrow" w:hAnsi="Arial Narrow" w:eastAsia="仿宋" w:cs="宋体"/>
                <w:sz w:val="32"/>
                <w:szCs w:val="18"/>
              </w:rPr>
              <w:t>2019年乡村振兴项目支出绩效评价报告</w:t>
            </w:r>
          </w:p>
        </w:tc>
        <w:tc>
          <w:tcPr>
            <w:tcW w:w="630" w:type="pct"/>
            <w:tcBorders>
              <w:top w:val="nil"/>
              <w:left w:val="nil"/>
              <w:bottom w:val="single" w:color="auto" w:sz="4" w:space="0"/>
              <w:right w:val="single" w:color="auto" w:sz="4" w:space="0"/>
            </w:tcBorders>
            <w:shd w:val="clear" w:color="auto" w:fill="auto"/>
            <w:vAlign w:val="center"/>
          </w:tcPr>
          <w:p w14:paraId="5CF6F207">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13.00 </w:t>
            </w:r>
          </w:p>
        </w:tc>
        <w:tc>
          <w:tcPr>
            <w:tcW w:w="551" w:type="pct"/>
            <w:tcBorders>
              <w:top w:val="nil"/>
              <w:left w:val="nil"/>
              <w:bottom w:val="single" w:color="auto" w:sz="4" w:space="0"/>
              <w:right w:val="single" w:color="auto" w:sz="4" w:space="0"/>
            </w:tcBorders>
            <w:shd w:val="clear" w:color="auto" w:fill="auto"/>
            <w:vAlign w:val="center"/>
          </w:tcPr>
          <w:p w14:paraId="7A9822A8">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10.00 </w:t>
            </w:r>
          </w:p>
        </w:tc>
        <w:tc>
          <w:tcPr>
            <w:tcW w:w="525" w:type="pct"/>
            <w:tcBorders>
              <w:top w:val="nil"/>
              <w:left w:val="nil"/>
              <w:bottom w:val="single" w:color="auto" w:sz="4" w:space="0"/>
              <w:right w:val="single" w:color="auto" w:sz="4" w:space="0"/>
            </w:tcBorders>
            <w:shd w:val="clear" w:color="auto" w:fill="auto"/>
            <w:vAlign w:val="center"/>
          </w:tcPr>
          <w:p w14:paraId="5CA2C445">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59.99 </w:t>
            </w:r>
          </w:p>
        </w:tc>
        <w:tc>
          <w:tcPr>
            <w:tcW w:w="434" w:type="pct"/>
            <w:tcBorders>
              <w:top w:val="nil"/>
              <w:left w:val="nil"/>
              <w:bottom w:val="single" w:color="auto" w:sz="4" w:space="0"/>
              <w:right w:val="single" w:color="auto" w:sz="4" w:space="0"/>
            </w:tcBorders>
            <w:shd w:val="clear" w:color="auto" w:fill="auto"/>
            <w:vAlign w:val="center"/>
          </w:tcPr>
          <w:p w14:paraId="0B00AC6C">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82.99 </w:t>
            </w:r>
          </w:p>
        </w:tc>
        <w:tc>
          <w:tcPr>
            <w:tcW w:w="123" w:type="pct"/>
            <w:vAlign w:val="center"/>
          </w:tcPr>
          <w:p w14:paraId="7AB1BB99">
            <w:pPr>
              <w:spacing w:line="560" w:lineRule="exact"/>
              <w:rPr>
                <w:rFonts w:ascii="Arial Narrow" w:hAnsi="Arial Narrow" w:eastAsia="仿宋"/>
                <w:sz w:val="32"/>
                <w:szCs w:val="18"/>
              </w:rPr>
            </w:pPr>
          </w:p>
        </w:tc>
      </w:tr>
      <w:tr w14:paraId="16B6AD7D">
        <w:tblPrEx>
          <w:tblCellMar>
            <w:top w:w="0" w:type="dxa"/>
            <w:left w:w="108" w:type="dxa"/>
            <w:bottom w:w="0" w:type="dxa"/>
            <w:right w:w="108" w:type="dxa"/>
          </w:tblCellMar>
        </w:tblPrEx>
        <w:trPr>
          <w:trHeight w:val="3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60C73CB8">
            <w:pPr>
              <w:spacing w:line="560" w:lineRule="exact"/>
              <w:jc w:val="center"/>
              <w:rPr>
                <w:rFonts w:ascii="Arial Narrow" w:hAnsi="Arial Narrow" w:eastAsia="仿宋" w:cs="宋体"/>
                <w:sz w:val="32"/>
                <w:szCs w:val="18"/>
              </w:rPr>
            </w:pPr>
            <w:r>
              <w:rPr>
                <w:rFonts w:ascii="Arial Narrow" w:hAnsi="Arial Narrow" w:eastAsia="仿宋" w:cs="宋体"/>
                <w:sz w:val="32"/>
                <w:szCs w:val="18"/>
              </w:rPr>
              <w:t>23</w:t>
            </w:r>
          </w:p>
        </w:tc>
        <w:tc>
          <w:tcPr>
            <w:tcW w:w="2419" w:type="pct"/>
            <w:tcBorders>
              <w:top w:val="nil"/>
              <w:left w:val="nil"/>
              <w:bottom w:val="single" w:color="auto" w:sz="4" w:space="0"/>
              <w:right w:val="single" w:color="auto" w:sz="4" w:space="0"/>
            </w:tcBorders>
            <w:shd w:val="clear" w:color="auto" w:fill="auto"/>
            <w:vAlign w:val="center"/>
          </w:tcPr>
          <w:p w14:paraId="26B81BCE">
            <w:pPr>
              <w:spacing w:line="560" w:lineRule="exact"/>
              <w:rPr>
                <w:rFonts w:ascii="Arial Narrow" w:hAnsi="Arial Narrow" w:eastAsia="仿宋" w:cs="宋体"/>
                <w:sz w:val="32"/>
                <w:szCs w:val="18"/>
              </w:rPr>
            </w:pPr>
            <w:r>
              <w:rPr>
                <w:rFonts w:ascii="Arial Narrow" w:hAnsi="Arial Narrow" w:eastAsia="仿宋" w:cs="宋体"/>
                <w:sz w:val="32"/>
                <w:szCs w:val="18"/>
              </w:rPr>
              <w:t>重要道路绿化及城区绿化提升项目支出评价报告</w:t>
            </w:r>
          </w:p>
        </w:tc>
        <w:tc>
          <w:tcPr>
            <w:tcW w:w="630" w:type="pct"/>
            <w:tcBorders>
              <w:top w:val="nil"/>
              <w:left w:val="nil"/>
              <w:bottom w:val="single" w:color="auto" w:sz="4" w:space="0"/>
              <w:right w:val="single" w:color="auto" w:sz="4" w:space="0"/>
            </w:tcBorders>
            <w:shd w:val="clear" w:color="auto" w:fill="auto"/>
            <w:vAlign w:val="center"/>
          </w:tcPr>
          <w:p w14:paraId="4E31EA22">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9.50 </w:t>
            </w:r>
          </w:p>
        </w:tc>
        <w:tc>
          <w:tcPr>
            <w:tcW w:w="551" w:type="pct"/>
            <w:tcBorders>
              <w:top w:val="nil"/>
              <w:left w:val="nil"/>
              <w:bottom w:val="single" w:color="auto" w:sz="4" w:space="0"/>
              <w:right w:val="single" w:color="auto" w:sz="4" w:space="0"/>
            </w:tcBorders>
            <w:shd w:val="clear" w:color="auto" w:fill="auto"/>
            <w:vAlign w:val="center"/>
          </w:tcPr>
          <w:p w14:paraId="4BF5D1E8">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7.90 </w:t>
            </w:r>
          </w:p>
        </w:tc>
        <w:tc>
          <w:tcPr>
            <w:tcW w:w="525" w:type="pct"/>
            <w:tcBorders>
              <w:top w:val="nil"/>
              <w:left w:val="nil"/>
              <w:bottom w:val="single" w:color="auto" w:sz="4" w:space="0"/>
              <w:right w:val="single" w:color="auto" w:sz="4" w:space="0"/>
            </w:tcBorders>
            <w:shd w:val="clear" w:color="auto" w:fill="auto"/>
            <w:vAlign w:val="center"/>
          </w:tcPr>
          <w:p w14:paraId="53B0704D">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56.00 </w:t>
            </w:r>
          </w:p>
        </w:tc>
        <w:tc>
          <w:tcPr>
            <w:tcW w:w="434" w:type="pct"/>
            <w:tcBorders>
              <w:top w:val="nil"/>
              <w:left w:val="nil"/>
              <w:bottom w:val="single" w:color="auto" w:sz="4" w:space="0"/>
              <w:right w:val="single" w:color="auto" w:sz="4" w:space="0"/>
            </w:tcBorders>
            <w:shd w:val="clear" w:color="auto" w:fill="auto"/>
            <w:vAlign w:val="center"/>
          </w:tcPr>
          <w:p w14:paraId="4BF25DCF">
            <w:pPr>
              <w:spacing w:line="560" w:lineRule="exact"/>
              <w:jc w:val="center"/>
              <w:rPr>
                <w:rFonts w:ascii="Arial Narrow" w:hAnsi="Arial Narrow" w:eastAsia="仿宋" w:cs="宋体"/>
                <w:sz w:val="32"/>
                <w:szCs w:val="18"/>
              </w:rPr>
            </w:pPr>
            <w:r>
              <w:rPr>
                <w:rFonts w:ascii="Arial Narrow" w:hAnsi="Arial Narrow" w:eastAsia="仿宋" w:cs="宋体"/>
                <w:sz w:val="32"/>
                <w:szCs w:val="18"/>
              </w:rPr>
              <w:t xml:space="preserve">73.40 </w:t>
            </w:r>
          </w:p>
        </w:tc>
        <w:tc>
          <w:tcPr>
            <w:tcW w:w="123" w:type="pct"/>
            <w:vAlign w:val="center"/>
          </w:tcPr>
          <w:p w14:paraId="2BD5F4FF">
            <w:pPr>
              <w:spacing w:line="560" w:lineRule="exact"/>
              <w:rPr>
                <w:rFonts w:ascii="Arial Narrow" w:hAnsi="Arial Narrow" w:eastAsia="仿宋"/>
                <w:sz w:val="32"/>
                <w:szCs w:val="18"/>
              </w:rPr>
            </w:pPr>
          </w:p>
        </w:tc>
      </w:tr>
      <w:tr w14:paraId="066B43A1">
        <w:tblPrEx>
          <w:tblCellMar>
            <w:top w:w="0" w:type="dxa"/>
            <w:left w:w="108" w:type="dxa"/>
            <w:bottom w:w="0" w:type="dxa"/>
            <w:right w:w="108" w:type="dxa"/>
          </w:tblCellMar>
        </w:tblPrEx>
        <w:trPr>
          <w:trHeight w:val="360" w:hRule="atLeast"/>
        </w:trPr>
        <w:tc>
          <w:tcPr>
            <w:tcW w:w="318" w:type="pct"/>
            <w:tcBorders>
              <w:top w:val="nil"/>
              <w:left w:val="single" w:color="auto" w:sz="4" w:space="0"/>
              <w:bottom w:val="single" w:color="auto" w:sz="4" w:space="0"/>
              <w:right w:val="single" w:color="auto" w:sz="4" w:space="0"/>
            </w:tcBorders>
            <w:shd w:val="clear" w:color="auto" w:fill="auto"/>
            <w:vAlign w:val="center"/>
          </w:tcPr>
          <w:p w14:paraId="04E3675A">
            <w:pPr>
              <w:spacing w:line="560" w:lineRule="exact"/>
              <w:rPr>
                <w:rFonts w:ascii="Arial Narrow" w:hAnsi="Arial Narrow" w:eastAsia="仿宋" w:cs="宋体"/>
                <w:bCs/>
                <w:sz w:val="32"/>
                <w:szCs w:val="18"/>
              </w:rPr>
            </w:pPr>
            <w:r>
              <w:rPr>
                <w:rFonts w:ascii="Arial Narrow" w:hAnsi="Arial Narrow" w:eastAsia="仿宋" w:cs="宋体"/>
                <w:bCs/>
                <w:sz w:val="32"/>
                <w:szCs w:val="18"/>
              </w:rPr>
              <w:t>　</w:t>
            </w:r>
          </w:p>
        </w:tc>
        <w:tc>
          <w:tcPr>
            <w:tcW w:w="2419" w:type="pct"/>
            <w:tcBorders>
              <w:top w:val="nil"/>
              <w:left w:val="nil"/>
              <w:bottom w:val="single" w:color="auto" w:sz="4" w:space="0"/>
              <w:right w:val="single" w:color="auto" w:sz="4" w:space="0"/>
            </w:tcBorders>
            <w:shd w:val="clear" w:color="auto" w:fill="auto"/>
            <w:vAlign w:val="center"/>
          </w:tcPr>
          <w:p w14:paraId="36E55C33">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各项指标平均分</w:t>
            </w:r>
          </w:p>
        </w:tc>
        <w:tc>
          <w:tcPr>
            <w:tcW w:w="630" w:type="pct"/>
            <w:tcBorders>
              <w:top w:val="nil"/>
              <w:left w:val="nil"/>
              <w:bottom w:val="single" w:color="auto" w:sz="4" w:space="0"/>
              <w:right w:val="single" w:color="auto" w:sz="4" w:space="0"/>
            </w:tcBorders>
            <w:shd w:val="clear" w:color="auto" w:fill="auto"/>
            <w:vAlign w:val="center"/>
          </w:tcPr>
          <w:p w14:paraId="1787A3D8">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 xml:space="preserve">13.72 </w:t>
            </w:r>
          </w:p>
        </w:tc>
        <w:tc>
          <w:tcPr>
            <w:tcW w:w="551" w:type="pct"/>
            <w:tcBorders>
              <w:top w:val="nil"/>
              <w:left w:val="nil"/>
              <w:bottom w:val="single" w:color="auto" w:sz="4" w:space="0"/>
              <w:right w:val="single" w:color="auto" w:sz="4" w:space="0"/>
            </w:tcBorders>
            <w:shd w:val="clear" w:color="auto" w:fill="auto"/>
            <w:vAlign w:val="center"/>
          </w:tcPr>
          <w:p w14:paraId="14E85EE8">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 xml:space="preserve">7.30 </w:t>
            </w:r>
          </w:p>
        </w:tc>
        <w:tc>
          <w:tcPr>
            <w:tcW w:w="525" w:type="pct"/>
            <w:tcBorders>
              <w:top w:val="nil"/>
              <w:left w:val="nil"/>
              <w:bottom w:val="single" w:color="auto" w:sz="4" w:space="0"/>
              <w:right w:val="single" w:color="auto" w:sz="4" w:space="0"/>
            </w:tcBorders>
            <w:shd w:val="clear" w:color="auto" w:fill="auto"/>
            <w:vAlign w:val="center"/>
          </w:tcPr>
          <w:p w14:paraId="1B8AD826">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 xml:space="preserve">57.48 </w:t>
            </w:r>
          </w:p>
        </w:tc>
        <w:tc>
          <w:tcPr>
            <w:tcW w:w="434" w:type="pct"/>
            <w:tcBorders>
              <w:top w:val="nil"/>
              <w:left w:val="nil"/>
              <w:bottom w:val="single" w:color="auto" w:sz="4" w:space="0"/>
              <w:right w:val="single" w:color="auto" w:sz="4" w:space="0"/>
            </w:tcBorders>
            <w:shd w:val="clear" w:color="auto" w:fill="auto"/>
            <w:vAlign w:val="center"/>
          </w:tcPr>
          <w:p w14:paraId="01BE9762">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 xml:space="preserve">78.50 </w:t>
            </w:r>
          </w:p>
        </w:tc>
        <w:tc>
          <w:tcPr>
            <w:tcW w:w="123" w:type="pct"/>
            <w:vAlign w:val="center"/>
          </w:tcPr>
          <w:p w14:paraId="0DEB2A2A">
            <w:pPr>
              <w:spacing w:line="560" w:lineRule="exact"/>
              <w:rPr>
                <w:rFonts w:ascii="Arial Narrow" w:hAnsi="Arial Narrow" w:eastAsia="仿宋"/>
                <w:bCs/>
                <w:sz w:val="32"/>
                <w:szCs w:val="18"/>
              </w:rPr>
            </w:pPr>
          </w:p>
        </w:tc>
      </w:tr>
    </w:tbl>
    <w:p w14:paraId="6C8B9DB9">
      <w:pPr>
        <w:tabs>
          <w:tab w:val="right" w:pos="7501"/>
        </w:tabs>
        <w:spacing w:line="560" w:lineRule="exact"/>
        <w:rPr>
          <w:rFonts w:eastAsia="仿宋"/>
          <w:bCs/>
          <w:sz w:val="32"/>
        </w:rPr>
      </w:pPr>
    </w:p>
    <w:p w14:paraId="01E52D64">
      <w:pPr>
        <w:tabs>
          <w:tab w:val="right" w:pos="7501"/>
        </w:tabs>
        <w:spacing w:line="560" w:lineRule="exact"/>
        <w:rPr>
          <w:rFonts w:eastAsia="仿宋"/>
          <w:bCs/>
          <w:sz w:val="32"/>
        </w:rPr>
      </w:pPr>
    </w:p>
    <w:p w14:paraId="73863E5E">
      <w:pPr>
        <w:tabs>
          <w:tab w:val="right" w:pos="7501"/>
        </w:tabs>
        <w:spacing w:line="560" w:lineRule="exact"/>
        <w:rPr>
          <w:rFonts w:eastAsia="仿宋"/>
          <w:bCs/>
          <w:sz w:val="32"/>
        </w:rPr>
      </w:pPr>
    </w:p>
    <w:p w14:paraId="0F53F583">
      <w:pPr>
        <w:tabs>
          <w:tab w:val="right" w:pos="7501"/>
        </w:tabs>
        <w:spacing w:line="560" w:lineRule="exact"/>
        <w:rPr>
          <w:rFonts w:eastAsia="仿宋"/>
          <w:bCs/>
          <w:sz w:val="32"/>
        </w:rPr>
      </w:pPr>
    </w:p>
    <w:p w14:paraId="13D5FEF5">
      <w:pPr>
        <w:tabs>
          <w:tab w:val="right" w:pos="7501"/>
        </w:tabs>
        <w:spacing w:line="560" w:lineRule="exact"/>
        <w:rPr>
          <w:rFonts w:eastAsia="仿宋"/>
          <w:bCs/>
          <w:sz w:val="32"/>
        </w:rPr>
      </w:pPr>
    </w:p>
    <w:p w14:paraId="4D1CB913">
      <w:pPr>
        <w:tabs>
          <w:tab w:val="right" w:pos="7501"/>
        </w:tabs>
        <w:spacing w:line="560" w:lineRule="exact"/>
        <w:rPr>
          <w:rFonts w:eastAsia="仿宋"/>
          <w:bCs/>
          <w:sz w:val="32"/>
        </w:rPr>
      </w:pPr>
    </w:p>
    <w:p w14:paraId="49ACFE98">
      <w:pPr>
        <w:tabs>
          <w:tab w:val="right" w:pos="7501"/>
        </w:tabs>
        <w:spacing w:line="560" w:lineRule="exact"/>
        <w:rPr>
          <w:rFonts w:eastAsia="仿宋"/>
          <w:bCs/>
          <w:sz w:val="32"/>
        </w:rPr>
      </w:pPr>
    </w:p>
    <w:p w14:paraId="044D81F0">
      <w:pPr>
        <w:tabs>
          <w:tab w:val="right" w:pos="7501"/>
        </w:tabs>
        <w:spacing w:line="560" w:lineRule="exact"/>
        <w:rPr>
          <w:rFonts w:eastAsia="仿宋"/>
          <w:bCs/>
          <w:sz w:val="32"/>
        </w:rPr>
      </w:pPr>
    </w:p>
    <w:p w14:paraId="0FEFA5A9">
      <w:pPr>
        <w:tabs>
          <w:tab w:val="right" w:pos="7501"/>
        </w:tabs>
        <w:spacing w:line="560" w:lineRule="exact"/>
        <w:rPr>
          <w:rFonts w:eastAsia="仿宋"/>
          <w:bCs/>
          <w:sz w:val="32"/>
        </w:rPr>
      </w:pPr>
    </w:p>
    <w:p w14:paraId="668CED24">
      <w:pPr>
        <w:tabs>
          <w:tab w:val="right" w:pos="7501"/>
        </w:tabs>
        <w:spacing w:line="560" w:lineRule="exact"/>
        <w:rPr>
          <w:rFonts w:eastAsia="仿宋"/>
          <w:bCs/>
          <w:sz w:val="32"/>
        </w:rPr>
      </w:pPr>
    </w:p>
    <w:p w14:paraId="78B76D8E">
      <w:pPr>
        <w:tabs>
          <w:tab w:val="right" w:pos="7501"/>
        </w:tabs>
        <w:spacing w:line="560" w:lineRule="exact"/>
        <w:rPr>
          <w:rFonts w:eastAsia="仿宋"/>
          <w:bCs/>
          <w:sz w:val="32"/>
        </w:rPr>
      </w:pPr>
    </w:p>
    <w:p w14:paraId="06A3FD73">
      <w:pPr>
        <w:tabs>
          <w:tab w:val="right" w:pos="7501"/>
        </w:tabs>
        <w:spacing w:line="560" w:lineRule="exact"/>
        <w:rPr>
          <w:rFonts w:eastAsia="仿宋"/>
          <w:bCs/>
          <w:sz w:val="32"/>
        </w:rPr>
      </w:pPr>
    </w:p>
    <w:p w14:paraId="1EA6D23A">
      <w:pPr>
        <w:tabs>
          <w:tab w:val="right" w:pos="7501"/>
        </w:tabs>
        <w:spacing w:line="560" w:lineRule="exact"/>
        <w:rPr>
          <w:rFonts w:eastAsia="仿宋"/>
          <w:bCs/>
          <w:sz w:val="32"/>
        </w:rPr>
      </w:pPr>
    </w:p>
    <w:p w14:paraId="3932EE22">
      <w:pPr>
        <w:tabs>
          <w:tab w:val="right" w:pos="7501"/>
        </w:tabs>
        <w:spacing w:line="560" w:lineRule="exact"/>
        <w:rPr>
          <w:rFonts w:eastAsia="仿宋"/>
          <w:bCs/>
          <w:sz w:val="32"/>
        </w:rPr>
      </w:pPr>
    </w:p>
    <w:p w14:paraId="4D5E248F">
      <w:pPr>
        <w:tabs>
          <w:tab w:val="right" w:pos="7501"/>
        </w:tabs>
        <w:spacing w:line="560" w:lineRule="exact"/>
        <w:rPr>
          <w:rFonts w:eastAsia="仿宋"/>
          <w:bCs/>
          <w:sz w:val="32"/>
        </w:rPr>
      </w:pPr>
    </w:p>
    <w:p w14:paraId="5C54516E">
      <w:pPr>
        <w:tabs>
          <w:tab w:val="right" w:pos="7501"/>
        </w:tabs>
        <w:spacing w:line="560" w:lineRule="exact"/>
        <w:rPr>
          <w:rFonts w:eastAsia="仿宋"/>
          <w:bCs/>
          <w:sz w:val="32"/>
        </w:rPr>
      </w:pPr>
    </w:p>
    <w:p w14:paraId="157BEB00">
      <w:pPr>
        <w:tabs>
          <w:tab w:val="right" w:pos="7501"/>
        </w:tabs>
        <w:spacing w:line="560" w:lineRule="exact"/>
        <w:rPr>
          <w:rFonts w:eastAsia="仿宋"/>
          <w:bCs/>
          <w:sz w:val="32"/>
        </w:rPr>
      </w:pPr>
    </w:p>
    <w:p w14:paraId="260488F5">
      <w:pPr>
        <w:tabs>
          <w:tab w:val="right" w:pos="7501"/>
        </w:tabs>
        <w:spacing w:line="560" w:lineRule="exact"/>
        <w:rPr>
          <w:rFonts w:eastAsia="仿宋"/>
          <w:bCs/>
          <w:sz w:val="32"/>
        </w:rPr>
      </w:pPr>
    </w:p>
    <w:p w14:paraId="1201F75C">
      <w:pPr>
        <w:tabs>
          <w:tab w:val="right" w:pos="7501"/>
        </w:tabs>
        <w:spacing w:line="560" w:lineRule="exact"/>
        <w:rPr>
          <w:rFonts w:eastAsia="仿宋"/>
          <w:bCs/>
          <w:sz w:val="32"/>
        </w:rPr>
      </w:pPr>
    </w:p>
    <w:p w14:paraId="6FAFA439">
      <w:pPr>
        <w:tabs>
          <w:tab w:val="right" w:pos="7501"/>
        </w:tabs>
        <w:spacing w:line="560" w:lineRule="exact"/>
        <w:rPr>
          <w:rFonts w:eastAsia="仿宋"/>
          <w:bCs/>
          <w:sz w:val="32"/>
        </w:rPr>
      </w:pPr>
    </w:p>
    <w:p w14:paraId="4D553CCB">
      <w:pPr>
        <w:tabs>
          <w:tab w:val="right" w:pos="7501"/>
        </w:tabs>
        <w:spacing w:line="560" w:lineRule="exact"/>
        <w:rPr>
          <w:rFonts w:eastAsia="仿宋"/>
          <w:bCs/>
          <w:sz w:val="32"/>
        </w:rPr>
      </w:pPr>
    </w:p>
    <w:p w14:paraId="0128A318">
      <w:pPr>
        <w:tabs>
          <w:tab w:val="right" w:pos="7501"/>
        </w:tabs>
        <w:spacing w:line="560" w:lineRule="exact"/>
        <w:rPr>
          <w:rFonts w:eastAsia="仿宋"/>
          <w:bCs/>
          <w:sz w:val="32"/>
        </w:rPr>
      </w:pPr>
    </w:p>
    <w:p w14:paraId="2F1BE803">
      <w:pPr>
        <w:tabs>
          <w:tab w:val="right" w:pos="7501"/>
        </w:tabs>
        <w:spacing w:line="560" w:lineRule="exact"/>
        <w:rPr>
          <w:rFonts w:eastAsia="仿宋"/>
          <w:bCs/>
          <w:sz w:val="32"/>
        </w:rPr>
      </w:pPr>
    </w:p>
    <w:p w14:paraId="1C67265B">
      <w:pPr>
        <w:tabs>
          <w:tab w:val="right" w:pos="7501"/>
        </w:tabs>
        <w:spacing w:line="560" w:lineRule="exact"/>
        <w:rPr>
          <w:rFonts w:eastAsia="仿宋"/>
          <w:bCs/>
          <w:sz w:val="32"/>
        </w:rPr>
      </w:pPr>
    </w:p>
    <w:p w14:paraId="274FB82F">
      <w:pPr>
        <w:tabs>
          <w:tab w:val="right" w:pos="7501"/>
        </w:tabs>
        <w:spacing w:line="560" w:lineRule="exact"/>
        <w:rPr>
          <w:rFonts w:eastAsia="仿宋"/>
          <w:bCs/>
          <w:sz w:val="32"/>
        </w:rPr>
      </w:pPr>
    </w:p>
    <w:p w14:paraId="0220BAF2">
      <w:pPr>
        <w:spacing w:line="560" w:lineRule="exact"/>
        <w:ind w:firstLine="482"/>
        <w:rPr>
          <w:rFonts w:eastAsia="仿宋"/>
          <w:sz w:val="32"/>
        </w:rPr>
      </w:pPr>
      <w:r>
        <w:rPr>
          <w:rFonts w:hint="eastAsia" w:ascii="仿宋_GB2312" w:hAnsi="仿宋_GB2312" w:eastAsia="仿宋" w:cs="仿宋_GB2312"/>
          <w:bCs/>
          <w:sz w:val="32"/>
        </w:rPr>
        <w:t>附件二</w:t>
      </w:r>
    </w:p>
    <w:tbl>
      <w:tblPr>
        <w:tblStyle w:val="15"/>
        <w:tblW w:w="5000" w:type="pct"/>
        <w:tblInd w:w="0" w:type="dxa"/>
        <w:tblLayout w:type="autofit"/>
        <w:tblCellMar>
          <w:top w:w="0" w:type="dxa"/>
          <w:left w:w="108" w:type="dxa"/>
          <w:bottom w:w="0" w:type="dxa"/>
          <w:right w:w="108" w:type="dxa"/>
        </w:tblCellMar>
      </w:tblPr>
      <w:tblGrid>
        <w:gridCol w:w="4376"/>
        <w:gridCol w:w="1113"/>
        <w:gridCol w:w="1114"/>
        <w:gridCol w:w="1114"/>
        <w:gridCol w:w="1114"/>
        <w:gridCol w:w="1016"/>
      </w:tblGrid>
      <w:tr w14:paraId="3471209B">
        <w:tblPrEx>
          <w:tblCellMar>
            <w:top w:w="0" w:type="dxa"/>
            <w:left w:w="108" w:type="dxa"/>
            <w:bottom w:w="0" w:type="dxa"/>
            <w:right w:w="108" w:type="dxa"/>
          </w:tblCellMar>
        </w:tblPrEx>
        <w:trPr>
          <w:trHeight w:val="530" w:hRule="atLeast"/>
        </w:trPr>
        <w:tc>
          <w:tcPr>
            <w:tcW w:w="5000" w:type="pct"/>
            <w:gridSpan w:val="6"/>
            <w:tcBorders>
              <w:top w:val="nil"/>
              <w:left w:val="nil"/>
              <w:bottom w:val="nil"/>
              <w:right w:val="nil"/>
            </w:tcBorders>
            <w:shd w:val="clear" w:color="auto" w:fill="auto"/>
            <w:noWrap/>
          </w:tcPr>
          <w:p w14:paraId="3873B429">
            <w:pPr>
              <w:spacing w:line="560" w:lineRule="exact"/>
              <w:jc w:val="center"/>
              <w:rPr>
                <w:rFonts w:ascii="宋体" w:hAnsi="宋体" w:eastAsia="仿宋" w:cs="宋体"/>
                <w:sz w:val="32"/>
                <w:szCs w:val="18"/>
              </w:rPr>
            </w:pPr>
            <w:r>
              <w:rPr>
                <w:rFonts w:ascii="仿宋_GB2312" w:hAnsi="仿宋_GB2312" w:eastAsia="仿宋" w:cs="仿宋_GB2312"/>
                <w:bCs/>
                <w:sz w:val="32"/>
                <w:szCs w:val="28"/>
              </w:rPr>
              <w:t>马尔康市2020年部门整体支出项目绩效评价得分表</w:t>
            </w:r>
          </w:p>
        </w:tc>
      </w:tr>
      <w:tr w14:paraId="66BD4335">
        <w:tblPrEx>
          <w:tblCellMar>
            <w:top w:w="0" w:type="dxa"/>
            <w:left w:w="108" w:type="dxa"/>
            <w:bottom w:w="0" w:type="dxa"/>
            <w:right w:w="108" w:type="dxa"/>
          </w:tblCellMar>
        </w:tblPrEx>
        <w:trPr>
          <w:trHeight w:val="890" w:hRule="atLeast"/>
        </w:trPr>
        <w:tc>
          <w:tcPr>
            <w:tcW w:w="1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2B8CC0">
            <w:pPr>
              <w:spacing w:line="560" w:lineRule="exact"/>
              <w:jc w:val="center"/>
              <w:rPr>
                <w:rFonts w:ascii="宋体" w:hAnsi="宋体" w:eastAsia="仿宋" w:cs="宋体"/>
                <w:sz w:val="32"/>
                <w:szCs w:val="18"/>
              </w:rPr>
            </w:pPr>
            <w:r>
              <w:rPr>
                <w:rFonts w:ascii="宋体" w:hAnsi="宋体" w:eastAsia="仿宋" w:cs="宋体"/>
                <w:sz w:val="32"/>
                <w:szCs w:val="18"/>
              </w:rPr>
              <w:t>单位名称</w:t>
            </w:r>
          </w:p>
        </w:tc>
        <w:tc>
          <w:tcPr>
            <w:tcW w:w="731" w:type="pct"/>
            <w:tcBorders>
              <w:top w:val="single" w:color="auto" w:sz="4" w:space="0"/>
              <w:left w:val="single" w:color="auto" w:sz="4" w:space="0"/>
              <w:bottom w:val="single" w:color="auto" w:sz="4" w:space="0"/>
              <w:right w:val="single" w:color="auto" w:sz="4" w:space="0"/>
            </w:tcBorders>
            <w:shd w:val="clear" w:color="auto" w:fill="auto"/>
            <w:vAlign w:val="center"/>
          </w:tcPr>
          <w:p w14:paraId="7B23E61C">
            <w:pPr>
              <w:spacing w:line="560" w:lineRule="exact"/>
              <w:jc w:val="center"/>
              <w:rPr>
                <w:rFonts w:ascii="宋体" w:hAnsi="宋体" w:eastAsia="仿宋" w:cs="宋体"/>
                <w:sz w:val="32"/>
                <w:szCs w:val="18"/>
              </w:rPr>
            </w:pPr>
            <w:r>
              <w:rPr>
                <w:rFonts w:ascii="宋体" w:hAnsi="宋体" w:eastAsia="仿宋" w:cs="宋体"/>
                <w:sz w:val="32"/>
                <w:szCs w:val="18"/>
              </w:rPr>
              <w:t xml:space="preserve">预算编制   </w:t>
            </w:r>
            <w:r>
              <w:rPr>
                <w:rFonts w:ascii="宋体" w:hAnsi="宋体" w:eastAsia="仿宋" w:cs="宋体"/>
                <w:sz w:val="32"/>
                <w:szCs w:val="18"/>
              </w:rPr>
              <w:br w:type="textWrapping"/>
            </w:r>
            <w:r>
              <w:rPr>
                <w:rFonts w:ascii="宋体" w:hAnsi="宋体" w:eastAsia="仿宋" w:cs="宋体"/>
                <w:sz w:val="32"/>
                <w:szCs w:val="18"/>
              </w:rPr>
              <w:t>(10分）</w:t>
            </w:r>
          </w:p>
        </w:tc>
        <w:tc>
          <w:tcPr>
            <w:tcW w:w="731" w:type="pct"/>
            <w:tcBorders>
              <w:top w:val="single" w:color="auto" w:sz="4" w:space="0"/>
              <w:left w:val="nil"/>
              <w:bottom w:val="single" w:color="auto" w:sz="4" w:space="0"/>
              <w:right w:val="single" w:color="auto" w:sz="4" w:space="0"/>
            </w:tcBorders>
            <w:shd w:val="clear" w:color="auto" w:fill="auto"/>
            <w:vAlign w:val="center"/>
          </w:tcPr>
          <w:p w14:paraId="59AE1B1C">
            <w:pPr>
              <w:spacing w:line="560" w:lineRule="exact"/>
              <w:jc w:val="center"/>
              <w:rPr>
                <w:rFonts w:ascii="宋体" w:hAnsi="宋体" w:eastAsia="仿宋" w:cs="宋体"/>
                <w:sz w:val="32"/>
                <w:szCs w:val="18"/>
              </w:rPr>
            </w:pPr>
            <w:r>
              <w:rPr>
                <w:rFonts w:ascii="宋体" w:hAnsi="宋体" w:eastAsia="仿宋" w:cs="宋体"/>
                <w:sz w:val="32"/>
                <w:szCs w:val="18"/>
              </w:rPr>
              <w:t>预算执行</w:t>
            </w:r>
            <w:r>
              <w:rPr>
                <w:rFonts w:ascii="宋体" w:hAnsi="宋体" w:eastAsia="仿宋" w:cs="宋体"/>
                <w:sz w:val="32"/>
                <w:szCs w:val="18"/>
              </w:rPr>
              <w:br w:type="textWrapping"/>
            </w:r>
            <w:r>
              <w:rPr>
                <w:rFonts w:ascii="宋体" w:hAnsi="宋体" w:eastAsia="仿宋" w:cs="宋体"/>
                <w:sz w:val="32"/>
                <w:szCs w:val="18"/>
              </w:rPr>
              <w:t>（20分）</w:t>
            </w:r>
          </w:p>
        </w:tc>
        <w:tc>
          <w:tcPr>
            <w:tcW w:w="731" w:type="pct"/>
            <w:tcBorders>
              <w:top w:val="single" w:color="auto" w:sz="4" w:space="0"/>
              <w:left w:val="nil"/>
              <w:bottom w:val="single" w:color="auto" w:sz="4" w:space="0"/>
              <w:right w:val="single" w:color="auto" w:sz="4" w:space="0"/>
            </w:tcBorders>
            <w:shd w:val="clear" w:color="auto" w:fill="auto"/>
            <w:vAlign w:val="center"/>
          </w:tcPr>
          <w:p w14:paraId="282C1DE6">
            <w:pPr>
              <w:spacing w:line="560" w:lineRule="exact"/>
              <w:jc w:val="center"/>
              <w:rPr>
                <w:rFonts w:ascii="宋体" w:hAnsi="宋体" w:eastAsia="仿宋" w:cs="宋体"/>
                <w:sz w:val="32"/>
                <w:szCs w:val="18"/>
              </w:rPr>
            </w:pPr>
            <w:r>
              <w:rPr>
                <w:rFonts w:ascii="宋体" w:hAnsi="宋体" w:eastAsia="仿宋" w:cs="宋体"/>
                <w:sz w:val="32"/>
                <w:szCs w:val="18"/>
              </w:rPr>
              <w:t>综合管理</w:t>
            </w:r>
            <w:r>
              <w:rPr>
                <w:rFonts w:ascii="宋体" w:hAnsi="宋体" w:eastAsia="仿宋" w:cs="宋体"/>
                <w:sz w:val="32"/>
                <w:szCs w:val="18"/>
              </w:rPr>
              <w:br w:type="textWrapping"/>
            </w:r>
            <w:r>
              <w:rPr>
                <w:rFonts w:ascii="宋体" w:hAnsi="宋体" w:eastAsia="仿宋" w:cs="宋体"/>
                <w:sz w:val="32"/>
                <w:szCs w:val="18"/>
              </w:rPr>
              <w:t>（40分）</w:t>
            </w:r>
          </w:p>
        </w:tc>
        <w:tc>
          <w:tcPr>
            <w:tcW w:w="731" w:type="pct"/>
            <w:tcBorders>
              <w:top w:val="single" w:color="auto" w:sz="4" w:space="0"/>
              <w:left w:val="nil"/>
              <w:bottom w:val="single" w:color="auto" w:sz="4" w:space="0"/>
              <w:right w:val="single" w:color="auto" w:sz="4" w:space="0"/>
            </w:tcBorders>
            <w:shd w:val="clear" w:color="auto" w:fill="auto"/>
            <w:vAlign w:val="center"/>
          </w:tcPr>
          <w:p w14:paraId="7EFF4ED3">
            <w:pPr>
              <w:spacing w:line="560" w:lineRule="exact"/>
              <w:jc w:val="center"/>
              <w:rPr>
                <w:rFonts w:ascii="宋体" w:hAnsi="宋体" w:eastAsia="仿宋" w:cs="宋体"/>
                <w:sz w:val="32"/>
                <w:szCs w:val="18"/>
              </w:rPr>
            </w:pPr>
            <w:r>
              <w:rPr>
                <w:rFonts w:ascii="宋体" w:hAnsi="宋体" w:eastAsia="仿宋" w:cs="宋体"/>
                <w:sz w:val="32"/>
                <w:szCs w:val="18"/>
              </w:rPr>
              <w:t>整体效益</w:t>
            </w:r>
            <w:r>
              <w:rPr>
                <w:rFonts w:ascii="宋体" w:hAnsi="宋体" w:eastAsia="仿宋" w:cs="宋体"/>
                <w:sz w:val="32"/>
                <w:szCs w:val="18"/>
              </w:rPr>
              <w:br w:type="textWrapping"/>
            </w:r>
            <w:r>
              <w:rPr>
                <w:rFonts w:ascii="宋体" w:hAnsi="宋体" w:eastAsia="仿宋" w:cs="宋体"/>
                <w:sz w:val="32"/>
                <w:szCs w:val="18"/>
              </w:rPr>
              <w:t>（30分）</w:t>
            </w:r>
          </w:p>
        </w:tc>
        <w:tc>
          <w:tcPr>
            <w:tcW w:w="656" w:type="pct"/>
            <w:tcBorders>
              <w:top w:val="single" w:color="auto" w:sz="4" w:space="0"/>
              <w:left w:val="nil"/>
              <w:bottom w:val="single" w:color="auto" w:sz="4" w:space="0"/>
              <w:right w:val="single" w:color="auto" w:sz="4" w:space="0"/>
            </w:tcBorders>
            <w:shd w:val="clear" w:color="auto" w:fill="auto"/>
            <w:noWrap/>
            <w:vAlign w:val="center"/>
          </w:tcPr>
          <w:p w14:paraId="13258A2B">
            <w:pPr>
              <w:spacing w:line="560" w:lineRule="exact"/>
              <w:jc w:val="center"/>
              <w:rPr>
                <w:rFonts w:ascii="宋体" w:hAnsi="宋体" w:eastAsia="仿宋" w:cs="宋体"/>
                <w:sz w:val="32"/>
                <w:szCs w:val="18"/>
              </w:rPr>
            </w:pPr>
            <w:r>
              <w:rPr>
                <w:rFonts w:ascii="宋体" w:hAnsi="宋体" w:eastAsia="仿宋" w:cs="宋体"/>
                <w:sz w:val="32"/>
                <w:szCs w:val="18"/>
              </w:rPr>
              <w:t>合计</w:t>
            </w:r>
          </w:p>
        </w:tc>
      </w:tr>
      <w:tr w14:paraId="2158591E">
        <w:tblPrEx>
          <w:tblCellMar>
            <w:top w:w="0" w:type="dxa"/>
            <w:left w:w="108" w:type="dxa"/>
            <w:bottom w:w="0" w:type="dxa"/>
            <w:right w:w="108" w:type="dxa"/>
          </w:tblCellMar>
        </w:tblPrEx>
        <w:trPr>
          <w:trHeight w:val="510" w:hRule="atLeast"/>
        </w:trPr>
        <w:tc>
          <w:tcPr>
            <w:tcW w:w="1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0B2842">
            <w:pPr>
              <w:spacing w:line="560" w:lineRule="exact"/>
              <w:jc w:val="center"/>
              <w:rPr>
                <w:rFonts w:ascii="宋体" w:hAnsi="宋体" w:eastAsia="仿宋" w:cs="宋体"/>
                <w:sz w:val="32"/>
                <w:szCs w:val="18"/>
              </w:rPr>
            </w:pPr>
            <w:r>
              <w:rPr>
                <w:rFonts w:ascii="宋体" w:hAnsi="宋体" w:eastAsia="仿宋" w:cs="宋体"/>
                <w:sz w:val="32"/>
                <w:szCs w:val="18"/>
              </w:rPr>
              <w:t>马尔康市融媒体中心</w:t>
            </w:r>
          </w:p>
        </w:tc>
        <w:tc>
          <w:tcPr>
            <w:tcW w:w="731" w:type="pct"/>
            <w:tcBorders>
              <w:top w:val="single" w:color="auto" w:sz="4" w:space="0"/>
              <w:left w:val="nil"/>
              <w:bottom w:val="single" w:color="auto" w:sz="4" w:space="0"/>
              <w:right w:val="single" w:color="auto" w:sz="4" w:space="0"/>
            </w:tcBorders>
            <w:shd w:val="clear" w:color="auto" w:fill="auto"/>
            <w:noWrap/>
            <w:vAlign w:val="center"/>
          </w:tcPr>
          <w:p w14:paraId="7986FA23">
            <w:pPr>
              <w:spacing w:line="560" w:lineRule="exact"/>
              <w:jc w:val="center"/>
              <w:rPr>
                <w:rFonts w:ascii="宋体" w:hAnsi="宋体" w:eastAsia="仿宋" w:cs="宋体"/>
                <w:sz w:val="32"/>
                <w:szCs w:val="18"/>
              </w:rPr>
            </w:pPr>
            <w:r>
              <w:rPr>
                <w:rFonts w:ascii="宋体" w:hAnsi="宋体" w:eastAsia="仿宋" w:cs="宋体"/>
                <w:sz w:val="32"/>
                <w:szCs w:val="18"/>
              </w:rPr>
              <w:t>9.98</w:t>
            </w:r>
          </w:p>
        </w:tc>
        <w:tc>
          <w:tcPr>
            <w:tcW w:w="731" w:type="pct"/>
            <w:tcBorders>
              <w:top w:val="nil"/>
              <w:left w:val="nil"/>
              <w:bottom w:val="single" w:color="auto" w:sz="4" w:space="0"/>
              <w:right w:val="single" w:color="auto" w:sz="4" w:space="0"/>
            </w:tcBorders>
            <w:shd w:val="clear" w:color="auto" w:fill="auto"/>
            <w:noWrap/>
            <w:vAlign w:val="center"/>
          </w:tcPr>
          <w:p w14:paraId="0EC177BD">
            <w:pPr>
              <w:spacing w:line="560" w:lineRule="exact"/>
              <w:jc w:val="center"/>
              <w:rPr>
                <w:rFonts w:ascii="宋体" w:hAnsi="宋体" w:eastAsia="仿宋" w:cs="宋体"/>
                <w:sz w:val="32"/>
                <w:szCs w:val="18"/>
              </w:rPr>
            </w:pPr>
            <w:r>
              <w:rPr>
                <w:rFonts w:ascii="宋体" w:hAnsi="宋体" w:eastAsia="仿宋" w:cs="宋体"/>
                <w:sz w:val="32"/>
                <w:szCs w:val="18"/>
              </w:rPr>
              <w:t>19.97</w:t>
            </w:r>
          </w:p>
        </w:tc>
        <w:tc>
          <w:tcPr>
            <w:tcW w:w="731" w:type="pct"/>
            <w:tcBorders>
              <w:top w:val="nil"/>
              <w:left w:val="nil"/>
              <w:bottom w:val="single" w:color="auto" w:sz="4" w:space="0"/>
              <w:right w:val="single" w:color="auto" w:sz="4" w:space="0"/>
            </w:tcBorders>
            <w:shd w:val="clear" w:color="auto" w:fill="auto"/>
            <w:noWrap/>
            <w:vAlign w:val="center"/>
          </w:tcPr>
          <w:p w14:paraId="6418552C">
            <w:pPr>
              <w:spacing w:line="560" w:lineRule="exact"/>
              <w:jc w:val="center"/>
              <w:rPr>
                <w:rFonts w:ascii="宋体" w:hAnsi="宋体" w:eastAsia="仿宋" w:cs="宋体"/>
                <w:sz w:val="32"/>
                <w:szCs w:val="18"/>
              </w:rPr>
            </w:pPr>
            <w:r>
              <w:rPr>
                <w:rFonts w:ascii="宋体" w:hAnsi="宋体" w:eastAsia="仿宋" w:cs="宋体"/>
                <w:sz w:val="32"/>
                <w:szCs w:val="18"/>
              </w:rPr>
              <w:t>30</w:t>
            </w:r>
          </w:p>
        </w:tc>
        <w:tc>
          <w:tcPr>
            <w:tcW w:w="731" w:type="pct"/>
            <w:tcBorders>
              <w:top w:val="nil"/>
              <w:left w:val="nil"/>
              <w:bottom w:val="single" w:color="auto" w:sz="4" w:space="0"/>
              <w:right w:val="single" w:color="auto" w:sz="4" w:space="0"/>
            </w:tcBorders>
            <w:shd w:val="clear" w:color="auto" w:fill="auto"/>
            <w:noWrap/>
            <w:vAlign w:val="center"/>
          </w:tcPr>
          <w:p w14:paraId="3E62F9EA">
            <w:pPr>
              <w:spacing w:line="560" w:lineRule="exact"/>
              <w:jc w:val="center"/>
              <w:rPr>
                <w:rFonts w:ascii="宋体" w:hAnsi="宋体" w:eastAsia="仿宋" w:cs="宋体"/>
                <w:sz w:val="32"/>
                <w:szCs w:val="18"/>
              </w:rPr>
            </w:pPr>
            <w:r>
              <w:rPr>
                <w:rFonts w:ascii="宋体" w:hAnsi="宋体" w:eastAsia="仿宋" w:cs="宋体"/>
                <w:sz w:val="32"/>
                <w:szCs w:val="18"/>
              </w:rPr>
              <w:t>27</w:t>
            </w:r>
          </w:p>
        </w:tc>
        <w:tc>
          <w:tcPr>
            <w:tcW w:w="656" w:type="pct"/>
            <w:tcBorders>
              <w:top w:val="nil"/>
              <w:left w:val="nil"/>
              <w:bottom w:val="single" w:color="auto" w:sz="4" w:space="0"/>
              <w:right w:val="single" w:color="auto" w:sz="4" w:space="0"/>
            </w:tcBorders>
            <w:shd w:val="clear" w:color="auto" w:fill="auto"/>
            <w:noWrap/>
            <w:vAlign w:val="center"/>
          </w:tcPr>
          <w:p w14:paraId="4DF4A86E">
            <w:pPr>
              <w:spacing w:line="560" w:lineRule="exact"/>
              <w:jc w:val="center"/>
              <w:rPr>
                <w:rFonts w:ascii="宋体" w:hAnsi="宋体" w:eastAsia="仿宋" w:cs="宋体"/>
                <w:sz w:val="32"/>
                <w:szCs w:val="18"/>
              </w:rPr>
            </w:pPr>
            <w:r>
              <w:rPr>
                <w:rFonts w:ascii="宋体" w:hAnsi="宋体" w:eastAsia="仿宋" w:cs="宋体"/>
                <w:sz w:val="32"/>
                <w:szCs w:val="18"/>
              </w:rPr>
              <w:t>86.65</w:t>
            </w:r>
          </w:p>
        </w:tc>
      </w:tr>
      <w:tr w14:paraId="61B4D9D9">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39C6A532">
            <w:pPr>
              <w:spacing w:line="560" w:lineRule="exact"/>
              <w:jc w:val="center"/>
              <w:rPr>
                <w:rFonts w:ascii="宋体" w:hAnsi="宋体" w:eastAsia="仿宋" w:cs="宋体"/>
                <w:sz w:val="32"/>
                <w:szCs w:val="18"/>
              </w:rPr>
            </w:pPr>
            <w:r>
              <w:rPr>
                <w:rFonts w:ascii="宋体" w:hAnsi="宋体" w:eastAsia="仿宋" w:cs="宋体"/>
                <w:sz w:val="32"/>
                <w:szCs w:val="18"/>
              </w:rPr>
              <w:t>马尔康市生态环境局</w:t>
            </w:r>
          </w:p>
        </w:tc>
        <w:tc>
          <w:tcPr>
            <w:tcW w:w="731" w:type="pct"/>
            <w:tcBorders>
              <w:top w:val="nil"/>
              <w:left w:val="nil"/>
              <w:bottom w:val="single" w:color="auto" w:sz="4" w:space="0"/>
              <w:right w:val="single" w:color="auto" w:sz="4" w:space="0"/>
            </w:tcBorders>
            <w:shd w:val="clear" w:color="auto" w:fill="auto"/>
            <w:noWrap/>
            <w:vAlign w:val="center"/>
          </w:tcPr>
          <w:p w14:paraId="7486EA2D">
            <w:pPr>
              <w:spacing w:line="560" w:lineRule="exact"/>
              <w:jc w:val="center"/>
              <w:rPr>
                <w:rFonts w:ascii="宋体" w:hAnsi="宋体" w:eastAsia="仿宋" w:cs="宋体"/>
                <w:sz w:val="32"/>
                <w:szCs w:val="18"/>
              </w:rPr>
            </w:pPr>
            <w:r>
              <w:rPr>
                <w:rFonts w:ascii="宋体" w:hAnsi="宋体" w:eastAsia="仿宋" w:cs="宋体"/>
                <w:sz w:val="32"/>
                <w:szCs w:val="18"/>
              </w:rPr>
              <w:t>9.96</w:t>
            </w:r>
          </w:p>
        </w:tc>
        <w:tc>
          <w:tcPr>
            <w:tcW w:w="731" w:type="pct"/>
            <w:tcBorders>
              <w:top w:val="nil"/>
              <w:left w:val="nil"/>
              <w:bottom w:val="single" w:color="auto" w:sz="4" w:space="0"/>
              <w:right w:val="single" w:color="auto" w:sz="4" w:space="0"/>
            </w:tcBorders>
            <w:shd w:val="clear" w:color="auto" w:fill="auto"/>
            <w:noWrap/>
            <w:vAlign w:val="center"/>
          </w:tcPr>
          <w:p w14:paraId="7C5656A8">
            <w:pPr>
              <w:spacing w:line="560" w:lineRule="exact"/>
              <w:jc w:val="center"/>
              <w:rPr>
                <w:rFonts w:ascii="宋体" w:hAnsi="宋体" w:eastAsia="仿宋" w:cs="宋体"/>
                <w:sz w:val="32"/>
                <w:szCs w:val="18"/>
              </w:rPr>
            </w:pPr>
            <w:r>
              <w:rPr>
                <w:rFonts w:ascii="宋体" w:hAnsi="宋体" w:eastAsia="仿宋" w:cs="宋体"/>
                <w:sz w:val="32"/>
                <w:szCs w:val="18"/>
              </w:rPr>
              <w:t>15.66</w:t>
            </w:r>
          </w:p>
        </w:tc>
        <w:tc>
          <w:tcPr>
            <w:tcW w:w="731" w:type="pct"/>
            <w:tcBorders>
              <w:top w:val="nil"/>
              <w:left w:val="nil"/>
              <w:bottom w:val="single" w:color="auto" w:sz="4" w:space="0"/>
              <w:right w:val="single" w:color="auto" w:sz="4" w:space="0"/>
            </w:tcBorders>
            <w:shd w:val="clear" w:color="auto" w:fill="auto"/>
            <w:noWrap/>
            <w:vAlign w:val="center"/>
          </w:tcPr>
          <w:p w14:paraId="12E4C304">
            <w:pPr>
              <w:spacing w:line="560" w:lineRule="exact"/>
              <w:jc w:val="center"/>
              <w:rPr>
                <w:rFonts w:ascii="宋体" w:hAnsi="宋体" w:eastAsia="仿宋" w:cs="宋体"/>
                <w:sz w:val="32"/>
                <w:szCs w:val="18"/>
              </w:rPr>
            </w:pPr>
            <w:r>
              <w:rPr>
                <w:rFonts w:ascii="宋体" w:hAnsi="宋体" w:eastAsia="仿宋" w:cs="宋体"/>
                <w:sz w:val="32"/>
                <w:szCs w:val="18"/>
              </w:rPr>
              <w:t>33.85</w:t>
            </w:r>
          </w:p>
        </w:tc>
        <w:tc>
          <w:tcPr>
            <w:tcW w:w="731" w:type="pct"/>
            <w:tcBorders>
              <w:top w:val="nil"/>
              <w:left w:val="nil"/>
              <w:bottom w:val="single" w:color="auto" w:sz="4" w:space="0"/>
              <w:right w:val="single" w:color="auto" w:sz="4" w:space="0"/>
            </w:tcBorders>
            <w:shd w:val="clear" w:color="auto" w:fill="auto"/>
            <w:noWrap/>
            <w:vAlign w:val="center"/>
          </w:tcPr>
          <w:p w14:paraId="3BB2AE6A">
            <w:pPr>
              <w:spacing w:line="560" w:lineRule="exact"/>
              <w:jc w:val="center"/>
              <w:rPr>
                <w:rFonts w:ascii="宋体" w:hAnsi="宋体" w:eastAsia="仿宋" w:cs="宋体"/>
                <w:sz w:val="32"/>
                <w:szCs w:val="18"/>
              </w:rPr>
            </w:pPr>
            <w:r>
              <w:rPr>
                <w:rFonts w:ascii="宋体" w:hAnsi="宋体" w:eastAsia="仿宋" w:cs="宋体"/>
                <w:sz w:val="32"/>
                <w:szCs w:val="18"/>
              </w:rPr>
              <w:t>27</w:t>
            </w:r>
          </w:p>
        </w:tc>
        <w:tc>
          <w:tcPr>
            <w:tcW w:w="656" w:type="pct"/>
            <w:tcBorders>
              <w:top w:val="nil"/>
              <w:left w:val="nil"/>
              <w:bottom w:val="single" w:color="auto" w:sz="4" w:space="0"/>
              <w:right w:val="single" w:color="auto" w:sz="4" w:space="0"/>
            </w:tcBorders>
            <w:shd w:val="clear" w:color="auto" w:fill="auto"/>
            <w:noWrap/>
            <w:vAlign w:val="center"/>
          </w:tcPr>
          <w:p w14:paraId="0F3CB528">
            <w:pPr>
              <w:spacing w:line="560" w:lineRule="exact"/>
              <w:jc w:val="center"/>
              <w:rPr>
                <w:rFonts w:ascii="宋体" w:hAnsi="宋体" w:eastAsia="仿宋" w:cs="宋体"/>
                <w:sz w:val="32"/>
                <w:szCs w:val="18"/>
              </w:rPr>
            </w:pPr>
            <w:r>
              <w:rPr>
                <w:rFonts w:ascii="宋体" w:hAnsi="宋体" w:eastAsia="仿宋" w:cs="宋体"/>
                <w:sz w:val="32"/>
                <w:szCs w:val="18"/>
              </w:rPr>
              <w:t>86.47</w:t>
            </w:r>
          </w:p>
        </w:tc>
      </w:tr>
      <w:tr w14:paraId="5C958F65">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29699CA7">
            <w:pPr>
              <w:spacing w:line="560" w:lineRule="exact"/>
              <w:jc w:val="center"/>
              <w:rPr>
                <w:rFonts w:ascii="宋体" w:hAnsi="宋体" w:eastAsia="仿宋" w:cs="宋体"/>
                <w:sz w:val="32"/>
                <w:szCs w:val="18"/>
              </w:rPr>
            </w:pPr>
            <w:r>
              <w:rPr>
                <w:rFonts w:ascii="宋体" w:hAnsi="宋体" w:eastAsia="仿宋" w:cs="宋体"/>
                <w:sz w:val="32"/>
                <w:szCs w:val="18"/>
              </w:rPr>
              <w:t>马尔康市公共服务中心</w:t>
            </w:r>
          </w:p>
        </w:tc>
        <w:tc>
          <w:tcPr>
            <w:tcW w:w="731" w:type="pct"/>
            <w:tcBorders>
              <w:top w:val="nil"/>
              <w:left w:val="nil"/>
              <w:bottom w:val="single" w:color="auto" w:sz="4" w:space="0"/>
              <w:right w:val="single" w:color="auto" w:sz="4" w:space="0"/>
            </w:tcBorders>
            <w:shd w:val="clear" w:color="auto" w:fill="auto"/>
            <w:noWrap/>
            <w:vAlign w:val="center"/>
          </w:tcPr>
          <w:p w14:paraId="4ADF35A4">
            <w:pPr>
              <w:spacing w:line="560" w:lineRule="exact"/>
              <w:jc w:val="center"/>
              <w:rPr>
                <w:rFonts w:ascii="宋体" w:hAnsi="宋体" w:eastAsia="仿宋" w:cs="宋体"/>
                <w:sz w:val="32"/>
                <w:szCs w:val="18"/>
              </w:rPr>
            </w:pPr>
            <w:r>
              <w:rPr>
                <w:rFonts w:ascii="宋体" w:hAnsi="宋体" w:eastAsia="仿宋" w:cs="宋体"/>
                <w:sz w:val="32"/>
                <w:szCs w:val="18"/>
              </w:rPr>
              <w:t>6.24</w:t>
            </w:r>
          </w:p>
        </w:tc>
        <w:tc>
          <w:tcPr>
            <w:tcW w:w="731" w:type="pct"/>
            <w:tcBorders>
              <w:top w:val="nil"/>
              <w:left w:val="nil"/>
              <w:bottom w:val="single" w:color="auto" w:sz="4" w:space="0"/>
              <w:right w:val="single" w:color="auto" w:sz="4" w:space="0"/>
            </w:tcBorders>
            <w:shd w:val="clear" w:color="auto" w:fill="auto"/>
            <w:noWrap/>
            <w:vAlign w:val="center"/>
          </w:tcPr>
          <w:p w14:paraId="1590CB7D">
            <w:pPr>
              <w:spacing w:line="560" w:lineRule="exact"/>
              <w:jc w:val="center"/>
              <w:rPr>
                <w:rFonts w:ascii="宋体" w:hAnsi="宋体" w:eastAsia="仿宋" w:cs="宋体"/>
                <w:sz w:val="32"/>
                <w:szCs w:val="18"/>
              </w:rPr>
            </w:pPr>
            <w:r>
              <w:rPr>
                <w:rFonts w:ascii="宋体" w:hAnsi="宋体" w:eastAsia="仿宋" w:cs="宋体"/>
                <w:sz w:val="32"/>
                <w:szCs w:val="18"/>
              </w:rPr>
              <w:t>16.92</w:t>
            </w:r>
          </w:p>
        </w:tc>
        <w:tc>
          <w:tcPr>
            <w:tcW w:w="731" w:type="pct"/>
            <w:tcBorders>
              <w:top w:val="nil"/>
              <w:left w:val="nil"/>
              <w:bottom w:val="single" w:color="auto" w:sz="4" w:space="0"/>
              <w:right w:val="single" w:color="auto" w:sz="4" w:space="0"/>
            </w:tcBorders>
            <w:shd w:val="clear" w:color="auto" w:fill="auto"/>
            <w:noWrap/>
            <w:vAlign w:val="center"/>
          </w:tcPr>
          <w:p w14:paraId="7B6DBBAD">
            <w:pPr>
              <w:spacing w:line="560" w:lineRule="exact"/>
              <w:jc w:val="center"/>
              <w:rPr>
                <w:rFonts w:ascii="宋体" w:hAnsi="宋体" w:eastAsia="仿宋" w:cs="宋体"/>
                <w:sz w:val="32"/>
                <w:szCs w:val="18"/>
              </w:rPr>
            </w:pPr>
            <w:r>
              <w:rPr>
                <w:rFonts w:ascii="宋体" w:hAnsi="宋体" w:eastAsia="仿宋" w:cs="宋体"/>
                <w:sz w:val="32"/>
                <w:szCs w:val="18"/>
              </w:rPr>
              <w:t>32.73</w:t>
            </w:r>
          </w:p>
        </w:tc>
        <w:tc>
          <w:tcPr>
            <w:tcW w:w="731" w:type="pct"/>
            <w:tcBorders>
              <w:top w:val="nil"/>
              <w:left w:val="nil"/>
              <w:bottom w:val="single" w:color="auto" w:sz="4" w:space="0"/>
              <w:right w:val="single" w:color="auto" w:sz="4" w:space="0"/>
            </w:tcBorders>
            <w:shd w:val="clear" w:color="auto" w:fill="auto"/>
            <w:noWrap/>
            <w:vAlign w:val="center"/>
          </w:tcPr>
          <w:p w14:paraId="0C0DBF9F">
            <w:pPr>
              <w:spacing w:line="560" w:lineRule="exact"/>
              <w:jc w:val="center"/>
              <w:rPr>
                <w:rFonts w:ascii="宋体" w:hAnsi="宋体" w:eastAsia="仿宋" w:cs="宋体"/>
                <w:sz w:val="32"/>
                <w:szCs w:val="18"/>
              </w:rPr>
            </w:pPr>
            <w:r>
              <w:rPr>
                <w:rFonts w:ascii="宋体" w:hAnsi="宋体" w:eastAsia="仿宋" w:cs="宋体"/>
                <w:sz w:val="32"/>
                <w:szCs w:val="18"/>
              </w:rPr>
              <w:t>30</w:t>
            </w:r>
          </w:p>
        </w:tc>
        <w:tc>
          <w:tcPr>
            <w:tcW w:w="656" w:type="pct"/>
            <w:tcBorders>
              <w:top w:val="nil"/>
              <w:left w:val="nil"/>
              <w:bottom w:val="single" w:color="auto" w:sz="4" w:space="0"/>
              <w:right w:val="single" w:color="auto" w:sz="4" w:space="0"/>
            </w:tcBorders>
            <w:shd w:val="clear" w:color="auto" w:fill="auto"/>
            <w:noWrap/>
            <w:vAlign w:val="center"/>
          </w:tcPr>
          <w:p w14:paraId="583382FA">
            <w:pPr>
              <w:spacing w:line="560" w:lineRule="exact"/>
              <w:jc w:val="center"/>
              <w:rPr>
                <w:rFonts w:ascii="宋体" w:hAnsi="宋体" w:eastAsia="仿宋" w:cs="宋体"/>
                <w:sz w:val="32"/>
                <w:szCs w:val="18"/>
              </w:rPr>
            </w:pPr>
            <w:r>
              <w:rPr>
                <w:rFonts w:ascii="宋体" w:hAnsi="宋体" w:eastAsia="仿宋" w:cs="宋体"/>
                <w:sz w:val="32"/>
                <w:szCs w:val="18"/>
              </w:rPr>
              <w:t>85.89</w:t>
            </w:r>
          </w:p>
        </w:tc>
      </w:tr>
      <w:tr w14:paraId="34A73748">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79A1647B">
            <w:pPr>
              <w:spacing w:line="560" w:lineRule="exact"/>
              <w:jc w:val="center"/>
              <w:rPr>
                <w:rFonts w:ascii="宋体" w:hAnsi="宋体" w:eastAsia="仿宋" w:cs="宋体"/>
                <w:sz w:val="32"/>
                <w:szCs w:val="18"/>
              </w:rPr>
            </w:pPr>
            <w:r>
              <w:rPr>
                <w:rFonts w:ascii="宋体" w:hAnsi="宋体" w:eastAsia="仿宋" w:cs="宋体"/>
                <w:sz w:val="32"/>
                <w:szCs w:val="18"/>
              </w:rPr>
              <w:t>马尔康市住房和城乡建设局</w:t>
            </w:r>
          </w:p>
        </w:tc>
        <w:tc>
          <w:tcPr>
            <w:tcW w:w="731" w:type="pct"/>
            <w:tcBorders>
              <w:top w:val="nil"/>
              <w:left w:val="nil"/>
              <w:bottom w:val="single" w:color="auto" w:sz="4" w:space="0"/>
              <w:right w:val="single" w:color="auto" w:sz="4" w:space="0"/>
            </w:tcBorders>
            <w:shd w:val="clear" w:color="auto" w:fill="auto"/>
            <w:noWrap/>
            <w:vAlign w:val="center"/>
          </w:tcPr>
          <w:p w14:paraId="7C02B144">
            <w:pPr>
              <w:spacing w:line="560" w:lineRule="exact"/>
              <w:jc w:val="center"/>
              <w:rPr>
                <w:rFonts w:ascii="宋体" w:hAnsi="宋体" w:eastAsia="仿宋" w:cs="宋体"/>
                <w:sz w:val="32"/>
                <w:szCs w:val="18"/>
              </w:rPr>
            </w:pPr>
            <w:r>
              <w:rPr>
                <w:rFonts w:ascii="宋体" w:hAnsi="宋体" w:eastAsia="仿宋" w:cs="宋体"/>
                <w:sz w:val="32"/>
                <w:szCs w:val="18"/>
              </w:rPr>
              <w:t>8.46</w:t>
            </w:r>
          </w:p>
        </w:tc>
        <w:tc>
          <w:tcPr>
            <w:tcW w:w="731" w:type="pct"/>
            <w:tcBorders>
              <w:top w:val="nil"/>
              <w:left w:val="nil"/>
              <w:bottom w:val="single" w:color="auto" w:sz="4" w:space="0"/>
              <w:right w:val="single" w:color="auto" w:sz="4" w:space="0"/>
            </w:tcBorders>
            <w:shd w:val="clear" w:color="auto" w:fill="auto"/>
            <w:noWrap/>
            <w:vAlign w:val="center"/>
          </w:tcPr>
          <w:p w14:paraId="38F8E470">
            <w:pPr>
              <w:spacing w:line="560" w:lineRule="exact"/>
              <w:jc w:val="center"/>
              <w:rPr>
                <w:rFonts w:ascii="宋体" w:hAnsi="宋体" w:eastAsia="仿宋" w:cs="宋体"/>
                <w:sz w:val="32"/>
                <w:szCs w:val="18"/>
              </w:rPr>
            </w:pPr>
            <w:r>
              <w:rPr>
                <w:rFonts w:ascii="宋体" w:hAnsi="宋体" w:eastAsia="仿宋" w:cs="宋体"/>
                <w:sz w:val="32"/>
                <w:szCs w:val="18"/>
              </w:rPr>
              <w:t>17.61</w:t>
            </w:r>
          </w:p>
        </w:tc>
        <w:tc>
          <w:tcPr>
            <w:tcW w:w="731" w:type="pct"/>
            <w:tcBorders>
              <w:top w:val="nil"/>
              <w:left w:val="nil"/>
              <w:bottom w:val="single" w:color="auto" w:sz="4" w:space="0"/>
              <w:right w:val="single" w:color="auto" w:sz="4" w:space="0"/>
            </w:tcBorders>
            <w:shd w:val="clear" w:color="auto" w:fill="auto"/>
            <w:noWrap/>
            <w:vAlign w:val="center"/>
          </w:tcPr>
          <w:p w14:paraId="78708560">
            <w:pPr>
              <w:spacing w:line="560" w:lineRule="exact"/>
              <w:jc w:val="center"/>
              <w:rPr>
                <w:rFonts w:ascii="宋体" w:hAnsi="宋体" w:eastAsia="仿宋" w:cs="宋体"/>
                <w:sz w:val="32"/>
                <w:szCs w:val="18"/>
              </w:rPr>
            </w:pPr>
            <w:r>
              <w:rPr>
                <w:rFonts w:ascii="宋体" w:hAnsi="宋体" w:eastAsia="仿宋" w:cs="宋体"/>
                <w:sz w:val="32"/>
                <w:szCs w:val="18"/>
              </w:rPr>
              <w:t>35.14</w:t>
            </w:r>
          </w:p>
        </w:tc>
        <w:tc>
          <w:tcPr>
            <w:tcW w:w="731" w:type="pct"/>
            <w:tcBorders>
              <w:top w:val="nil"/>
              <w:left w:val="nil"/>
              <w:bottom w:val="single" w:color="auto" w:sz="4" w:space="0"/>
              <w:right w:val="single" w:color="auto" w:sz="4" w:space="0"/>
            </w:tcBorders>
            <w:shd w:val="clear" w:color="auto" w:fill="auto"/>
            <w:noWrap/>
            <w:vAlign w:val="center"/>
          </w:tcPr>
          <w:p w14:paraId="035296F6">
            <w:pPr>
              <w:spacing w:line="560" w:lineRule="exact"/>
              <w:jc w:val="center"/>
              <w:rPr>
                <w:rFonts w:ascii="宋体" w:hAnsi="宋体" w:eastAsia="仿宋" w:cs="宋体"/>
                <w:sz w:val="32"/>
                <w:szCs w:val="18"/>
              </w:rPr>
            </w:pPr>
            <w:r>
              <w:rPr>
                <w:rFonts w:ascii="宋体" w:hAnsi="宋体" w:eastAsia="仿宋" w:cs="宋体"/>
                <w:sz w:val="32"/>
                <w:szCs w:val="18"/>
              </w:rPr>
              <w:t>22.9</w:t>
            </w:r>
          </w:p>
        </w:tc>
        <w:tc>
          <w:tcPr>
            <w:tcW w:w="656" w:type="pct"/>
            <w:tcBorders>
              <w:top w:val="nil"/>
              <w:left w:val="nil"/>
              <w:bottom w:val="single" w:color="auto" w:sz="4" w:space="0"/>
              <w:right w:val="single" w:color="auto" w:sz="4" w:space="0"/>
            </w:tcBorders>
            <w:shd w:val="clear" w:color="auto" w:fill="auto"/>
            <w:noWrap/>
            <w:vAlign w:val="center"/>
          </w:tcPr>
          <w:p w14:paraId="03628852">
            <w:pPr>
              <w:spacing w:line="560" w:lineRule="exact"/>
              <w:jc w:val="center"/>
              <w:rPr>
                <w:rFonts w:ascii="宋体" w:hAnsi="宋体" w:eastAsia="仿宋" w:cs="宋体"/>
                <w:sz w:val="32"/>
                <w:szCs w:val="18"/>
              </w:rPr>
            </w:pPr>
            <w:r>
              <w:rPr>
                <w:rFonts w:ascii="宋体" w:hAnsi="宋体" w:eastAsia="仿宋" w:cs="宋体"/>
                <w:sz w:val="32"/>
                <w:szCs w:val="18"/>
              </w:rPr>
              <w:t>84.11</w:t>
            </w:r>
          </w:p>
        </w:tc>
      </w:tr>
      <w:tr w14:paraId="2BD08DE3">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16643F7B">
            <w:pPr>
              <w:spacing w:line="560" w:lineRule="exact"/>
              <w:jc w:val="center"/>
              <w:rPr>
                <w:rFonts w:ascii="宋体" w:hAnsi="宋体" w:eastAsia="仿宋" w:cs="宋体"/>
                <w:sz w:val="32"/>
                <w:szCs w:val="18"/>
              </w:rPr>
            </w:pPr>
            <w:r>
              <w:rPr>
                <w:rFonts w:ascii="宋体" w:hAnsi="宋体" w:eastAsia="仿宋" w:cs="宋体"/>
                <w:sz w:val="32"/>
                <w:szCs w:val="18"/>
              </w:rPr>
              <w:t>马尔康市松岗镇人民政府</w:t>
            </w:r>
          </w:p>
        </w:tc>
        <w:tc>
          <w:tcPr>
            <w:tcW w:w="731" w:type="pct"/>
            <w:tcBorders>
              <w:top w:val="nil"/>
              <w:left w:val="nil"/>
              <w:bottom w:val="single" w:color="auto" w:sz="4" w:space="0"/>
              <w:right w:val="single" w:color="auto" w:sz="4" w:space="0"/>
            </w:tcBorders>
            <w:shd w:val="clear" w:color="auto" w:fill="auto"/>
            <w:noWrap/>
            <w:vAlign w:val="center"/>
          </w:tcPr>
          <w:p w14:paraId="32A500FA">
            <w:pPr>
              <w:spacing w:line="560" w:lineRule="exact"/>
              <w:jc w:val="center"/>
              <w:rPr>
                <w:rFonts w:ascii="宋体" w:hAnsi="宋体" w:eastAsia="仿宋" w:cs="宋体"/>
                <w:sz w:val="32"/>
                <w:szCs w:val="18"/>
              </w:rPr>
            </w:pPr>
            <w:r>
              <w:rPr>
                <w:rFonts w:ascii="宋体" w:hAnsi="宋体" w:eastAsia="仿宋" w:cs="宋体"/>
                <w:sz w:val="32"/>
                <w:szCs w:val="18"/>
              </w:rPr>
              <w:t>8.24</w:t>
            </w:r>
          </w:p>
        </w:tc>
        <w:tc>
          <w:tcPr>
            <w:tcW w:w="731" w:type="pct"/>
            <w:tcBorders>
              <w:top w:val="nil"/>
              <w:left w:val="nil"/>
              <w:bottom w:val="single" w:color="auto" w:sz="4" w:space="0"/>
              <w:right w:val="single" w:color="auto" w:sz="4" w:space="0"/>
            </w:tcBorders>
            <w:shd w:val="clear" w:color="auto" w:fill="auto"/>
            <w:noWrap/>
            <w:vAlign w:val="center"/>
          </w:tcPr>
          <w:p w14:paraId="28BD39D1">
            <w:pPr>
              <w:spacing w:line="560" w:lineRule="exact"/>
              <w:jc w:val="center"/>
              <w:rPr>
                <w:rFonts w:ascii="宋体" w:hAnsi="宋体" w:eastAsia="仿宋" w:cs="宋体"/>
                <w:sz w:val="32"/>
                <w:szCs w:val="18"/>
              </w:rPr>
            </w:pPr>
            <w:r>
              <w:rPr>
                <w:rFonts w:ascii="宋体" w:hAnsi="宋体" w:eastAsia="仿宋" w:cs="宋体"/>
                <w:sz w:val="32"/>
                <w:szCs w:val="18"/>
              </w:rPr>
              <w:t>16.86</w:t>
            </w:r>
          </w:p>
        </w:tc>
        <w:tc>
          <w:tcPr>
            <w:tcW w:w="731" w:type="pct"/>
            <w:tcBorders>
              <w:top w:val="nil"/>
              <w:left w:val="nil"/>
              <w:bottom w:val="single" w:color="auto" w:sz="4" w:space="0"/>
              <w:right w:val="single" w:color="auto" w:sz="4" w:space="0"/>
            </w:tcBorders>
            <w:shd w:val="clear" w:color="auto" w:fill="auto"/>
            <w:noWrap/>
            <w:vAlign w:val="center"/>
          </w:tcPr>
          <w:p w14:paraId="1A304B80">
            <w:pPr>
              <w:spacing w:line="560" w:lineRule="exact"/>
              <w:jc w:val="center"/>
              <w:rPr>
                <w:rFonts w:ascii="宋体" w:hAnsi="宋体" w:eastAsia="仿宋" w:cs="宋体"/>
                <w:sz w:val="32"/>
                <w:szCs w:val="18"/>
              </w:rPr>
            </w:pPr>
            <w:r>
              <w:rPr>
                <w:rFonts w:ascii="宋体" w:hAnsi="宋体" w:eastAsia="仿宋" w:cs="宋体"/>
                <w:sz w:val="32"/>
                <w:szCs w:val="18"/>
              </w:rPr>
              <w:t>32.73</w:t>
            </w:r>
          </w:p>
        </w:tc>
        <w:tc>
          <w:tcPr>
            <w:tcW w:w="731" w:type="pct"/>
            <w:tcBorders>
              <w:top w:val="nil"/>
              <w:left w:val="nil"/>
              <w:bottom w:val="single" w:color="auto" w:sz="4" w:space="0"/>
              <w:right w:val="single" w:color="auto" w:sz="4" w:space="0"/>
            </w:tcBorders>
            <w:shd w:val="clear" w:color="auto" w:fill="auto"/>
            <w:noWrap/>
            <w:vAlign w:val="center"/>
          </w:tcPr>
          <w:p w14:paraId="18D1FD7D">
            <w:pPr>
              <w:spacing w:line="560" w:lineRule="exact"/>
              <w:jc w:val="center"/>
              <w:rPr>
                <w:rFonts w:ascii="宋体" w:hAnsi="宋体" w:eastAsia="仿宋" w:cs="宋体"/>
                <w:sz w:val="32"/>
                <w:szCs w:val="18"/>
              </w:rPr>
            </w:pPr>
            <w:r>
              <w:rPr>
                <w:rFonts w:ascii="宋体" w:hAnsi="宋体" w:eastAsia="仿宋" w:cs="宋体"/>
                <w:sz w:val="32"/>
                <w:szCs w:val="18"/>
              </w:rPr>
              <w:t>25.5</w:t>
            </w:r>
          </w:p>
        </w:tc>
        <w:tc>
          <w:tcPr>
            <w:tcW w:w="656" w:type="pct"/>
            <w:tcBorders>
              <w:top w:val="nil"/>
              <w:left w:val="nil"/>
              <w:bottom w:val="single" w:color="auto" w:sz="4" w:space="0"/>
              <w:right w:val="single" w:color="auto" w:sz="4" w:space="0"/>
            </w:tcBorders>
            <w:shd w:val="clear" w:color="auto" w:fill="auto"/>
            <w:noWrap/>
            <w:vAlign w:val="center"/>
          </w:tcPr>
          <w:p w14:paraId="55344175">
            <w:pPr>
              <w:spacing w:line="560" w:lineRule="exact"/>
              <w:jc w:val="center"/>
              <w:rPr>
                <w:rFonts w:ascii="宋体" w:hAnsi="宋体" w:eastAsia="仿宋" w:cs="宋体"/>
                <w:sz w:val="32"/>
                <w:szCs w:val="18"/>
              </w:rPr>
            </w:pPr>
            <w:r>
              <w:rPr>
                <w:rFonts w:ascii="宋体" w:hAnsi="宋体" w:eastAsia="仿宋" w:cs="宋体"/>
                <w:sz w:val="32"/>
                <w:szCs w:val="18"/>
              </w:rPr>
              <w:t>83.33</w:t>
            </w:r>
          </w:p>
        </w:tc>
      </w:tr>
      <w:tr w14:paraId="66BCCD9D">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3AA96C48">
            <w:pPr>
              <w:spacing w:line="560" w:lineRule="exact"/>
              <w:jc w:val="center"/>
              <w:rPr>
                <w:rFonts w:ascii="宋体" w:hAnsi="宋体" w:eastAsia="仿宋" w:cs="宋体"/>
                <w:sz w:val="32"/>
                <w:szCs w:val="18"/>
              </w:rPr>
            </w:pPr>
            <w:r>
              <w:rPr>
                <w:rFonts w:ascii="宋体" w:hAnsi="宋体" w:eastAsia="仿宋" w:cs="宋体"/>
                <w:sz w:val="32"/>
                <w:szCs w:val="18"/>
              </w:rPr>
              <w:t>马尔康市应急管理局</w:t>
            </w:r>
          </w:p>
        </w:tc>
        <w:tc>
          <w:tcPr>
            <w:tcW w:w="731" w:type="pct"/>
            <w:tcBorders>
              <w:top w:val="nil"/>
              <w:left w:val="nil"/>
              <w:bottom w:val="single" w:color="auto" w:sz="4" w:space="0"/>
              <w:right w:val="single" w:color="auto" w:sz="4" w:space="0"/>
            </w:tcBorders>
            <w:shd w:val="clear" w:color="auto" w:fill="auto"/>
            <w:noWrap/>
            <w:vAlign w:val="center"/>
          </w:tcPr>
          <w:p w14:paraId="52E4BCA4">
            <w:pPr>
              <w:spacing w:line="560" w:lineRule="exact"/>
              <w:jc w:val="center"/>
              <w:rPr>
                <w:rFonts w:ascii="宋体" w:hAnsi="宋体" w:eastAsia="仿宋" w:cs="宋体"/>
                <w:sz w:val="32"/>
                <w:szCs w:val="18"/>
              </w:rPr>
            </w:pPr>
            <w:r>
              <w:rPr>
                <w:rFonts w:ascii="宋体" w:hAnsi="宋体" w:eastAsia="仿宋" w:cs="宋体"/>
                <w:sz w:val="32"/>
                <w:szCs w:val="18"/>
              </w:rPr>
              <w:t>7.98</w:t>
            </w:r>
          </w:p>
        </w:tc>
        <w:tc>
          <w:tcPr>
            <w:tcW w:w="731" w:type="pct"/>
            <w:tcBorders>
              <w:top w:val="nil"/>
              <w:left w:val="nil"/>
              <w:bottom w:val="single" w:color="auto" w:sz="4" w:space="0"/>
              <w:right w:val="single" w:color="auto" w:sz="4" w:space="0"/>
            </w:tcBorders>
            <w:shd w:val="clear" w:color="auto" w:fill="auto"/>
            <w:noWrap/>
            <w:vAlign w:val="center"/>
          </w:tcPr>
          <w:p w14:paraId="4526EB07">
            <w:pPr>
              <w:spacing w:line="560" w:lineRule="exact"/>
              <w:jc w:val="center"/>
              <w:rPr>
                <w:rFonts w:ascii="宋体" w:hAnsi="宋体" w:eastAsia="仿宋" w:cs="宋体"/>
                <w:sz w:val="32"/>
                <w:szCs w:val="18"/>
              </w:rPr>
            </w:pPr>
            <w:r>
              <w:rPr>
                <w:rFonts w:ascii="宋体" w:hAnsi="宋体" w:eastAsia="仿宋" w:cs="宋体"/>
                <w:sz w:val="32"/>
                <w:szCs w:val="18"/>
              </w:rPr>
              <w:t>19.48</w:t>
            </w:r>
          </w:p>
        </w:tc>
        <w:tc>
          <w:tcPr>
            <w:tcW w:w="731" w:type="pct"/>
            <w:tcBorders>
              <w:top w:val="nil"/>
              <w:left w:val="nil"/>
              <w:bottom w:val="single" w:color="auto" w:sz="4" w:space="0"/>
              <w:right w:val="single" w:color="auto" w:sz="4" w:space="0"/>
            </w:tcBorders>
            <w:shd w:val="clear" w:color="auto" w:fill="auto"/>
            <w:noWrap/>
            <w:vAlign w:val="center"/>
          </w:tcPr>
          <w:p w14:paraId="40881EC4">
            <w:pPr>
              <w:spacing w:line="560" w:lineRule="exact"/>
              <w:jc w:val="center"/>
              <w:rPr>
                <w:rFonts w:ascii="宋体" w:hAnsi="宋体" w:eastAsia="仿宋" w:cs="宋体"/>
                <w:sz w:val="32"/>
                <w:szCs w:val="18"/>
              </w:rPr>
            </w:pPr>
            <w:r>
              <w:rPr>
                <w:rFonts w:ascii="宋体" w:hAnsi="宋体" w:eastAsia="仿宋" w:cs="宋体"/>
                <w:sz w:val="32"/>
                <w:szCs w:val="18"/>
              </w:rPr>
              <w:t>33.64</w:t>
            </w:r>
          </w:p>
        </w:tc>
        <w:tc>
          <w:tcPr>
            <w:tcW w:w="731" w:type="pct"/>
            <w:tcBorders>
              <w:top w:val="nil"/>
              <w:left w:val="nil"/>
              <w:bottom w:val="single" w:color="auto" w:sz="4" w:space="0"/>
              <w:right w:val="single" w:color="auto" w:sz="4" w:space="0"/>
            </w:tcBorders>
            <w:shd w:val="clear" w:color="auto" w:fill="auto"/>
            <w:noWrap/>
            <w:vAlign w:val="center"/>
          </w:tcPr>
          <w:p w14:paraId="5A43CAE0">
            <w:pPr>
              <w:spacing w:line="560" w:lineRule="exact"/>
              <w:jc w:val="center"/>
              <w:rPr>
                <w:rFonts w:ascii="宋体" w:hAnsi="宋体" w:eastAsia="仿宋" w:cs="宋体"/>
                <w:sz w:val="32"/>
                <w:szCs w:val="18"/>
              </w:rPr>
            </w:pPr>
            <w:r>
              <w:rPr>
                <w:rFonts w:ascii="宋体" w:hAnsi="宋体" w:eastAsia="仿宋" w:cs="宋体"/>
                <w:sz w:val="32"/>
                <w:szCs w:val="18"/>
              </w:rPr>
              <w:t>21</w:t>
            </w:r>
          </w:p>
        </w:tc>
        <w:tc>
          <w:tcPr>
            <w:tcW w:w="656" w:type="pct"/>
            <w:tcBorders>
              <w:top w:val="nil"/>
              <w:left w:val="nil"/>
              <w:bottom w:val="single" w:color="auto" w:sz="4" w:space="0"/>
              <w:right w:val="single" w:color="auto" w:sz="4" w:space="0"/>
            </w:tcBorders>
            <w:shd w:val="clear" w:color="auto" w:fill="auto"/>
            <w:noWrap/>
            <w:vAlign w:val="center"/>
          </w:tcPr>
          <w:p w14:paraId="2D35CDBF">
            <w:pPr>
              <w:spacing w:line="560" w:lineRule="exact"/>
              <w:jc w:val="center"/>
              <w:rPr>
                <w:rFonts w:ascii="宋体" w:hAnsi="宋体" w:eastAsia="仿宋" w:cs="宋体"/>
                <w:sz w:val="32"/>
                <w:szCs w:val="18"/>
              </w:rPr>
            </w:pPr>
            <w:r>
              <w:rPr>
                <w:rFonts w:ascii="宋体" w:hAnsi="宋体" w:eastAsia="仿宋" w:cs="宋体"/>
                <w:sz w:val="32"/>
                <w:szCs w:val="18"/>
              </w:rPr>
              <w:t>82.1</w:t>
            </w:r>
          </w:p>
        </w:tc>
      </w:tr>
      <w:tr w14:paraId="7583B463">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1E7E5C88">
            <w:pPr>
              <w:spacing w:line="560" w:lineRule="exact"/>
              <w:jc w:val="center"/>
              <w:rPr>
                <w:rFonts w:ascii="宋体" w:hAnsi="宋体" w:eastAsia="仿宋" w:cs="宋体"/>
                <w:sz w:val="32"/>
                <w:szCs w:val="18"/>
              </w:rPr>
            </w:pPr>
            <w:r>
              <w:rPr>
                <w:rFonts w:ascii="宋体" w:hAnsi="宋体" w:eastAsia="仿宋" w:cs="宋体"/>
                <w:sz w:val="32"/>
                <w:szCs w:val="18"/>
              </w:rPr>
              <w:t>马尔康市经济商务和信息化局</w:t>
            </w:r>
          </w:p>
        </w:tc>
        <w:tc>
          <w:tcPr>
            <w:tcW w:w="731" w:type="pct"/>
            <w:tcBorders>
              <w:top w:val="nil"/>
              <w:left w:val="nil"/>
              <w:bottom w:val="single" w:color="auto" w:sz="4" w:space="0"/>
              <w:right w:val="single" w:color="auto" w:sz="4" w:space="0"/>
            </w:tcBorders>
            <w:shd w:val="clear" w:color="auto" w:fill="auto"/>
            <w:noWrap/>
            <w:vAlign w:val="center"/>
          </w:tcPr>
          <w:p w14:paraId="0C8457F7">
            <w:pPr>
              <w:spacing w:line="560" w:lineRule="exact"/>
              <w:jc w:val="center"/>
              <w:rPr>
                <w:rFonts w:ascii="宋体" w:hAnsi="宋体" w:eastAsia="仿宋" w:cs="宋体"/>
                <w:sz w:val="32"/>
                <w:szCs w:val="18"/>
              </w:rPr>
            </w:pPr>
            <w:r>
              <w:rPr>
                <w:rFonts w:ascii="宋体" w:hAnsi="宋体" w:eastAsia="仿宋" w:cs="宋体"/>
                <w:sz w:val="32"/>
                <w:szCs w:val="18"/>
              </w:rPr>
              <w:t>8.44</w:t>
            </w:r>
          </w:p>
        </w:tc>
        <w:tc>
          <w:tcPr>
            <w:tcW w:w="731" w:type="pct"/>
            <w:tcBorders>
              <w:top w:val="nil"/>
              <w:left w:val="nil"/>
              <w:bottom w:val="single" w:color="auto" w:sz="4" w:space="0"/>
              <w:right w:val="single" w:color="auto" w:sz="4" w:space="0"/>
            </w:tcBorders>
            <w:shd w:val="clear" w:color="auto" w:fill="auto"/>
            <w:noWrap/>
            <w:vAlign w:val="center"/>
          </w:tcPr>
          <w:p w14:paraId="2E8642E1">
            <w:pPr>
              <w:spacing w:line="560" w:lineRule="exact"/>
              <w:jc w:val="center"/>
              <w:rPr>
                <w:rFonts w:ascii="宋体" w:hAnsi="宋体" w:eastAsia="仿宋" w:cs="宋体"/>
                <w:sz w:val="32"/>
                <w:szCs w:val="18"/>
              </w:rPr>
            </w:pPr>
            <w:r>
              <w:rPr>
                <w:rFonts w:ascii="宋体" w:hAnsi="宋体" w:eastAsia="仿宋" w:cs="宋体"/>
                <w:sz w:val="32"/>
                <w:szCs w:val="18"/>
              </w:rPr>
              <w:t>12.18</w:t>
            </w:r>
          </w:p>
        </w:tc>
        <w:tc>
          <w:tcPr>
            <w:tcW w:w="731" w:type="pct"/>
            <w:tcBorders>
              <w:top w:val="nil"/>
              <w:left w:val="nil"/>
              <w:bottom w:val="single" w:color="auto" w:sz="4" w:space="0"/>
              <w:right w:val="single" w:color="auto" w:sz="4" w:space="0"/>
            </w:tcBorders>
            <w:shd w:val="clear" w:color="auto" w:fill="auto"/>
            <w:noWrap/>
            <w:vAlign w:val="center"/>
          </w:tcPr>
          <w:p w14:paraId="29B945D6">
            <w:pPr>
              <w:spacing w:line="560" w:lineRule="exact"/>
              <w:jc w:val="center"/>
              <w:rPr>
                <w:rFonts w:ascii="宋体" w:hAnsi="宋体" w:eastAsia="仿宋" w:cs="宋体"/>
                <w:sz w:val="32"/>
                <w:szCs w:val="18"/>
              </w:rPr>
            </w:pPr>
            <w:r>
              <w:rPr>
                <w:rFonts w:ascii="宋体" w:hAnsi="宋体" w:eastAsia="仿宋" w:cs="宋体"/>
                <w:sz w:val="32"/>
                <w:szCs w:val="18"/>
              </w:rPr>
              <w:t>33</w:t>
            </w:r>
          </w:p>
        </w:tc>
        <w:tc>
          <w:tcPr>
            <w:tcW w:w="731" w:type="pct"/>
            <w:tcBorders>
              <w:top w:val="nil"/>
              <w:left w:val="nil"/>
              <w:bottom w:val="single" w:color="auto" w:sz="4" w:space="0"/>
              <w:right w:val="single" w:color="auto" w:sz="4" w:space="0"/>
            </w:tcBorders>
            <w:shd w:val="clear" w:color="auto" w:fill="auto"/>
            <w:noWrap/>
            <w:vAlign w:val="center"/>
          </w:tcPr>
          <w:p w14:paraId="59264E2A">
            <w:pPr>
              <w:spacing w:line="560" w:lineRule="exact"/>
              <w:jc w:val="center"/>
              <w:rPr>
                <w:rFonts w:ascii="宋体" w:hAnsi="宋体" w:eastAsia="仿宋" w:cs="宋体"/>
                <w:sz w:val="32"/>
                <w:szCs w:val="18"/>
              </w:rPr>
            </w:pPr>
            <w:r>
              <w:rPr>
                <w:rFonts w:ascii="宋体" w:hAnsi="宋体" w:eastAsia="仿宋" w:cs="宋体"/>
                <w:sz w:val="32"/>
                <w:szCs w:val="18"/>
              </w:rPr>
              <w:t>27</w:t>
            </w:r>
          </w:p>
        </w:tc>
        <w:tc>
          <w:tcPr>
            <w:tcW w:w="656" w:type="pct"/>
            <w:tcBorders>
              <w:top w:val="nil"/>
              <w:left w:val="nil"/>
              <w:bottom w:val="single" w:color="auto" w:sz="4" w:space="0"/>
              <w:right w:val="single" w:color="auto" w:sz="4" w:space="0"/>
            </w:tcBorders>
            <w:shd w:val="clear" w:color="auto" w:fill="auto"/>
            <w:noWrap/>
            <w:vAlign w:val="center"/>
          </w:tcPr>
          <w:p w14:paraId="76F43B42">
            <w:pPr>
              <w:spacing w:line="560" w:lineRule="exact"/>
              <w:jc w:val="center"/>
              <w:rPr>
                <w:rFonts w:ascii="宋体" w:hAnsi="宋体" w:eastAsia="仿宋" w:cs="宋体"/>
                <w:sz w:val="32"/>
                <w:szCs w:val="18"/>
              </w:rPr>
            </w:pPr>
            <w:r>
              <w:rPr>
                <w:rFonts w:ascii="宋体" w:hAnsi="宋体" w:eastAsia="仿宋" w:cs="宋体"/>
                <w:sz w:val="32"/>
                <w:szCs w:val="18"/>
              </w:rPr>
              <w:t>80.62</w:t>
            </w:r>
          </w:p>
        </w:tc>
      </w:tr>
      <w:tr w14:paraId="1B871C38">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1F7936FE">
            <w:pPr>
              <w:spacing w:line="560" w:lineRule="exact"/>
              <w:jc w:val="center"/>
              <w:rPr>
                <w:rFonts w:ascii="宋体" w:hAnsi="宋体" w:eastAsia="仿宋" w:cs="宋体"/>
                <w:sz w:val="32"/>
                <w:szCs w:val="18"/>
              </w:rPr>
            </w:pPr>
            <w:r>
              <w:rPr>
                <w:rFonts w:ascii="宋体" w:hAnsi="宋体" w:eastAsia="仿宋" w:cs="宋体"/>
                <w:sz w:val="32"/>
                <w:szCs w:val="18"/>
              </w:rPr>
              <w:t>马尔康市自然资源局</w:t>
            </w:r>
          </w:p>
        </w:tc>
        <w:tc>
          <w:tcPr>
            <w:tcW w:w="731" w:type="pct"/>
            <w:tcBorders>
              <w:top w:val="nil"/>
              <w:left w:val="nil"/>
              <w:bottom w:val="single" w:color="auto" w:sz="4" w:space="0"/>
              <w:right w:val="single" w:color="auto" w:sz="4" w:space="0"/>
            </w:tcBorders>
            <w:shd w:val="clear" w:color="auto" w:fill="auto"/>
            <w:noWrap/>
            <w:vAlign w:val="center"/>
          </w:tcPr>
          <w:p w14:paraId="403BF4F6">
            <w:pPr>
              <w:spacing w:line="560" w:lineRule="exact"/>
              <w:jc w:val="center"/>
              <w:rPr>
                <w:rFonts w:ascii="宋体" w:hAnsi="宋体" w:eastAsia="仿宋" w:cs="宋体"/>
                <w:sz w:val="32"/>
                <w:szCs w:val="18"/>
              </w:rPr>
            </w:pPr>
            <w:r>
              <w:rPr>
                <w:rFonts w:ascii="宋体" w:hAnsi="宋体" w:eastAsia="仿宋" w:cs="宋体"/>
                <w:sz w:val="32"/>
                <w:szCs w:val="18"/>
              </w:rPr>
              <w:t>9.98</w:t>
            </w:r>
          </w:p>
        </w:tc>
        <w:tc>
          <w:tcPr>
            <w:tcW w:w="731" w:type="pct"/>
            <w:tcBorders>
              <w:top w:val="nil"/>
              <w:left w:val="nil"/>
              <w:bottom w:val="single" w:color="auto" w:sz="4" w:space="0"/>
              <w:right w:val="single" w:color="auto" w:sz="4" w:space="0"/>
            </w:tcBorders>
            <w:shd w:val="clear" w:color="auto" w:fill="auto"/>
            <w:noWrap/>
            <w:vAlign w:val="center"/>
          </w:tcPr>
          <w:p w14:paraId="3C25532D">
            <w:pPr>
              <w:spacing w:line="560" w:lineRule="exact"/>
              <w:jc w:val="center"/>
              <w:rPr>
                <w:rFonts w:ascii="宋体" w:hAnsi="宋体" w:eastAsia="仿宋" w:cs="宋体"/>
                <w:sz w:val="32"/>
                <w:szCs w:val="18"/>
              </w:rPr>
            </w:pPr>
            <w:r>
              <w:rPr>
                <w:rFonts w:ascii="宋体" w:hAnsi="宋体" w:eastAsia="仿宋" w:cs="宋体"/>
                <w:sz w:val="32"/>
                <w:szCs w:val="18"/>
              </w:rPr>
              <w:t>15.02</w:t>
            </w:r>
          </w:p>
        </w:tc>
        <w:tc>
          <w:tcPr>
            <w:tcW w:w="731" w:type="pct"/>
            <w:tcBorders>
              <w:top w:val="nil"/>
              <w:left w:val="nil"/>
              <w:bottom w:val="single" w:color="auto" w:sz="4" w:space="0"/>
              <w:right w:val="single" w:color="auto" w:sz="4" w:space="0"/>
            </w:tcBorders>
            <w:shd w:val="clear" w:color="auto" w:fill="auto"/>
            <w:vAlign w:val="center"/>
          </w:tcPr>
          <w:p w14:paraId="196B4211">
            <w:pPr>
              <w:spacing w:line="560" w:lineRule="exact"/>
              <w:jc w:val="center"/>
              <w:rPr>
                <w:rFonts w:ascii="宋体" w:hAnsi="宋体" w:eastAsia="仿宋" w:cs="宋体"/>
                <w:sz w:val="32"/>
                <w:szCs w:val="18"/>
              </w:rPr>
            </w:pPr>
            <w:r>
              <w:rPr>
                <w:rFonts w:ascii="宋体" w:hAnsi="宋体" w:eastAsia="仿宋" w:cs="宋体"/>
                <w:sz w:val="32"/>
                <w:szCs w:val="18"/>
              </w:rPr>
              <w:t>32.6</w:t>
            </w:r>
          </w:p>
        </w:tc>
        <w:tc>
          <w:tcPr>
            <w:tcW w:w="731" w:type="pct"/>
            <w:tcBorders>
              <w:top w:val="nil"/>
              <w:left w:val="nil"/>
              <w:bottom w:val="single" w:color="auto" w:sz="4" w:space="0"/>
              <w:right w:val="single" w:color="auto" w:sz="4" w:space="0"/>
            </w:tcBorders>
            <w:shd w:val="clear" w:color="auto" w:fill="auto"/>
            <w:noWrap/>
            <w:vAlign w:val="center"/>
          </w:tcPr>
          <w:p w14:paraId="40520AA6">
            <w:pPr>
              <w:spacing w:line="560" w:lineRule="exact"/>
              <w:jc w:val="center"/>
              <w:rPr>
                <w:rFonts w:ascii="宋体" w:hAnsi="宋体" w:eastAsia="仿宋" w:cs="宋体"/>
                <w:sz w:val="32"/>
                <w:szCs w:val="18"/>
              </w:rPr>
            </w:pPr>
            <w:r>
              <w:rPr>
                <w:rFonts w:ascii="宋体" w:hAnsi="宋体" w:eastAsia="仿宋" w:cs="宋体"/>
                <w:sz w:val="32"/>
                <w:szCs w:val="18"/>
              </w:rPr>
              <w:t>21.56</w:t>
            </w:r>
          </w:p>
        </w:tc>
        <w:tc>
          <w:tcPr>
            <w:tcW w:w="656" w:type="pct"/>
            <w:tcBorders>
              <w:top w:val="nil"/>
              <w:left w:val="nil"/>
              <w:bottom w:val="single" w:color="auto" w:sz="4" w:space="0"/>
              <w:right w:val="single" w:color="auto" w:sz="4" w:space="0"/>
            </w:tcBorders>
            <w:shd w:val="clear" w:color="auto" w:fill="auto"/>
            <w:noWrap/>
            <w:vAlign w:val="center"/>
          </w:tcPr>
          <w:p w14:paraId="57983A62">
            <w:pPr>
              <w:spacing w:line="560" w:lineRule="exact"/>
              <w:jc w:val="center"/>
              <w:rPr>
                <w:rFonts w:ascii="宋体" w:hAnsi="宋体" w:eastAsia="仿宋" w:cs="宋体"/>
                <w:sz w:val="32"/>
                <w:szCs w:val="18"/>
              </w:rPr>
            </w:pPr>
            <w:r>
              <w:rPr>
                <w:rFonts w:ascii="宋体" w:hAnsi="宋体" w:eastAsia="仿宋" w:cs="宋体"/>
                <w:sz w:val="32"/>
                <w:szCs w:val="18"/>
              </w:rPr>
              <w:t>79.16</w:t>
            </w:r>
          </w:p>
        </w:tc>
      </w:tr>
      <w:tr w14:paraId="27A09699">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787FD76E">
            <w:pPr>
              <w:spacing w:line="560" w:lineRule="exact"/>
              <w:jc w:val="center"/>
              <w:rPr>
                <w:rFonts w:ascii="宋体" w:hAnsi="宋体" w:eastAsia="仿宋" w:cs="宋体"/>
                <w:sz w:val="32"/>
                <w:szCs w:val="18"/>
              </w:rPr>
            </w:pPr>
            <w:r>
              <w:rPr>
                <w:rFonts w:ascii="宋体" w:hAnsi="宋体" w:eastAsia="仿宋" w:cs="宋体"/>
                <w:sz w:val="32"/>
                <w:szCs w:val="18"/>
              </w:rPr>
              <w:t>马尔康市人民法院</w:t>
            </w:r>
          </w:p>
        </w:tc>
        <w:tc>
          <w:tcPr>
            <w:tcW w:w="731" w:type="pct"/>
            <w:tcBorders>
              <w:top w:val="nil"/>
              <w:left w:val="nil"/>
              <w:bottom w:val="single" w:color="auto" w:sz="4" w:space="0"/>
              <w:right w:val="single" w:color="auto" w:sz="4" w:space="0"/>
            </w:tcBorders>
            <w:shd w:val="clear" w:color="auto" w:fill="auto"/>
            <w:noWrap/>
            <w:vAlign w:val="center"/>
          </w:tcPr>
          <w:p w14:paraId="7124821A">
            <w:pPr>
              <w:spacing w:line="560" w:lineRule="exact"/>
              <w:jc w:val="center"/>
              <w:rPr>
                <w:rFonts w:ascii="宋体" w:hAnsi="宋体" w:eastAsia="仿宋" w:cs="宋体"/>
                <w:sz w:val="32"/>
                <w:szCs w:val="18"/>
              </w:rPr>
            </w:pPr>
            <w:r>
              <w:rPr>
                <w:rFonts w:ascii="宋体" w:hAnsi="宋体" w:eastAsia="仿宋" w:cs="宋体"/>
                <w:sz w:val="32"/>
                <w:szCs w:val="18"/>
              </w:rPr>
              <w:t>8.37</w:t>
            </w:r>
          </w:p>
        </w:tc>
        <w:tc>
          <w:tcPr>
            <w:tcW w:w="731" w:type="pct"/>
            <w:tcBorders>
              <w:top w:val="nil"/>
              <w:left w:val="nil"/>
              <w:bottom w:val="single" w:color="auto" w:sz="4" w:space="0"/>
              <w:right w:val="single" w:color="auto" w:sz="4" w:space="0"/>
            </w:tcBorders>
            <w:shd w:val="clear" w:color="auto" w:fill="auto"/>
            <w:noWrap/>
            <w:vAlign w:val="center"/>
          </w:tcPr>
          <w:p w14:paraId="303B0A64">
            <w:pPr>
              <w:spacing w:line="560" w:lineRule="exact"/>
              <w:jc w:val="center"/>
              <w:rPr>
                <w:rFonts w:ascii="宋体" w:hAnsi="宋体" w:eastAsia="仿宋" w:cs="宋体"/>
                <w:sz w:val="32"/>
                <w:szCs w:val="18"/>
              </w:rPr>
            </w:pPr>
            <w:r>
              <w:rPr>
                <w:rFonts w:ascii="宋体" w:hAnsi="宋体" w:eastAsia="仿宋" w:cs="宋体"/>
                <w:sz w:val="32"/>
                <w:szCs w:val="18"/>
              </w:rPr>
              <w:t>19.86</w:t>
            </w:r>
          </w:p>
        </w:tc>
        <w:tc>
          <w:tcPr>
            <w:tcW w:w="731" w:type="pct"/>
            <w:tcBorders>
              <w:top w:val="nil"/>
              <w:left w:val="nil"/>
              <w:bottom w:val="single" w:color="auto" w:sz="4" w:space="0"/>
              <w:right w:val="single" w:color="auto" w:sz="4" w:space="0"/>
            </w:tcBorders>
            <w:shd w:val="clear" w:color="auto" w:fill="auto"/>
            <w:noWrap/>
            <w:vAlign w:val="center"/>
          </w:tcPr>
          <w:p w14:paraId="6DD4DD73">
            <w:pPr>
              <w:spacing w:line="560" w:lineRule="exact"/>
              <w:jc w:val="center"/>
              <w:rPr>
                <w:rFonts w:ascii="宋体" w:hAnsi="宋体" w:eastAsia="仿宋" w:cs="宋体"/>
                <w:sz w:val="32"/>
                <w:szCs w:val="18"/>
              </w:rPr>
            </w:pPr>
            <w:r>
              <w:rPr>
                <w:rFonts w:ascii="宋体" w:hAnsi="宋体" w:eastAsia="仿宋" w:cs="宋体"/>
                <w:sz w:val="32"/>
                <w:szCs w:val="18"/>
              </w:rPr>
              <w:t>24.62</w:t>
            </w:r>
          </w:p>
        </w:tc>
        <w:tc>
          <w:tcPr>
            <w:tcW w:w="731" w:type="pct"/>
            <w:tcBorders>
              <w:top w:val="nil"/>
              <w:left w:val="nil"/>
              <w:bottom w:val="single" w:color="auto" w:sz="4" w:space="0"/>
              <w:right w:val="single" w:color="auto" w:sz="4" w:space="0"/>
            </w:tcBorders>
            <w:shd w:val="clear" w:color="auto" w:fill="auto"/>
            <w:noWrap/>
            <w:vAlign w:val="center"/>
          </w:tcPr>
          <w:p w14:paraId="0869AA0A">
            <w:pPr>
              <w:spacing w:line="560" w:lineRule="exact"/>
              <w:jc w:val="center"/>
              <w:rPr>
                <w:rFonts w:ascii="宋体" w:hAnsi="宋体" w:eastAsia="仿宋" w:cs="宋体"/>
                <w:sz w:val="32"/>
                <w:szCs w:val="18"/>
              </w:rPr>
            </w:pPr>
            <w:r>
              <w:rPr>
                <w:rFonts w:ascii="宋体" w:hAnsi="宋体" w:eastAsia="仿宋" w:cs="宋体"/>
                <w:sz w:val="32"/>
                <w:szCs w:val="18"/>
              </w:rPr>
              <w:t>24</w:t>
            </w:r>
          </w:p>
        </w:tc>
        <w:tc>
          <w:tcPr>
            <w:tcW w:w="656" w:type="pct"/>
            <w:tcBorders>
              <w:top w:val="nil"/>
              <w:left w:val="nil"/>
              <w:bottom w:val="single" w:color="auto" w:sz="4" w:space="0"/>
              <w:right w:val="single" w:color="auto" w:sz="4" w:space="0"/>
            </w:tcBorders>
            <w:shd w:val="clear" w:color="auto" w:fill="auto"/>
            <w:noWrap/>
            <w:vAlign w:val="center"/>
          </w:tcPr>
          <w:p w14:paraId="17A0E307">
            <w:pPr>
              <w:spacing w:line="560" w:lineRule="exact"/>
              <w:jc w:val="center"/>
              <w:rPr>
                <w:rFonts w:ascii="宋体" w:hAnsi="宋体" w:eastAsia="仿宋" w:cs="宋体"/>
                <w:sz w:val="32"/>
                <w:szCs w:val="18"/>
              </w:rPr>
            </w:pPr>
            <w:r>
              <w:rPr>
                <w:rFonts w:ascii="宋体" w:hAnsi="宋体" w:eastAsia="仿宋" w:cs="宋体"/>
                <w:sz w:val="32"/>
                <w:szCs w:val="18"/>
              </w:rPr>
              <w:t>76.85</w:t>
            </w:r>
          </w:p>
        </w:tc>
      </w:tr>
      <w:tr w14:paraId="30814A10">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00C788EF">
            <w:pPr>
              <w:spacing w:line="560" w:lineRule="exact"/>
              <w:jc w:val="center"/>
              <w:rPr>
                <w:rFonts w:ascii="宋体" w:hAnsi="宋体" w:eastAsia="仿宋" w:cs="宋体"/>
                <w:sz w:val="32"/>
                <w:szCs w:val="18"/>
              </w:rPr>
            </w:pPr>
            <w:r>
              <w:rPr>
                <w:rFonts w:ascii="宋体" w:hAnsi="宋体" w:eastAsia="仿宋" w:cs="宋体"/>
                <w:sz w:val="32"/>
                <w:szCs w:val="18"/>
              </w:rPr>
              <w:t>马尔康市人民检察院</w:t>
            </w:r>
          </w:p>
        </w:tc>
        <w:tc>
          <w:tcPr>
            <w:tcW w:w="731" w:type="pct"/>
            <w:tcBorders>
              <w:top w:val="nil"/>
              <w:left w:val="nil"/>
              <w:bottom w:val="single" w:color="auto" w:sz="4" w:space="0"/>
              <w:right w:val="single" w:color="auto" w:sz="4" w:space="0"/>
            </w:tcBorders>
            <w:shd w:val="clear" w:color="auto" w:fill="auto"/>
            <w:noWrap/>
            <w:vAlign w:val="center"/>
          </w:tcPr>
          <w:p w14:paraId="3A1B2562">
            <w:pPr>
              <w:spacing w:line="560" w:lineRule="exact"/>
              <w:jc w:val="center"/>
              <w:rPr>
                <w:rFonts w:ascii="宋体" w:hAnsi="宋体" w:eastAsia="仿宋" w:cs="宋体"/>
                <w:sz w:val="32"/>
                <w:szCs w:val="18"/>
              </w:rPr>
            </w:pPr>
            <w:r>
              <w:rPr>
                <w:rFonts w:ascii="宋体" w:hAnsi="宋体" w:eastAsia="仿宋" w:cs="宋体"/>
                <w:sz w:val="32"/>
                <w:szCs w:val="18"/>
              </w:rPr>
              <w:t>6.98</w:t>
            </w:r>
          </w:p>
        </w:tc>
        <w:tc>
          <w:tcPr>
            <w:tcW w:w="731" w:type="pct"/>
            <w:tcBorders>
              <w:top w:val="nil"/>
              <w:left w:val="nil"/>
              <w:bottom w:val="single" w:color="auto" w:sz="4" w:space="0"/>
              <w:right w:val="single" w:color="auto" w:sz="4" w:space="0"/>
            </w:tcBorders>
            <w:shd w:val="clear" w:color="auto" w:fill="auto"/>
            <w:noWrap/>
            <w:vAlign w:val="center"/>
          </w:tcPr>
          <w:p w14:paraId="42709055">
            <w:pPr>
              <w:spacing w:line="560" w:lineRule="exact"/>
              <w:jc w:val="center"/>
              <w:rPr>
                <w:rFonts w:ascii="宋体" w:hAnsi="宋体" w:eastAsia="仿宋" w:cs="宋体"/>
                <w:sz w:val="32"/>
                <w:szCs w:val="18"/>
              </w:rPr>
            </w:pPr>
            <w:r>
              <w:rPr>
                <w:rFonts w:ascii="宋体" w:hAnsi="宋体" w:eastAsia="仿宋" w:cs="宋体"/>
                <w:sz w:val="32"/>
                <w:szCs w:val="18"/>
              </w:rPr>
              <w:t>14.08</w:t>
            </w:r>
          </w:p>
        </w:tc>
        <w:tc>
          <w:tcPr>
            <w:tcW w:w="731" w:type="pct"/>
            <w:tcBorders>
              <w:top w:val="nil"/>
              <w:left w:val="nil"/>
              <w:bottom w:val="single" w:color="auto" w:sz="4" w:space="0"/>
              <w:right w:val="single" w:color="auto" w:sz="4" w:space="0"/>
            </w:tcBorders>
            <w:shd w:val="clear" w:color="auto" w:fill="auto"/>
            <w:noWrap/>
            <w:vAlign w:val="center"/>
          </w:tcPr>
          <w:p w14:paraId="19F588AB">
            <w:pPr>
              <w:spacing w:line="560" w:lineRule="exact"/>
              <w:jc w:val="center"/>
              <w:rPr>
                <w:rFonts w:ascii="宋体" w:hAnsi="宋体" w:eastAsia="仿宋" w:cs="宋体"/>
                <w:sz w:val="32"/>
                <w:szCs w:val="18"/>
              </w:rPr>
            </w:pPr>
            <w:r>
              <w:rPr>
                <w:rFonts w:ascii="宋体" w:hAnsi="宋体" w:eastAsia="仿宋" w:cs="宋体"/>
                <w:sz w:val="32"/>
                <w:szCs w:val="18"/>
              </w:rPr>
              <w:t>28.76</w:t>
            </w:r>
          </w:p>
        </w:tc>
        <w:tc>
          <w:tcPr>
            <w:tcW w:w="731" w:type="pct"/>
            <w:tcBorders>
              <w:top w:val="nil"/>
              <w:left w:val="nil"/>
              <w:bottom w:val="single" w:color="auto" w:sz="4" w:space="0"/>
              <w:right w:val="single" w:color="auto" w:sz="4" w:space="0"/>
            </w:tcBorders>
            <w:shd w:val="clear" w:color="auto" w:fill="auto"/>
            <w:noWrap/>
            <w:vAlign w:val="center"/>
          </w:tcPr>
          <w:p w14:paraId="3EBE0BD8">
            <w:pPr>
              <w:spacing w:line="560" w:lineRule="exact"/>
              <w:jc w:val="center"/>
              <w:rPr>
                <w:rFonts w:ascii="宋体" w:hAnsi="宋体" w:eastAsia="仿宋" w:cs="宋体"/>
                <w:sz w:val="32"/>
                <w:szCs w:val="18"/>
              </w:rPr>
            </w:pPr>
            <w:r>
              <w:rPr>
                <w:rFonts w:ascii="宋体" w:hAnsi="宋体" w:eastAsia="仿宋" w:cs="宋体"/>
                <w:sz w:val="32"/>
                <w:szCs w:val="18"/>
              </w:rPr>
              <w:t>27</w:t>
            </w:r>
          </w:p>
        </w:tc>
        <w:tc>
          <w:tcPr>
            <w:tcW w:w="656" w:type="pct"/>
            <w:tcBorders>
              <w:top w:val="nil"/>
              <w:left w:val="nil"/>
              <w:bottom w:val="single" w:color="auto" w:sz="4" w:space="0"/>
              <w:right w:val="single" w:color="auto" w:sz="4" w:space="0"/>
            </w:tcBorders>
            <w:shd w:val="clear" w:color="auto" w:fill="auto"/>
            <w:noWrap/>
            <w:vAlign w:val="center"/>
          </w:tcPr>
          <w:p w14:paraId="378B8202">
            <w:pPr>
              <w:spacing w:line="560" w:lineRule="exact"/>
              <w:jc w:val="center"/>
              <w:rPr>
                <w:rFonts w:ascii="宋体" w:hAnsi="宋体" w:eastAsia="仿宋" w:cs="宋体"/>
                <w:sz w:val="32"/>
                <w:szCs w:val="18"/>
              </w:rPr>
            </w:pPr>
            <w:r>
              <w:rPr>
                <w:rFonts w:ascii="宋体" w:hAnsi="宋体" w:eastAsia="仿宋" w:cs="宋体"/>
                <w:sz w:val="32"/>
                <w:szCs w:val="18"/>
              </w:rPr>
              <w:t>76.82</w:t>
            </w:r>
          </w:p>
        </w:tc>
      </w:tr>
      <w:tr w14:paraId="7F862C47">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6E269EFB">
            <w:pPr>
              <w:spacing w:line="560" w:lineRule="exact"/>
              <w:jc w:val="center"/>
              <w:rPr>
                <w:rFonts w:ascii="宋体" w:hAnsi="宋体" w:eastAsia="仿宋" w:cs="宋体"/>
                <w:sz w:val="32"/>
                <w:szCs w:val="18"/>
              </w:rPr>
            </w:pPr>
            <w:r>
              <w:rPr>
                <w:rFonts w:ascii="宋体" w:hAnsi="宋体" w:eastAsia="仿宋" w:cs="宋体"/>
                <w:sz w:val="32"/>
                <w:szCs w:val="18"/>
              </w:rPr>
              <w:t>马尔康市卫生健康局</w:t>
            </w:r>
          </w:p>
        </w:tc>
        <w:tc>
          <w:tcPr>
            <w:tcW w:w="731" w:type="pct"/>
            <w:tcBorders>
              <w:top w:val="nil"/>
              <w:left w:val="nil"/>
              <w:bottom w:val="single" w:color="auto" w:sz="4" w:space="0"/>
              <w:right w:val="single" w:color="auto" w:sz="4" w:space="0"/>
            </w:tcBorders>
            <w:shd w:val="clear" w:color="auto" w:fill="auto"/>
            <w:noWrap/>
            <w:vAlign w:val="center"/>
          </w:tcPr>
          <w:p w14:paraId="03BBCB6D">
            <w:pPr>
              <w:spacing w:line="560" w:lineRule="exact"/>
              <w:jc w:val="center"/>
              <w:rPr>
                <w:rFonts w:ascii="宋体" w:hAnsi="宋体" w:eastAsia="仿宋" w:cs="宋体"/>
                <w:sz w:val="32"/>
                <w:szCs w:val="18"/>
              </w:rPr>
            </w:pPr>
            <w:r>
              <w:rPr>
                <w:rFonts w:ascii="宋体" w:hAnsi="宋体" w:eastAsia="仿宋" w:cs="宋体"/>
                <w:sz w:val="32"/>
                <w:szCs w:val="18"/>
              </w:rPr>
              <w:t>7.07</w:t>
            </w:r>
          </w:p>
        </w:tc>
        <w:tc>
          <w:tcPr>
            <w:tcW w:w="731" w:type="pct"/>
            <w:tcBorders>
              <w:top w:val="nil"/>
              <w:left w:val="nil"/>
              <w:bottom w:val="single" w:color="auto" w:sz="4" w:space="0"/>
              <w:right w:val="single" w:color="auto" w:sz="4" w:space="0"/>
            </w:tcBorders>
            <w:shd w:val="clear" w:color="auto" w:fill="auto"/>
            <w:noWrap/>
            <w:vAlign w:val="center"/>
          </w:tcPr>
          <w:p w14:paraId="3D7AB240">
            <w:pPr>
              <w:spacing w:line="560" w:lineRule="exact"/>
              <w:jc w:val="center"/>
              <w:rPr>
                <w:rFonts w:ascii="宋体" w:hAnsi="宋体" w:eastAsia="仿宋" w:cs="宋体"/>
                <w:sz w:val="32"/>
                <w:szCs w:val="18"/>
              </w:rPr>
            </w:pPr>
            <w:r>
              <w:rPr>
                <w:rFonts w:ascii="宋体" w:hAnsi="宋体" w:eastAsia="仿宋" w:cs="宋体"/>
                <w:sz w:val="32"/>
                <w:szCs w:val="18"/>
              </w:rPr>
              <w:t>15.38</w:t>
            </w:r>
          </w:p>
        </w:tc>
        <w:tc>
          <w:tcPr>
            <w:tcW w:w="731" w:type="pct"/>
            <w:tcBorders>
              <w:top w:val="nil"/>
              <w:left w:val="nil"/>
              <w:bottom w:val="single" w:color="auto" w:sz="4" w:space="0"/>
              <w:right w:val="single" w:color="auto" w:sz="4" w:space="0"/>
            </w:tcBorders>
            <w:shd w:val="clear" w:color="auto" w:fill="auto"/>
            <w:noWrap/>
            <w:vAlign w:val="center"/>
          </w:tcPr>
          <w:p w14:paraId="72EEAF18">
            <w:pPr>
              <w:spacing w:line="560" w:lineRule="exact"/>
              <w:jc w:val="center"/>
              <w:rPr>
                <w:rFonts w:ascii="宋体" w:hAnsi="宋体" w:eastAsia="仿宋" w:cs="宋体"/>
                <w:sz w:val="32"/>
                <w:szCs w:val="18"/>
              </w:rPr>
            </w:pPr>
            <w:r>
              <w:rPr>
                <w:rFonts w:ascii="宋体" w:hAnsi="宋体" w:eastAsia="仿宋" w:cs="宋体"/>
                <w:sz w:val="32"/>
                <w:szCs w:val="18"/>
              </w:rPr>
              <w:t>29.24</w:t>
            </w:r>
          </w:p>
        </w:tc>
        <w:tc>
          <w:tcPr>
            <w:tcW w:w="731" w:type="pct"/>
            <w:tcBorders>
              <w:top w:val="nil"/>
              <w:left w:val="nil"/>
              <w:bottom w:val="single" w:color="auto" w:sz="4" w:space="0"/>
              <w:right w:val="single" w:color="auto" w:sz="4" w:space="0"/>
            </w:tcBorders>
            <w:shd w:val="clear" w:color="auto" w:fill="auto"/>
            <w:noWrap/>
            <w:vAlign w:val="center"/>
          </w:tcPr>
          <w:p w14:paraId="723B3544">
            <w:pPr>
              <w:spacing w:line="560" w:lineRule="exact"/>
              <w:jc w:val="center"/>
              <w:rPr>
                <w:rFonts w:ascii="宋体" w:hAnsi="宋体" w:eastAsia="仿宋" w:cs="宋体"/>
                <w:sz w:val="32"/>
                <w:szCs w:val="18"/>
              </w:rPr>
            </w:pPr>
            <w:r>
              <w:rPr>
                <w:rFonts w:ascii="宋体" w:hAnsi="宋体" w:eastAsia="仿宋" w:cs="宋体"/>
                <w:sz w:val="32"/>
                <w:szCs w:val="18"/>
              </w:rPr>
              <w:t>24</w:t>
            </w:r>
          </w:p>
        </w:tc>
        <w:tc>
          <w:tcPr>
            <w:tcW w:w="656" w:type="pct"/>
            <w:tcBorders>
              <w:top w:val="nil"/>
              <w:left w:val="nil"/>
              <w:bottom w:val="single" w:color="auto" w:sz="4" w:space="0"/>
              <w:right w:val="single" w:color="auto" w:sz="4" w:space="0"/>
            </w:tcBorders>
            <w:shd w:val="clear" w:color="auto" w:fill="auto"/>
            <w:noWrap/>
            <w:vAlign w:val="center"/>
          </w:tcPr>
          <w:p w14:paraId="67CA29D3">
            <w:pPr>
              <w:spacing w:line="560" w:lineRule="exact"/>
              <w:jc w:val="center"/>
              <w:rPr>
                <w:rFonts w:ascii="宋体" w:hAnsi="宋体" w:eastAsia="仿宋" w:cs="宋体"/>
                <w:sz w:val="32"/>
                <w:szCs w:val="18"/>
              </w:rPr>
            </w:pPr>
            <w:r>
              <w:rPr>
                <w:rFonts w:ascii="宋体" w:hAnsi="宋体" w:eastAsia="仿宋" w:cs="宋体"/>
                <w:sz w:val="32"/>
                <w:szCs w:val="18"/>
              </w:rPr>
              <w:t>75.69</w:t>
            </w:r>
          </w:p>
        </w:tc>
      </w:tr>
      <w:tr w14:paraId="097C3CC8">
        <w:tblPrEx>
          <w:tblCellMar>
            <w:top w:w="0" w:type="dxa"/>
            <w:left w:w="108" w:type="dxa"/>
            <w:bottom w:w="0" w:type="dxa"/>
            <w:right w:w="108" w:type="dxa"/>
          </w:tblCellMar>
        </w:tblPrEx>
        <w:trPr>
          <w:trHeight w:val="51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763C38B3">
            <w:pPr>
              <w:spacing w:line="560" w:lineRule="exact"/>
              <w:jc w:val="center"/>
              <w:rPr>
                <w:rFonts w:ascii="宋体" w:hAnsi="宋体" w:eastAsia="仿宋" w:cs="宋体"/>
                <w:sz w:val="32"/>
                <w:szCs w:val="18"/>
              </w:rPr>
            </w:pPr>
            <w:r>
              <w:rPr>
                <w:rFonts w:ascii="宋体" w:hAnsi="宋体" w:eastAsia="仿宋" w:cs="宋体"/>
                <w:sz w:val="32"/>
                <w:szCs w:val="18"/>
              </w:rPr>
              <w:t>马尔康市林业和草原局</w:t>
            </w:r>
          </w:p>
        </w:tc>
        <w:tc>
          <w:tcPr>
            <w:tcW w:w="731" w:type="pct"/>
            <w:tcBorders>
              <w:top w:val="nil"/>
              <w:left w:val="nil"/>
              <w:bottom w:val="single" w:color="auto" w:sz="4" w:space="0"/>
              <w:right w:val="single" w:color="auto" w:sz="4" w:space="0"/>
            </w:tcBorders>
            <w:shd w:val="clear" w:color="auto" w:fill="auto"/>
            <w:noWrap/>
            <w:vAlign w:val="center"/>
          </w:tcPr>
          <w:p w14:paraId="7C308F9B">
            <w:pPr>
              <w:spacing w:line="560" w:lineRule="exact"/>
              <w:jc w:val="center"/>
              <w:rPr>
                <w:rFonts w:ascii="宋体" w:hAnsi="宋体" w:eastAsia="仿宋" w:cs="宋体"/>
                <w:sz w:val="32"/>
                <w:szCs w:val="18"/>
              </w:rPr>
            </w:pPr>
            <w:r>
              <w:rPr>
                <w:rFonts w:ascii="宋体" w:hAnsi="宋体" w:eastAsia="仿宋" w:cs="宋体"/>
                <w:sz w:val="32"/>
                <w:szCs w:val="18"/>
              </w:rPr>
              <w:t>7.99</w:t>
            </w:r>
          </w:p>
        </w:tc>
        <w:tc>
          <w:tcPr>
            <w:tcW w:w="731" w:type="pct"/>
            <w:tcBorders>
              <w:top w:val="nil"/>
              <w:left w:val="nil"/>
              <w:bottom w:val="single" w:color="auto" w:sz="4" w:space="0"/>
              <w:right w:val="single" w:color="auto" w:sz="4" w:space="0"/>
            </w:tcBorders>
            <w:shd w:val="clear" w:color="auto" w:fill="auto"/>
            <w:noWrap/>
            <w:vAlign w:val="center"/>
          </w:tcPr>
          <w:p w14:paraId="4E78368A">
            <w:pPr>
              <w:spacing w:line="560" w:lineRule="exact"/>
              <w:jc w:val="center"/>
              <w:rPr>
                <w:rFonts w:ascii="宋体" w:hAnsi="宋体" w:eastAsia="仿宋" w:cs="宋体"/>
                <w:sz w:val="32"/>
                <w:szCs w:val="18"/>
              </w:rPr>
            </w:pPr>
            <w:r>
              <w:rPr>
                <w:rFonts w:ascii="宋体" w:hAnsi="宋体" w:eastAsia="仿宋" w:cs="宋体"/>
                <w:sz w:val="32"/>
                <w:szCs w:val="18"/>
              </w:rPr>
              <w:t>13.37</w:t>
            </w:r>
          </w:p>
        </w:tc>
        <w:tc>
          <w:tcPr>
            <w:tcW w:w="731" w:type="pct"/>
            <w:tcBorders>
              <w:top w:val="nil"/>
              <w:left w:val="nil"/>
              <w:bottom w:val="single" w:color="auto" w:sz="4" w:space="0"/>
              <w:right w:val="single" w:color="auto" w:sz="4" w:space="0"/>
            </w:tcBorders>
            <w:shd w:val="clear" w:color="auto" w:fill="auto"/>
            <w:noWrap/>
            <w:vAlign w:val="center"/>
          </w:tcPr>
          <w:p w14:paraId="55565FDF">
            <w:pPr>
              <w:spacing w:line="560" w:lineRule="exact"/>
              <w:jc w:val="center"/>
              <w:rPr>
                <w:rFonts w:ascii="宋体" w:hAnsi="宋体" w:eastAsia="仿宋" w:cs="宋体"/>
                <w:sz w:val="32"/>
                <w:szCs w:val="18"/>
              </w:rPr>
            </w:pPr>
            <w:r>
              <w:rPr>
                <w:rFonts w:ascii="宋体" w:hAnsi="宋体" w:eastAsia="仿宋" w:cs="宋体"/>
                <w:sz w:val="32"/>
                <w:szCs w:val="18"/>
              </w:rPr>
              <w:t>29.68</w:t>
            </w:r>
          </w:p>
        </w:tc>
        <w:tc>
          <w:tcPr>
            <w:tcW w:w="731" w:type="pct"/>
            <w:tcBorders>
              <w:top w:val="nil"/>
              <w:left w:val="nil"/>
              <w:bottom w:val="single" w:color="auto" w:sz="4" w:space="0"/>
              <w:right w:val="single" w:color="auto" w:sz="4" w:space="0"/>
            </w:tcBorders>
            <w:shd w:val="clear" w:color="auto" w:fill="auto"/>
            <w:noWrap/>
            <w:vAlign w:val="center"/>
          </w:tcPr>
          <w:p w14:paraId="09638653">
            <w:pPr>
              <w:spacing w:line="560" w:lineRule="exact"/>
              <w:jc w:val="center"/>
              <w:rPr>
                <w:rFonts w:ascii="宋体" w:hAnsi="宋体" w:eastAsia="仿宋" w:cs="宋体"/>
                <w:sz w:val="32"/>
                <w:szCs w:val="18"/>
              </w:rPr>
            </w:pPr>
            <w:r>
              <w:rPr>
                <w:rFonts w:ascii="宋体" w:hAnsi="宋体" w:eastAsia="仿宋" w:cs="宋体"/>
                <w:sz w:val="32"/>
                <w:szCs w:val="18"/>
              </w:rPr>
              <w:t>22.74</w:t>
            </w:r>
          </w:p>
        </w:tc>
        <w:tc>
          <w:tcPr>
            <w:tcW w:w="656" w:type="pct"/>
            <w:tcBorders>
              <w:top w:val="nil"/>
              <w:left w:val="nil"/>
              <w:bottom w:val="single" w:color="auto" w:sz="4" w:space="0"/>
              <w:right w:val="single" w:color="auto" w:sz="4" w:space="0"/>
            </w:tcBorders>
            <w:shd w:val="clear" w:color="auto" w:fill="auto"/>
            <w:noWrap/>
            <w:vAlign w:val="center"/>
          </w:tcPr>
          <w:p w14:paraId="68A5422A">
            <w:pPr>
              <w:spacing w:line="560" w:lineRule="exact"/>
              <w:jc w:val="center"/>
              <w:rPr>
                <w:rFonts w:ascii="宋体" w:hAnsi="宋体" w:eastAsia="仿宋" w:cs="宋体"/>
                <w:sz w:val="32"/>
                <w:szCs w:val="18"/>
              </w:rPr>
            </w:pPr>
            <w:r>
              <w:rPr>
                <w:rFonts w:ascii="宋体" w:hAnsi="宋体" w:eastAsia="仿宋" w:cs="宋体"/>
                <w:sz w:val="32"/>
                <w:szCs w:val="18"/>
              </w:rPr>
              <w:t>73.78</w:t>
            </w:r>
          </w:p>
        </w:tc>
      </w:tr>
      <w:tr w14:paraId="4B1FFC82">
        <w:tblPrEx>
          <w:tblCellMar>
            <w:top w:w="0" w:type="dxa"/>
            <w:left w:w="108" w:type="dxa"/>
            <w:bottom w:w="0" w:type="dxa"/>
            <w:right w:w="108" w:type="dxa"/>
          </w:tblCellMar>
        </w:tblPrEx>
        <w:trPr>
          <w:trHeight w:val="550" w:hRule="atLeast"/>
        </w:trPr>
        <w:tc>
          <w:tcPr>
            <w:tcW w:w="1420" w:type="pct"/>
            <w:tcBorders>
              <w:top w:val="nil"/>
              <w:left w:val="single" w:color="auto" w:sz="4" w:space="0"/>
              <w:bottom w:val="single" w:color="auto" w:sz="4" w:space="0"/>
              <w:right w:val="single" w:color="auto" w:sz="4" w:space="0"/>
            </w:tcBorders>
            <w:shd w:val="clear" w:color="auto" w:fill="auto"/>
            <w:noWrap/>
            <w:vAlign w:val="center"/>
          </w:tcPr>
          <w:p w14:paraId="3B46F975">
            <w:pPr>
              <w:spacing w:line="560" w:lineRule="exact"/>
              <w:jc w:val="center"/>
              <w:rPr>
                <w:rFonts w:ascii="宋体" w:hAnsi="宋体" w:eastAsia="仿宋" w:cs="宋体"/>
                <w:sz w:val="32"/>
                <w:szCs w:val="18"/>
              </w:rPr>
            </w:pPr>
            <w:r>
              <w:rPr>
                <w:rFonts w:ascii="宋体" w:hAnsi="宋体" w:eastAsia="仿宋" w:cs="宋体"/>
                <w:sz w:val="32"/>
                <w:szCs w:val="18"/>
              </w:rPr>
              <w:t>马尔康市水务局</w:t>
            </w:r>
          </w:p>
        </w:tc>
        <w:tc>
          <w:tcPr>
            <w:tcW w:w="731" w:type="pct"/>
            <w:tcBorders>
              <w:top w:val="nil"/>
              <w:left w:val="nil"/>
              <w:bottom w:val="nil"/>
              <w:right w:val="single" w:color="auto" w:sz="4" w:space="0"/>
            </w:tcBorders>
            <w:shd w:val="clear" w:color="auto" w:fill="auto"/>
            <w:noWrap/>
            <w:vAlign w:val="center"/>
          </w:tcPr>
          <w:p w14:paraId="3E6727DC">
            <w:pPr>
              <w:spacing w:line="560" w:lineRule="exact"/>
              <w:jc w:val="center"/>
              <w:rPr>
                <w:rFonts w:ascii="宋体" w:hAnsi="宋体" w:eastAsia="仿宋" w:cs="宋体"/>
                <w:sz w:val="32"/>
                <w:szCs w:val="18"/>
              </w:rPr>
            </w:pPr>
            <w:r>
              <w:rPr>
                <w:rFonts w:ascii="宋体" w:hAnsi="宋体" w:eastAsia="仿宋" w:cs="宋体"/>
                <w:sz w:val="32"/>
                <w:szCs w:val="18"/>
              </w:rPr>
              <w:t>8.8</w:t>
            </w:r>
          </w:p>
        </w:tc>
        <w:tc>
          <w:tcPr>
            <w:tcW w:w="731" w:type="pct"/>
            <w:tcBorders>
              <w:top w:val="nil"/>
              <w:left w:val="nil"/>
              <w:bottom w:val="nil"/>
              <w:right w:val="single" w:color="auto" w:sz="4" w:space="0"/>
            </w:tcBorders>
            <w:shd w:val="clear" w:color="auto" w:fill="auto"/>
            <w:noWrap/>
            <w:vAlign w:val="center"/>
          </w:tcPr>
          <w:p w14:paraId="11CC550C">
            <w:pPr>
              <w:spacing w:line="560" w:lineRule="exact"/>
              <w:jc w:val="center"/>
              <w:rPr>
                <w:rFonts w:ascii="宋体" w:hAnsi="宋体" w:eastAsia="仿宋" w:cs="宋体"/>
                <w:sz w:val="32"/>
                <w:szCs w:val="18"/>
              </w:rPr>
            </w:pPr>
            <w:r>
              <w:rPr>
                <w:rFonts w:ascii="宋体" w:hAnsi="宋体" w:eastAsia="仿宋" w:cs="宋体"/>
                <w:sz w:val="32"/>
                <w:szCs w:val="18"/>
              </w:rPr>
              <w:t>16.8</w:t>
            </w:r>
          </w:p>
        </w:tc>
        <w:tc>
          <w:tcPr>
            <w:tcW w:w="731" w:type="pct"/>
            <w:tcBorders>
              <w:top w:val="nil"/>
              <w:left w:val="nil"/>
              <w:bottom w:val="nil"/>
              <w:right w:val="single" w:color="auto" w:sz="4" w:space="0"/>
            </w:tcBorders>
            <w:shd w:val="clear" w:color="auto" w:fill="auto"/>
            <w:noWrap/>
            <w:vAlign w:val="center"/>
          </w:tcPr>
          <w:p w14:paraId="6F264689">
            <w:pPr>
              <w:spacing w:line="560" w:lineRule="exact"/>
              <w:jc w:val="center"/>
              <w:rPr>
                <w:rFonts w:ascii="宋体" w:hAnsi="宋体" w:eastAsia="仿宋" w:cs="宋体"/>
                <w:sz w:val="32"/>
                <w:szCs w:val="18"/>
              </w:rPr>
            </w:pPr>
            <w:r>
              <w:rPr>
                <w:rFonts w:ascii="宋体" w:hAnsi="宋体" w:eastAsia="仿宋" w:cs="宋体"/>
                <w:sz w:val="32"/>
                <w:szCs w:val="18"/>
              </w:rPr>
              <w:t>26.7</w:t>
            </w:r>
          </w:p>
        </w:tc>
        <w:tc>
          <w:tcPr>
            <w:tcW w:w="731" w:type="pct"/>
            <w:tcBorders>
              <w:top w:val="nil"/>
              <w:left w:val="nil"/>
              <w:bottom w:val="nil"/>
              <w:right w:val="single" w:color="auto" w:sz="4" w:space="0"/>
            </w:tcBorders>
            <w:shd w:val="clear" w:color="auto" w:fill="auto"/>
            <w:noWrap/>
            <w:vAlign w:val="center"/>
          </w:tcPr>
          <w:p w14:paraId="14A7A3FD">
            <w:pPr>
              <w:spacing w:line="560" w:lineRule="exact"/>
              <w:jc w:val="center"/>
              <w:rPr>
                <w:rFonts w:ascii="宋体" w:hAnsi="宋体" w:eastAsia="仿宋" w:cs="宋体"/>
                <w:sz w:val="32"/>
                <w:szCs w:val="18"/>
              </w:rPr>
            </w:pPr>
            <w:r>
              <w:rPr>
                <w:rFonts w:ascii="宋体" w:hAnsi="宋体" w:eastAsia="仿宋" w:cs="宋体"/>
                <w:sz w:val="32"/>
                <w:szCs w:val="18"/>
              </w:rPr>
              <w:t>21</w:t>
            </w:r>
          </w:p>
        </w:tc>
        <w:tc>
          <w:tcPr>
            <w:tcW w:w="656" w:type="pct"/>
            <w:tcBorders>
              <w:top w:val="nil"/>
              <w:left w:val="nil"/>
              <w:bottom w:val="nil"/>
              <w:right w:val="single" w:color="auto" w:sz="4" w:space="0"/>
            </w:tcBorders>
            <w:shd w:val="clear" w:color="auto" w:fill="auto"/>
            <w:noWrap/>
            <w:vAlign w:val="center"/>
          </w:tcPr>
          <w:p w14:paraId="35397C7A">
            <w:pPr>
              <w:spacing w:line="560" w:lineRule="exact"/>
              <w:jc w:val="center"/>
              <w:rPr>
                <w:rFonts w:ascii="宋体" w:hAnsi="宋体" w:eastAsia="仿宋" w:cs="宋体"/>
                <w:sz w:val="32"/>
                <w:szCs w:val="18"/>
              </w:rPr>
            </w:pPr>
            <w:r>
              <w:rPr>
                <w:rFonts w:ascii="宋体" w:hAnsi="宋体" w:eastAsia="仿宋" w:cs="宋体"/>
                <w:sz w:val="32"/>
                <w:szCs w:val="18"/>
              </w:rPr>
              <w:t>73.3</w:t>
            </w:r>
          </w:p>
        </w:tc>
      </w:tr>
      <w:tr w14:paraId="0103FABB">
        <w:tblPrEx>
          <w:tblCellMar>
            <w:top w:w="0" w:type="dxa"/>
            <w:left w:w="108" w:type="dxa"/>
            <w:bottom w:w="0" w:type="dxa"/>
            <w:right w:w="108" w:type="dxa"/>
          </w:tblCellMar>
        </w:tblPrEx>
        <w:trPr>
          <w:trHeight w:val="550" w:hRule="atLeast"/>
        </w:trPr>
        <w:tc>
          <w:tcPr>
            <w:tcW w:w="1420" w:type="pct"/>
            <w:tcBorders>
              <w:top w:val="nil"/>
              <w:left w:val="single" w:color="auto" w:sz="4" w:space="0"/>
              <w:bottom w:val="single" w:color="auto" w:sz="4" w:space="0"/>
              <w:right w:val="nil"/>
            </w:tcBorders>
            <w:shd w:val="clear" w:color="auto" w:fill="auto"/>
            <w:vAlign w:val="center"/>
          </w:tcPr>
          <w:p w14:paraId="545C3168">
            <w:pPr>
              <w:spacing w:line="560" w:lineRule="exact"/>
              <w:jc w:val="center"/>
              <w:rPr>
                <w:rFonts w:ascii="宋体" w:hAnsi="宋体" w:eastAsia="仿宋" w:cs="宋体"/>
                <w:bCs/>
                <w:sz w:val="32"/>
                <w:szCs w:val="18"/>
              </w:rPr>
            </w:pPr>
            <w:r>
              <w:rPr>
                <w:rFonts w:ascii="宋体" w:hAnsi="宋体" w:eastAsia="仿宋" w:cs="宋体"/>
                <w:bCs/>
                <w:sz w:val="32"/>
                <w:szCs w:val="18"/>
              </w:rPr>
              <w:t>各项指标平均分</w:t>
            </w:r>
          </w:p>
        </w:tc>
        <w:tc>
          <w:tcPr>
            <w:tcW w:w="3580" w:type="pct"/>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29471B34">
            <w:pPr>
              <w:spacing w:line="560" w:lineRule="exact"/>
              <w:jc w:val="center"/>
              <w:rPr>
                <w:rFonts w:ascii="宋体" w:hAnsi="宋体" w:eastAsia="仿宋" w:cs="宋体"/>
                <w:bCs/>
                <w:sz w:val="32"/>
                <w:szCs w:val="18"/>
              </w:rPr>
            </w:pPr>
            <w:r>
              <w:rPr>
                <w:rFonts w:ascii="宋体" w:hAnsi="宋体" w:eastAsia="仿宋" w:cs="宋体"/>
                <w:bCs/>
                <w:sz w:val="32"/>
                <w:szCs w:val="18"/>
              </w:rPr>
              <w:t>80.37</w:t>
            </w:r>
          </w:p>
        </w:tc>
      </w:tr>
    </w:tbl>
    <w:p w14:paraId="2CF8D862">
      <w:pPr>
        <w:spacing w:line="560" w:lineRule="exact"/>
        <w:rPr>
          <w:rFonts w:eastAsia="仿宋"/>
          <w:sz w:val="32"/>
        </w:rPr>
      </w:pPr>
    </w:p>
    <w:p w14:paraId="48C5C6F5">
      <w:pPr>
        <w:spacing w:line="560" w:lineRule="exact"/>
        <w:rPr>
          <w:rFonts w:eastAsia="仿宋"/>
          <w:sz w:val="32"/>
        </w:rPr>
      </w:pPr>
    </w:p>
    <w:p w14:paraId="7C007E73">
      <w:pPr>
        <w:spacing w:line="560" w:lineRule="exact"/>
        <w:rPr>
          <w:rFonts w:eastAsia="仿宋"/>
          <w:sz w:val="32"/>
        </w:rPr>
      </w:pPr>
    </w:p>
    <w:p w14:paraId="77EA70A0">
      <w:pPr>
        <w:spacing w:line="560" w:lineRule="exact"/>
        <w:rPr>
          <w:rFonts w:eastAsia="仿宋"/>
          <w:sz w:val="32"/>
        </w:rPr>
      </w:pPr>
    </w:p>
    <w:p w14:paraId="5A28CC15">
      <w:pPr>
        <w:spacing w:line="560" w:lineRule="exact"/>
        <w:rPr>
          <w:rFonts w:eastAsia="仿宋"/>
          <w:sz w:val="32"/>
        </w:rPr>
      </w:pPr>
    </w:p>
    <w:p w14:paraId="44B8175C">
      <w:pPr>
        <w:spacing w:line="560" w:lineRule="exact"/>
        <w:rPr>
          <w:rFonts w:eastAsia="仿宋"/>
          <w:sz w:val="32"/>
        </w:rPr>
      </w:pPr>
    </w:p>
    <w:p w14:paraId="7F8FFA03">
      <w:pPr>
        <w:spacing w:line="560" w:lineRule="exact"/>
        <w:rPr>
          <w:rFonts w:hint="eastAsia" w:eastAsia="仿宋"/>
          <w:sz w:val="32"/>
        </w:rPr>
      </w:pPr>
    </w:p>
    <w:p w14:paraId="518A45CD">
      <w:pPr>
        <w:spacing w:line="560" w:lineRule="exact"/>
        <w:rPr>
          <w:rFonts w:eastAsia="仿宋"/>
          <w:sz w:val="32"/>
        </w:rPr>
      </w:pPr>
    </w:p>
    <w:p w14:paraId="64F6AF4E">
      <w:pPr>
        <w:spacing w:line="560" w:lineRule="exact"/>
        <w:rPr>
          <w:rFonts w:eastAsia="仿宋"/>
          <w:sz w:val="32"/>
        </w:rPr>
      </w:pPr>
    </w:p>
    <w:p w14:paraId="1B6178EE">
      <w:pPr>
        <w:spacing w:line="560" w:lineRule="exact"/>
        <w:rPr>
          <w:rFonts w:hint="eastAsia" w:eastAsia="仿宋"/>
          <w:sz w:val="32"/>
        </w:rPr>
      </w:pPr>
    </w:p>
    <w:p w14:paraId="27C32B5A">
      <w:pPr>
        <w:spacing w:line="560" w:lineRule="exact"/>
        <w:ind w:firstLine="482"/>
        <w:rPr>
          <w:rFonts w:eastAsia="仿宋"/>
          <w:sz w:val="32"/>
        </w:rPr>
      </w:pPr>
      <w:r>
        <w:rPr>
          <w:rFonts w:hint="eastAsia" w:ascii="仿宋_GB2312" w:hAnsi="仿宋_GB2312" w:eastAsia="仿宋" w:cs="仿宋_GB2312"/>
          <w:bCs/>
          <w:sz w:val="32"/>
        </w:rPr>
        <w:t>附件三</w:t>
      </w:r>
    </w:p>
    <w:p w14:paraId="70D402F2">
      <w:pPr>
        <w:spacing w:line="560" w:lineRule="exact"/>
        <w:ind w:firstLine="562"/>
        <w:jc w:val="center"/>
        <w:rPr>
          <w:rFonts w:hint="eastAsia" w:ascii="仿宋_GB2312" w:hAnsi="仿宋_GB2312" w:eastAsia="仿宋" w:cs="仿宋_GB2312"/>
          <w:bCs/>
          <w:sz w:val="32"/>
          <w:szCs w:val="28"/>
        </w:rPr>
      </w:pPr>
      <w:r>
        <w:rPr>
          <w:rFonts w:hint="eastAsia" w:ascii="仿宋_GB2312" w:hAnsi="仿宋_GB2312" w:eastAsia="仿宋" w:cs="仿宋_GB2312"/>
          <w:bCs/>
          <w:sz w:val="32"/>
          <w:szCs w:val="28"/>
        </w:rPr>
        <w:t>马尔康市20</w:t>
      </w:r>
      <w:r>
        <w:rPr>
          <w:rFonts w:ascii="仿宋_GB2312" w:hAnsi="仿宋_GB2312" w:eastAsia="仿宋" w:cs="仿宋_GB2312"/>
          <w:bCs/>
          <w:sz w:val="32"/>
          <w:szCs w:val="28"/>
        </w:rPr>
        <w:t>20</w:t>
      </w:r>
      <w:r>
        <w:rPr>
          <w:rFonts w:hint="eastAsia" w:ascii="仿宋_GB2312" w:hAnsi="仿宋_GB2312" w:eastAsia="仿宋" w:cs="仿宋_GB2312"/>
          <w:bCs/>
          <w:sz w:val="32"/>
          <w:szCs w:val="28"/>
        </w:rPr>
        <w:t>年财政政策绩效评价得分表</w:t>
      </w:r>
    </w:p>
    <w:tbl>
      <w:tblPr>
        <w:tblStyle w:val="15"/>
        <w:tblW w:w="5000" w:type="pct"/>
        <w:tblInd w:w="0" w:type="dxa"/>
        <w:tblLayout w:type="autofit"/>
        <w:tblCellMar>
          <w:top w:w="0" w:type="dxa"/>
          <w:left w:w="108" w:type="dxa"/>
          <w:bottom w:w="0" w:type="dxa"/>
          <w:right w:w="108" w:type="dxa"/>
        </w:tblCellMar>
      </w:tblPr>
      <w:tblGrid>
        <w:gridCol w:w="536"/>
        <w:gridCol w:w="3465"/>
        <w:gridCol w:w="1247"/>
        <w:gridCol w:w="948"/>
        <w:gridCol w:w="948"/>
        <w:gridCol w:w="825"/>
        <w:gridCol w:w="783"/>
        <w:gridCol w:w="873"/>
        <w:gridCol w:w="222"/>
      </w:tblGrid>
      <w:tr w14:paraId="4B31BAB1">
        <w:tblPrEx>
          <w:tblCellMar>
            <w:top w:w="0" w:type="dxa"/>
            <w:left w:w="108" w:type="dxa"/>
            <w:bottom w:w="0" w:type="dxa"/>
            <w:right w:w="108" w:type="dxa"/>
          </w:tblCellMar>
        </w:tblPrEx>
        <w:trPr>
          <w:gridAfter w:val="1"/>
          <w:wAfter w:w="123" w:type="pct"/>
          <w:trHeight w:val="560" w:hRule="atLeast"/>
          <w:tblHeader/>
        </w:trPr>
        <w:tc>
          <w:tcPr>
            <w:tcW w:w="250"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42E2998">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序号</w:t>
            </w:r>
          </w:p>
        </w:tc>
        <w:tc>
          <w:tcPr>
            <w:tcW w:w="1778" w:type="pct"/>
            <w:vMerge w:val="restart"/>
            <w:tcBorders>
              <w:top w:val="single" w:color="auto" w:sz="4" w:space="0"/>
              <w:left w:val="single" w:color="auto" w:sz="4" w:space="0"/>
              <w:bottom w:val="nil"/>
              <w:right w:val="single" w:color="auto" w:sz="4" w:space="0"/>
            </w:tcBorders>
            <w:shd w:val="clear" w:color="auto" w:fill="auto"/>
            <w:vAlign w:val="center"/>
          </w:tcPr>
          <w:p w14:paraId="6912BD4F">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项目名称</w:t>
            </w:r>
          </w:p>
        </w:tc>
        <w:tc>
          <w:tcPr>
            <w:tcW w:w="652" w:type="pct"/>
            <w:vMerge w:val="restart"/>
            <w:tcBorders>
              <w:top w:val="single" w:color="auto" w:sz="4" w:space="0"/>
              <w:left w:val="single" w:color="auto" w:sz="4" w:space="0"/>
              <w:right w:val="single" w:color="auto" w:sz="4" w:space="0"/>
            </w:tcBorders>
            <w:vAlign w:val="center"/>
          </w:tcPr>
          <w:p w14:paraId="08EB67DC">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经济性</w:t>
            </w:r>
          </w:p>
        </w:tc>
        <w:tc>
          <w:tcPr>
            <w:tcW w:w="500" w:type="pct"/>
            <w:vMerge w:val="restart"/>
            <w:tcBorders>
              <w:top w:val="single" w:color="auto" w:sz="4" w:space="0"/>
              <w:left w:val="single" w:color="auto" w:sz="4" w:space="0"/>
              <w:right w:val="single" w:color="auto" w:sz="4" w:space="0"/>
            </w:tcBorders>
            <w:vAlign w:val="center"/>
          </w:tcPr>
          <w:p w14:paraId="36C8E61B">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效率性</w:t>
            </w:r>
          </w:p>
        </w:tc>
        <w:tc>
          <w:tcPr>
            <w:tcW w:w="50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D8660D">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效益性</w:t>
            </w:r>
          </w:p>
        </w:tc>
        <w:tc>
          <w:tcPr>
            <w:tcW w:w="43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2A26F8">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公平性</w:t>
            </w:r>
          </w:p>
        </w:tc>
        <w:tc>
          <w:tcPr>
            <w:tcW w:w="41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BCAE53">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可持续性</w:t>
            </w:r>
          </w:p>
        </w:tc>
        <w:tc>
          <w:tcPr>
            <w:tcW w:w="34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3E6C8D">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得分</w:t>
            </w:r>
          </w:p>
        </w:tc>
      </w:tr>
      <w:tr w14:paraId="5C6DCE2A">
        <w:tblPrEx>
          <w:tblCellMar>
            <w:top w:w="0" w:type="dxa"/>
            <w:left w:w="108" w:type="dxa"/>
            <w:bottom w:w="0" w:type="dxa"/>
            <w:right w:w="108" w:type="dxa"/>
          </w:tblCellMar>
        </w:tblPrEx>
        <w:trPr>
          <w:trHeight w:val="280" w:hRule="atLeast"/>
          <w:tblHeader/>
        </w:trPr>
        <w:tc>
          <w:tcPr>
            <w:tcW w:w="250" w:type="pct"/>
            <w:vMerge w:val="continue"/>
            <w:tcBorders>
              <w:top w:val="single" w:color="auto" w:sz="4" w:space="0"/>
              <w:left w:val="single" w:color="auto" w:sz="4" w:space="0"/>
              <w:bottom w:val="single" w:color="000000" w:sz="4" w:space="0"/>
              <w:right w:val="single" w:color="auto" w:sz="4" w:space="0"/>
            </w:tcBorders>
            <w:vAlign w:val="center"/>
          </w:tcPr>
          <w:p w14:paraId="45BF259B">
            <w:pPr>
              <w:spacing w:line="560" w:lineRule="exact"/>
              <w:rPr>
                <w:rFonts w:ascii="Arial Narrow" w:hAnsi="Arial Narrow" w:eastAsia="仿宋" w:cs="宋体"/>
                <w:bCs/>
                <w:sz w:val="32"/>
                <w:szCs w:val="18"/>
              </w:rPr>
            </w:pPr>
          </w:p>
        </w:tc>
        <w:tc>
          <w:tcPr>
            <w:tcW w:w="1778" w:type="pct"/>
            <w:vMerge w:val="continue"/>
            <w:tcBorders>
              <w:top w:val="single" w:color="auto" w:sz="4" w:space="0"/>
              <w:left w:val="single" w:color="auto" w:sz="4" w:space="0"/>
              <w:bottom w:val="nil"/>
              <w:right w:val="single" w:color="auto" w:sz="4" w:space="0"/>
            </w:tcBorders>
            <w:vAlign w:val="center"/>
          </w:tcPr>
          <w:p w14:paraId="43F769FF">
            <w:pPr>
              <w:spacing w:line="560" w:lineRule="exact"/>
              <w:rPr>
                <w:rFonts w:ascii="Arial Narrow" w:hAnsi="Arial Narrow" w:eastAsia="仿宋" w:cs="宋体"/>
                <w:bCs/>
                <w:sz w:val="32"/>
                <w:szCs w:val="18"/>
              </w:rPr>
            </w:pPr>
          </w:p>
        </w:tc>
        <w:tc>
          <w:tcPr>
            <w:tcW w:w="652" w:type="pct"/>
            <w:vMerge w:val="continue"/>
            <w:tcBorders>
              <w:left w:val="single" w:color="auto" w:sz="4" w:space="0"/>
              <w:right w:val="single" w:color="auto" w:sz="4" w:space="0"/>
            </w:tcBorders>
          </w:tcPr>
          <w:p w14:paraId="3A141DFD">
            <w:pPr>
              <w:spacing w:line="560" w:lineRule="exact"/>
              <w:rPr>
                <w:rFonts w:ascii="Arial Narrow" w:hAnsi="Arial Narrow" w:eastAsia="仿宋" w:cs="宋体"/>
                <w:bCs/>
                <w:sz w:val="32"/>
                <w:szCs w:val="18"/>
              </w:rPr>
            </w:pPr>
          </w:p>
        </w:tc>
        <w:tc>
          <w:tcPr>
            <w:tcW w:w="500" w:type="pct"/>
            <w:vMerge w:val="continue"/>
            <w:tcBorders>
              <w:left w:val="single" w:color="auto" w:sz="4" w:space="0"/>
              <w:right w:val="single" w:color="auto" w:sz="4" w:space="0"/>
            </w:tcBorders>
          </w:tcPr>
          <w:p w14:paraId="16D30B26">
            <w:pPr>
              <w:spacing w:line="560" w:lineRule="exact"/>
              <w:rPr>
                <w:rFonts w:ascii="Arial Narrow" w:hAnsi="Arial Narrow" w:eastAsia="仿宋" w:cs="宋体"/>
                <w:bCs/>
                <w:sz w:val="32"/>
                <w:szCs w:val="18"/>
              </w:rPr>
            </w:pPr>
          </w:p>
        </w:tc>
        <w:tc>
          <w:tcPr>
            <w:tcW w:w="500" w:type="pct"/>
            <w:vMerge w:val="continue"/>
            <w:tcBorders>
              <w:top w:val="single" w:color="auto" w:sz="4" w:space="0"/>
              <w:left w:val="single" w:color="auto" w:sz="4" w:space="0"/>
              <w:bottom w:val="single" w:color="auto" w:sz="4" w:space="0"/>
              <w:right w:val="single" w:color="auto" w:sz="4" w:space="0"/>
            </w:tcBorders>
            <w:vAlign w:val="center"/>
          </w:tcPr>
          <w:p w14:paraId="3FAAA404">
            <w:pPr>
              <w:spacing w:line="560" w:lineRule="exact"/>
              <w:rPr>
                <w:rFonts w:ascii="Arial Narrow" w:hAnsi="Arial Narrow" w:eastAsia="仿宋" w:cs="宋体"/>
                <w:bCs/>
                <w:sz w:val="32"/>
                <w:szCs w:val="18"/>
              </w:rPr>
            </w:pPr>
          </w:p>
        </w:tc>
        <w:tc>
          <w:tcPr>
            <w:tcW w:w="437" w:type="pct"/>
            <w:vMerge w:val="continue"/>
            <w:tcBorders>
              <w:top w:val="single" w:color="auto" w:sz="4" w:space="0"/>
              <w:left w:val="single" w:color="auto" w:sz="4" w:space="0"/>
              <w:bottom w:val="single" w:color="auto" w:sz="4" w:space="0"/>
              <w:right w:val="single" w:color="auto" w:sz="4" w:space="0"/>
            </w:tcBorders>
            <w:vAlign w:val="center"/>
          </w:tcPr>
          <w:p w14:paraId="23D6AB8B">
            <w:pPr>
              <w:spacing w:line="560" w:lineRule="exact"/>
              <w:rPr>
                <w:rFonts w:ascii="Arial Narrow" w:hAnsi="Arial Narrow" w:eastAsia="仿宋" w:cs="宋体"/>
                <w:bCs/>
                <w:sz w:val="32"/>
                <w:szCs w:val="18"/>
              </w:rPr>
            </w:pPr>
          </w:p>
        </w:tc>
        <w:tc>
          <w:tcPr>
            <w:tcW w:w="416" w:type="pct"/>
            <w:vMerge w:val="continue"/>
            <w:tcBorders>
              <w:top w:val="single" w:color="auto" w:sz="4" w:space="0"/>
              <w:left w:val="single" w:color="auto" w:sz="4" w:space="0"/>
              <w:bottom w:val="single" w:color="auto" w:sz="4" w:space="0"/>
              <w:right w:val="single" w:color="auto" w:sz="4" w:space="0"/>
            </w:tcBorders>
            <w:vAlign w:val="center"/>
          </w:tcPr>
          <w:p w14:paraId="38274663">
            <w:pPr>
              <w:spacing w:line="560" w:lineRule="exact"/>
              <w:rPr>
                <w:rFonts w:ascii="Arial Narrow" w:hAnsi="Arial Narrow" w:eastAsia="仿宋" w:cs="宋体"/>
                <w:bCs/>
                <w:sz w:val="32"/>
                <w:szCs w:val="18"/>
              </w:rPr>
            </w:pPr>
          </w:p>
        </w:tc>
        <w:tc>
          <w:tcPr>
            <w:tcW w:w="343" w:type="pct"/>
            <w:vMerge w:val="continue"/>
            <w:tcBorders>
              <w:top w:val="single" w:color="auto" w:sz="4" w:space="0"/>
              <w:left w:val="single" w:color="auto" w:sz="4" w:space="0"/>
              <w:bottom w:val="single" w:color="auto" w:sz="4" w:space="0"/>
              <w:right w:val="single" w:color="auto" w:sz="4" w:space="0"/>
            </w:tcBorders>
            <w:vAlign w:val="center"/>
          </w:tcPr>
          <w:p w14:paraId="620F644A">
            <w:pPr>
              <w:spacing w:line="560" w:lineRule="exact"/>
              <w:rPr>
                <w:rFonts w:ascii="Arial Narrow" w:hAnsi="Arial Narrow" w:eastAsia="仿宋" w:cs="宋体"/>
                <w:bCs/>
                <w:sz w:val="32"/>
                <w:szCs w:val="18"/>
              </w:rPr>
            </w:pPr>
          </w:p>
        </w:tc>
        <w:tc>
          <w:tcPr>
            <w:tcW w:w="123" w:type="pct"/>
            <w:tcBorders>
              <w:top w:val="nil"/>
              <w:left w:val="nil"/>
              <w:bottom w:val="nil"/>
              <w:right w:val="nil"/>
            </w:tcBorders>
            <w:shd w:val="clear" w:color="auto" w:fill="auto"/>
            <w:noWrap/>
            <w:vAlign w:val="center"/>
          </w:tcPr>
          <w:p w14:paraId="28F77850">
            <w:pPr>
              <w:spacing w:line="560" w:lineRule="exact"/>
              <w:jc w:val="center"/>
              <w:rPr>
                <w:rFonts w:ascii="Arial Narrow" w:hAnsi="Arial Narrow" w:eastAsia="仿宋" w:cs="宋体"/>
                <w:bCs/>
                <w:sz w:val="32"/>
                <w:szCs w:val="18"/>
              </w:rPr>
            </w:pPr>
          </w:p>
        </w:tc>
      </w:tr>
      <w:tr w14:paraId="2B4B6F2E">
        <w:tblPrEx>
          <w:tblCellMar>
            <w:top w:w="0" w:type="dxa"/>
            <w:left w:w="108" w:type="dxa"/>
            <w:bottom w:w="0" w:type="dxa"/>
            <w:right w:w="108" w:type="dxa"/>
          </w:tblCellMar>
        </w:tblPrEx>
        <w:trPr>
          <w:trHeight w:val="280" w:hRule="atLeast"/>
          <w:tblHeader/>
        </w:trPr>
        <w:tc>
          <w:tcPr>
            <w:tcW w:w="250" w:type="pct"/>
            <w:vMerge w:val="continue"/>
            <w:tcBorders>
              <w:top w:val="single" w:color="auto" w:sz="4" w:space="0"/>
              <w:left w:val="single" w:color="auto" w:sz="4" w:space="0"/>
              <w:bottom w:val="single" w:color="000000" w:sz="4" w:space="0"/>
              <w:right w:val="single" w:color="auto" w:sz="4" w:space="0"/>
            </w:tcBorders>
            <w:vAlign w:val="center"/>
          </w:tcPr>
          <w:p w14:paraId="7271EDAC">
            <w:pPr>
              <w:spacing w:line="560" w:lineRule="exact"/>
              <w:rPr>
                <w:rFonts w:ascii="Arial Narrow" w:hAnsi="Arial Narrow" w:eastAsia="仿宋" w:cs="宋体"/>
                <w:bCs/>
                <w:sz w:val="32"/>
                <w:szCs w:val="18"/>
              </w:rPr>
            </w:pPr>
          </w:p>
        </w:tc>
        <w:tc>
          <w:tcPr>
            <w:tcW w:w="1778" w:type="pct"/>
            <w:vMerge w:val="continue"/>
            <w:tcBorders>
              <w:top w:val="single" w:color="auto" w:sz="4" w:space="0"/>
              <w:left w:val="single" w:color="auto" w:sz="4" w:space="0"/>
              <w:bottom w:val="nil"/>
              <w:right w:val="single" w:color="auto" w:sz="4" w:space="0"/>
            </w:tcBorders>
            <w:vAlign w:val="center"/>
          </w:tcPr>
          <w:p w14:paraId="5FDCA45F">
            <w:pPr>
              <w:spacing w:line="560" w:lineRule="exact"/>
              <w:rPr>
                <w:rFonts w:ascii="Arial Narrow" w:hAnsi="Arial Narrow" w:eastAsia="仿宋" w:cs="宋体"/>
                <w:bCs/>
                <w:sz w:val="32"/>
                <w:szCs w:val="18"/>
              </w:rPr>
            </w:pPr>
          </w:p>
        </w:tc>
        <w:tc>
          <w:tcPr>
            <w:tcW w:w="652" w:type="pct"/>
            <w:vMerge w:val="continue"/>
            <w:tcBorders>
              <w:left w:val="single" w:color="auto" w:sz="4" w:space="0"/>
              <w:bottom w:val="single" w:color="auto" w:sz="4" w:space="0"/>
              <w:right w:val="single" w:color="auto" w:sz="4" w:space="0"/>
            </w:tcBorders>
          </w:tcPr>
          <w:p w14:paraId="12F9AE25">
            <w:pPr>
              <w:spacing w:line="560" w:lineRule="exact"/>
              <w:rPr>
                <w:rFonts w:ascii="Arial Narrow" w:hAnsi="Arial Narrow" w:eastAsia="仿宋" w:cs="宋体"/>
                <w:bCs/>
                <w:sz w:val="32"/>
                <w:szCs w:val="18"/>
              </w:rPr>
            </w:pPr>
          </w:p>
        </w:tc>
        <w:tc>
          <w:tcPr>
            <w:tcW w:w="500" w:type="pct"/>
            <w:vMerge w:val="continue"/>
            <w:tcBorders>
              <w:left w:val="single" w:color="auto" w:sz="4" w:space="0"/>
              <w:bottom w:val="single" w:color="auto" w:sz="4" w:space="0"/>
              <w:right w:val="single" w:color="auto" w:sz="4" w:space="0"/>
            </w:tcBorders>
          </w:tcPr>
          <w:p w14:paraId="440166B4">
            <w:pPr>
              <w:spacing w:line="560" w:lineRule="exact"/>
              <w:rPr>
                <w:rFonts w:ascii="Arial Narrow" w:hAnsi="Arial Narrow" w:eastAsia="仿宋" w:cs="宋体"/>
                <w:bCs/>
                <w:sz w:val="32"/>
                <w:szCs w:val="18"/>
              </w:rPr>
            </w:pPr>
          </w:p>
        </w:tc>
        <w:tc>
          <w:tcPr>
            <w:tcW w:w="500" w:type="pct"/>
            <w:vMerge w:val="continue"/>
            <w:tcBorders>
              <w:top w:val="single" w:color="auto" w:sz="4" w:space="0"/>
              <w:left w:val="single" w:color="auto" w:sz="4" w:space="0"/>
              <w:bottom w:val="single" w:color="auto" w:sz="4" w:space="0"/>
              <w:right w:val="single" w:color="auto" w:sz="4" w:space="0"/>
            </w:tcBorders>
            <w:vAlign w:val="center"/>
          </w:tcPr>
          <w:p w14:paraId="74C3487B">
            <w:pPr>
              <w:spacing w:line="560" w:lineRule="exact"/>
              <w:rPr>
                <w:rFonts w:ascii="Arial Narrow" w:hAnsi="Arial Narrow" w:eastAsia="仿宋" w:cs="宋体"/>
                <w:bCs/>
                <w:sz w:val="32"/>
                <w:szCs w:val="18"/>
              </w:rPr>
            </w:pPr>
          </w:p>
        </w:tc>
        <w:tc>
          <w:tcPr>
            <w:tcW w:w="437" w:type="pct"/>
            <w:vMerge w:val="continue"/>
            <w:tcBorders>
              <w:top w:val="single" w:color="auto" w:sz="4" w:space="0"/>
              <w:left w:val="single" w:color="auto" w:sz="4" w:space="0"/>
              <w:bottom w:val="single" w:color="auto" w:sz="4" w:space="0"/>
              <w:right w:val="single" w:color="auto" w:sz="4" w:space="0"/>
            </w:tcBorders>
            <w:vAlign w:val="center"/>
          </w:tcPr>
          <w:p w14:paraId="2B0D3988">
            <w:pPr>
              <w:spacing w:line="560" w:lineRule="exact"/>
              <w:rPr>
                <w:rFonts w:ascii="Arial Narrow" w:hAnsi="Arial Narrow" w:eastAsia="仿宋" w:cs="宋体"/>
                <w:bCs/>
                <w:sz w:val="32"/>
                <w:szCs w:val="18"/>
              </w:rPr>
            </w:pPr>
          </w:p>
        </w:tc>
        <w:tc>
          <w:tcPr>
            <w:tcW w:w="416" w:type="pct"/>
            <w:vMerge w:val="continue"/>
            <w:tcBorders>
              <w:top w:val="single" w:color="auto" w:sz="4" w:space="0"/>
              <w:left w:val="single" w:color="auto" w:sz="4" w:space="0"/>
              <w:bottom w:val="single" w:color="auto" w:sz="4" w:space="0"/>
              <w:right w:val="single" w:color="auto" w:sz="4" w:space="0"/>
            </w:tcBorders>
            <w:vAlign w:val="center"/>
          </w:tcPr>
          <w:p w14:paraId="6D8CF3C5">
            <w:pPr>
              <w:spacing w:line="560" w:lineRule="exact"/>
              <w:rPr>
                <w:rFonts w:ascii="Arial Narrow" w:hAnsi="Arial Narrow" w:eastAsia="仿宋" w:cs="宋体"/>
                <w:bCs/>
                <w:sz w:val="32"/>
                <w:szCs w:val="18"/>
              </w:rPr>
            </w:pPr>
          </w:p>
        </w:tc>
        <w:tc>
          <w:tcPr>
            <w:tcW w:w="343" w:type="pct"/>
            <w:vMerge w:val="continue"/>
            <w:tcBorders>
              <w:top w:val="single" w:color="auto" w:sz="4" w:space="0"/>
              <w:left w:val="single" w:color="auto" w:sz="4" w:space="0"/>
              <w:bottom w:val="single" w:color="auto" w:sz="4" w:space="0"/>
              <w:right w:val="single" w:color="auto" w:sz="4" w:space="0"/>
            </w:tcBorders>
            <w:vAlign w:val="center"/>
          </w:tcPr>
          <w:p w14:paraId="1A53CF8E">
            <w:pPr>
              <w:spacing w:line="560" w:lineRule="exact"/>
              <w:rPr>
                <w:rFonts w:ascii="Arial Narrow" w:hAnsi="Arial Narrow" w:eastAsia="仿宋" w:cs="宋体"/>
                <w:bCs/>
                <w:sz w:val="32"/>
                <w:szCs w:val="18"/>
              </w:rPr>
            </w:pPr>
          </w:p>
        </w:tc>
        <w:tc>
          <w:tcPr>
            <w:tcW w:w="123" w:type="pct"/>
            <w:tcBorders>
              <w:top w:val="nil"/>
              <w:left w:val="nil"/>
              <w:bottom w:val="nil"/>
              <w:right w:val="nil"/>
            </w:tcBorders>
            <w:shd w:val="clear" w:color="auto" w:fill="auto"/>
            <w:noWrap/>
            <w:vAlign w:val="center"/>
          </w:tcPr>
          <w:p w14:paraId="0CACAEDF">
            <w:pPr>
              <w:spacing w:line="560" w:lineRule="exact"/>
              <w:rPr>
                <w:rFonts w:ascii="Arial Narrow" w:hAnsi="Arial Narrow" w:eastAsia="仿宋"/>
                <w:sz w:val="32"/>
                <w:szCs w:val="18"/>
              </w:rPr>
            </w:pPr>
          </w:p>
        </w:tc>
      </w:tr>
      <w:tr w14:paraId="3A284F98">
        <w:tblPrEx>
          <w:tblCellMar>
            <w:top w:w="0" w:type="dxa"/>
            <w:left w:w="108" w:type="dxa"/>
            <w:bottom w:w="0" w:type="dxa"/>
            <w:right w:w="108" w:type="dxa"/>
          </w:tblCellMar>
        </w:tblPrEx>
        <w:trPr>
          <w:trHeight w:val="340" w:hRule="atLeast"/>
          <w:tblHeader/>
        </w:trPr>
        <w:tc>
          <w:tcPr>
            <w:tcW w:w="250" w:type="pct"/>
            <w:vMerge w:val="continue"/>
            <w:tcBorders>
              <w:top w:val="single" w:color="auto" w:sz="4" w:space="0"/>
              <w:left w:val="single" w:color="auto" w:sz="4" w:space="0"/>
              <w:bottom w:val="single" w:color="000000" w:sz="4" w:space="0"/>
              <w:right w:val="single" w:color="auto" w:sz="4" w:space="0"/>
            </w:tcBorders>
            <w:vAlign w:val="center"/>
          </w:tcPr>
          <w:p w14:paraId="155FDFB3">
            <w:pPr>
              <w:spacing w:line="560" w:lineRule="exact"/>
              <w:rPr>
                <w:rFonts w:ascii="Arial Narrow" w:hAnsi="Arial Narrow" w:eastAsia="仿宋" w:cs="宋体"/>
                <w:bCs/>
                <w:sz w:val="32"/>
                <w:szCs w:val="18"/>
              </w:rPr>
            </w:pPr>
          </w:p>
        </w:tc>
        <w:tc>
          <w:tcPr>
            <w:tcW w:w="1778" w:type="pct"/>
            <w:tcBorders>
              <w:top w:val="single" w:color="auto" w:sz="4" w:space="0"/>
              <w:left w:val="nil"/>
              <w:bottom w:val="single" w:color="auto" w:sz="4" w:space="0"/>
              <w:right w:val="single" w:color="auto" w:sz="4" w:space="0"/>
            </w:tcBorders>
            <w:shd w:val="clear" w:color="auto" w:fill="auto"/>
            <w:vAlign w:val="center"/>
          </w:tcPr>
          <w:p w14:paraId="0A747DD9">
            <w:pPr>
              <w:spacing w:line="560" w:lineRule="exact"/>
              <w:jc w:val="center"/>
              <w:rPr>
                <w:rFonts w:ascii="Arial Narrow" w:hAnsi="Arial Narrow" w:eastAsia="仿宋" w:cs="宋体"/>
                <w:sz w:val="32"/>
                <w:szCs w:val="18"/>
              </w:rPr>
            </w:pPr>
            <w:r>
              <w:rPr>
                <w:rFonts w:ascii="Arial Narrow" w:hAnsi="Arial Narrow" w:eastAsia="仿宋" w:cs="宋体"/>
                <w:sz w:val="32"/>
                <w:szCs w:val="18"/>
              </w:rPr>
              <w:t>权重</w:t>
            </w:r>
          </w:p>
        </w:tc>
        <w:tc>
          <w:tcPr>
            <w:tcW w:w="652" w:type="pct"/>
            <w:tcBorders>
              <w:top w:val="single" w:color="auto" w:sz="4" w:space="0"/>
              <w:left w:val="nil"/>
              <w:bottom w:val="single" w:color="auto" w:sz="4" w:space="0"/>
              <w:right w:val="single" w:color="auto" w:sz="4" w:space="0"/>
            </w:tcBorders>
          </w:tcPr>
          <w:p w14:paraId="37ED7491">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20</w:t>
            </w:r>
          </w:p>
        </w:tc>
        <w:tc>
          <w:tcPr>
            <w:tcW w:w="500" w:type="pct"/>
            <w:tcBorders>
              <w:top w:val="nil"/>
              <w:left w:val="single" w:color="auto" w:sz="4" w:space="0"/>
              <w:bottom w:val="single" w:color="auto" w:sz="4" w:space="0"/>
              <w:right w:val="single" w:color="auto" w:sz="4" w:space="0"/>
            </w:tcBorders>
          </w:tcPr>
          <w:p w14:paraId="00A6FDB2">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30</w:t>
            </w:r>
          </w:p>
        </w:tc>
        <w:tc>
          <w:tcPr>
            <w:tcW w:w="500" w:type="pct"/>
            <w:tcBorders>
              <w:top w:val="nil"/>
              <w:left w:val="nil"/>
              <w:bottom w:val="single" w:color="auto" w:sz="4" w:space="0"/>
              <w:right w:val="single" w:color="auto" w:sz="4" w:space="0"/>
            </w:tcBorders>
            <w:shd w:val="clear" w:color="auto" w:fill="auto"/>
            <w:vAlign w:val="center"/>
          </w:tcPr>
          <w:p w14:paraId="48958E84">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25</w:t>
            </w:r>
          </w:p>
        </w:tc>
        <w:tc>
          <w:tcPr>
            <w:tcW w:w="437" w:type="pct"/>
            <w:tcBorders>
              <w:top w:val="nil"/>
              <w:left w:val="nil"/>
              <w:bottom w:val="single" w:color="auto" w:sz="4" w:space="0"/>
              <w:right w:val="single" w:color="auto" w:sz="4" w:space="0"/>
            </w:tcBorders>
            <w:shd w:val="clear" w:color="auto" w:fill="auto"/>
            <w:vAlign w:val="center"/>
          </w:tcPr>
          <w:p w14:paraId="6748F144">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10</w:t>
            </w:r>
          </w:p>
        </w:tc>
        <w:tc>
          <w:tcPr>
            <w:tcW w:w="416" w:type="pct"/>
            <w:tcBorders>
              <w:top w:val="nil"/>
              <w:left w:val="nil"/>
              <w:bottom w:val="single" w:color="auto" w:sz="4" w:space="0"/>
              <w:right w:val="single" w:color="auto" w:sz="4" w:space="0"/>
            </w:tcBorders>
            <w:shd w:val="clear" w:color="auto" w:fill="auto"/>
            <w:vAlign w:val="center"/>
          </w:tcPr>
          <w:p w14:paraId="2E2CF346">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15</w:t>
            </w:r>
          </w:p>
        </w:tc>
        <w:tc>
          <w:tcPr>
            <w:tcW w:w="343" w:type="pct"/>
            <w:tcBorders>
              <w:top w:val="nil"/>
              <w:left w:val="nil"/>
              <w:bottom w:val="single" w:color="auto" w:sz="4" w:space="0"/>
              <w:right w:val="single" w:color="auto" w:sz="4" w:space="0"/>
            </w:tcBorders>
            <w:shd w:val="clear" w:color="auto" w:fill="auto"/>
            <w:noWrap/>
            <w:vAlign w:val="center"/>
          </w:tcPr>
          <w:p w14:paraId="3ED29BC2">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100</w:t>
            </w:r>
          </w:p>
        </w:tc>
        <w:tc>
          <w:tcPr>
            <w:tcW w:w="123" w:type="pct"/>
            <w:vAlign w:val="center"/>
          </w:tcPr>
          <w:p w14:paraId="74EF1971">
            <w:pPr>
              <w:spacing w:line="560" w:lineRule="exact"/>
              <w:rPr>
                <w:rFonts w:ascii="Arial Narrow" w:hAnsi="Arial Narrow" w:eastAsia="仿宋"/>
                <w:sz w:val="32"/>
                <w:szCs w:val="18"/>
              </w:rPr>
            </w:pPr>
          </w:p>
        </w:tc>
      </w:tr>
      <w:tr w14:paraId="228668FB">
        <w:tblPrEx>
          <w:tblCellMar>
            <w:top w:w="0" w:type="dxa"/>
            <w:left w:w="108" w:type="dxa"/>
            <w:bottom w:w="0" w:type="dxa"/>
            <w:right w:w="108" w:type="dxa"/>
          </w:tblCellMar>
        </w:tblPrEx>
        <w:trPr>
          <w:trHeight w:val="460" w:hRule="atLeast"/>
        </w:trPr>
        <w:tc>
          <w:tcPr>
            <w:tcW w:w="250" w:type="pct"/>
            <w:tcBorders>
              <w:top w:val="nil"/>
              <w:left w:val="single" w:color="auto" w:sz="4" w:space="0"/>
              <w:bottom w:val="single" w:color="auto" w:sz="4" w:space="0"/>
              <w:right w:val="single" w:color="auto" w:sz="4" w:space="0"/>
            </w:tcBorders>
            <w:shd w:val="clear" w:color="auto" w:fill="auto"/>
            <w:vAlign w:val="center"/>
          </w:tcPr>
          <w:p w14:paraId="77DFD80A">
            <w:pPr>
              <w:spacing w:line="560" w:lineRule="exact"/>
              <w:jc w:val="center"/>
              <w:rPr>
                <w:rFonts w:ascii="Arial Narrow" w:hAnsi="Arial Narrow" w:eastAsia="仿宋" w:cs="宋体"/>
                <w:sz w:val="32"/>
                <w:szCs w:val="18"/>
              </w:rPr>
            </w:pPr>
            <w:r>
              <w:rPr>
                <w:rFonts w:ascii="Arial Narrow" w:hAnsi="Arial Narrow" w:eastAsia="仿宋" w:cs="宋体"/>
                <w:sz w:val="32"/>
                <w:szCs w:val="18"/>
              </w:rPr>
              <w:t>1</w:t>
            </w:r>
          </w:p>
        </w:tc>
        <w:tc>
          <w:tcPr>
            <w:tcW w:w="1778" w:type="pct"/>
            <w:tcBorders>
              <w:top w:val="nil"/>
              <w:left w:val="nil"/>
              <w:bottom w:val="single" w:color="auto" w:sz="4" w:space="0"/>
              <w:right w:val="single" w:color="auto" w:sz="4" w:space="0"/>
            </w:tcBorders>
            <w:shd w:val="clear" w:color="auto" w:fill="auto"/>
            <w:vAlign w:val="center"/>
          </w:tcPr>
          <w:p w14:paraId="2ECA0719">
            <w:pPr>
              <w:spacing w:line="560" w:lineRule="exact"/>
              <w:rPr>
                <w:rFonts w:ascii="Arial Narrow" w:hAnsi="Arial Narrow" w:eastAsia="仿宋" w:cs="宋体"/>
                <w:sz w:val="32"/>
                <w:szCs w:val="18"/>
              </w:rPr>
            </w:pPr>
            <w:r>
              <w:rPr>
                <w:rFonts w:ascii="Arial Narrow" w:hAnsi="Arial Narrow" w:eastAsia="仿宋" w:cs="宋体"/>
                <w:sz w:val="32"/>
                <w:szCs w:val="18"/>
              </w:rPr>
              <w:t>2019年基层组织活动和公共服务运行经费（州级补助）</w:t>
            </w:r>
          </w:p>
        </w:tc>
        <w:tc>
          <w:tcPr>
            <w:tcW w:w="652" w:type="pct"/>
            <w:tcBorders>
              <w:top w:val="single" w:color="auto" w:sz="4" w:space="0"/>
              <w:left w:val="nil"/>
              <w:bottom w:val="single" w:color="auto" w:sz="4" w:space="0"/>
              <w:right w:val="single" w:color="auto" w:sz="4" w:space="0"/>
            </w:tcBorders>
            <w:vAlign w:val="center"/>
          </w:tcPr>
          <w:p w14:paraId="0DC7ED69">
            <w:pPr>
              <w:spacing w:line="560" w:lineRule="exact"/>
              <w:jc w:val="center"/>
              <w:rPr>
                <w:rFonts w:ascii="Arial Narrow" w:hAnsi="Arial Narrow" w:eastAsia="仿宋" w:cs="宋体"/>
                <w:sz w:val="32"/>
                <w:szCs w:val="18"/>
              </w:rPr>
            </w:pPr>
            <w:r>
              <w:rPr>
                <w:rFonts w:ascii="Arial Narrow" w:hAnsi="Arial Narrow" w:eastAsia="仿宋" w:cs="宋体"/>
                <w:sz w:val="32"/>
                <w:szCs w:val="18"/>
              </w:rPr>
              <w:t>20</w:t>
            </w:r>
          </w:p>
        </w:tc>
        <w:tc>
          <w:tcPr>
            <w:tcW w:w="500" w:type="pct"/>
            <w:tcBorders>
              <w:top w:val="nil"/>
              <w:left w:val="single" w:color="auto" w:sz="4" w:space="0"/>
              <w:bottom w:val="single" w:color="auto" w:sz="4" w:space="0"/>
              <w:right w:val="single" w:color="auto" w:sz="4" w:space="0"/>
            </w:tcBorders>
            <w:vAlign w:val="center"/>
          </w:tcPr>
          <w:p w14:paraId="6D268288">
            <w:pPr>
              <w:spacing w:line="560" w:lineRule="exact"/>
              <w:jc w:val="center"/>
              <w:rPr>
                <w:rFonts w:ascii="Arial Narrow" w:hAnsi="Arial Narrow" w:eastAsia="仿宋" w:cs="宋体"/>
                <w:sz w:val="32"/>
                <w:szCs w:val="18"/>
              </w:rPr>
            </w:pPr>
            <w:r>
              <w:rPr>
                <w:rFonts w:ascii="Arial Narrow" w:hAnsi="Arial Narrow" w:eastAsia="仿宋" w:cs="宋体"/>
                <w:sz w:val="32"/>
                <w:szCs w:val="18"/>
              </w:rPr>
              <w:t>16</w:t>
            </w:r>
          </w:p>
        </w:tc>
        <w:tc>
          <w:tcPr>
            <w:tcW w:w="500" w:type="pct"/>
            <w:tcBorders>
              <w:top w:val="nil"/>
              <w:left w:val="nil"/>
              <w:bottom w:val="single" w:color="auto" w:sz="4" w:space="0"/>
              <w:right w:val="single" w:color="auto" w:sz="4" w:space="0"/>
            </w:tcBorders>
            <w:shd w:val="clear" w:color="auto" w:fill="auto"/>
            <w:vAlign w:val="center"/>
          </w:tcPr>
          <w:p w14:paraId="58AD276B">
            <w:pPr>
              <w:spacing w:line="560" w:lineRule="exact"/>
              <w:jc w:val="center"/>
              <w:rPr>
                <w:rFonts w:ascii="Arial Narrow" w:hAnsi="Arial Narrow" w:eastAsia="仿宋" w:cs="宋体"/>
                <w:sz w:val="32"/>
                <w:szCs w:val="18"/>
              </w:rPr>
            </w:pPr>
            <w:r>
              <w:rPr>
                <w:rFonts w:ascii="Arial Narrow" w:hAnsi="Arial Narrow" w:eastAsia="仿宋" w:cs="宋体"/>
                <w:sz w:val="32"/>
                <w:szCs w:val="18"/>
              </w:rPr>
              <w:t>19</w:t>
            </w:r>
          </w:p>
        </w:tc>
        <w:tc>
          <w:tcPr>
            <w:tcW w:w="437" w:type="pct"/>
            <w:tcBorders>
              <w:top w:val="nil"/>
              <w:left w:val="nil"/>
              <w:bottom w:val="single" w:color="auto" w:sz="4" w:space="0"/>
              <w:right w:val="single" w:color="auto" w:sz="4" w:space="0"/>
            </w:tcBorders>
            <w:shd w:val="clear" w:color="auto" w:fill="auto"/>
            <w:vAlign w:val="center"/>
          </w:tcPr>
          <w:p w14:paraId="3B0F4283">
            <w:pPr>
              <w:spacing w:line="560" w:lineRule="exact"/>
              <w:jc w:val="center"/>
              <w:rPr>
                <w:rFonts w:ascii="Arial Narrow" w:hAnsi="Arial Narrow" w:eastAsia="仿宋" w:cs="宋体"/>
                <w:sz w:val="32"/>
                <w:szCs w:val="18"/>
              </w:rPr>
            </w:pPr>
            <w:r>
              <w:rPr>
                <w:rFonts w:ascii="Arial Narrow" w:hAnsi="Arial Narrow" w:eastAsia="仿宋" w:cs="宋体"/>
                <w:sz w:val="32"/>
                <w:szCs w:val="18"/>
              </w:rPr>
              <w:t>8</w:t>
            </w:r>
          </w:p>
        </w:tc>
        <w:tc>
          <w:tcPr>
            <w:tcW w:w="416" w:type="pct"/>
            <w:tcBorders>
              <w:top w:val="nil"/>
              <w:left w:val="nil"/>
              <w:bottom w:val="single" w:color="auto" w:sz="4" w:space="0"/>
              <w:right w:val="single" w:color="auto" w:sz="4" w:space="0"/>
            </w:tcBorders>
            <w:shd w:val="clear" w:color="auto" w:fill="auto"/>
            <w:vAlign w:val="center"/>
          </w:tcPr>
          <w:p w14:paraId="05876D9E">
            <w:pPr>
              <w:spacing w:line="560" w:lineRule="exact"/>
              <w:jc w:val="center"/>
              <w:rPr>
                <w:rFonts w:ascii="Arial Narrow" w:hAnsi="Arial Narrow" w:eastAsia="仿宋" w:cs="宋体"/>
                <w:sz w:val="32"/>
                <w:szCs w:val="18"/>
              </w:rPr>
            </w:pPr>
            <w:r>
              <w:rPr>
                <w:rFonts w:ascii="Arial Narrow" w:hAnsi="Arial Narrow" w:eastAsia="仿宋" w:cs="宋体"/>
                <w:sz w:val="32"/>
                <w:szCs w:val="18"/>
              </w:rPr>
              <w:t>15</w:t>
            </w:r>
          </w:p>
        </w:tc>
        <w:tc>
          <w:tcPr>
            <w:tcW w:w="343" w:type="pct"/>
            <w:tcBorders>
              <w:top w:val="nil"/>
              <w:left w:val="nil"/>
              <w:bottom w:val="single" w:color="auto" w:sz="4" w:space="0"/>
              <w:right w:val="single" w:color="auto" w:sz="4" w:space="0"/>
            </w:tcBorders>
            <w:shd w:val="clear" w:color="auto" w:fill="auto"/>
            <w:vAlign w:val="center"/>
          </w:tcPr>
          <w:p w14:paraId="7A63E295">
            <w:pPr>
              <w:spacing w:line="560" w:lineRule="exact"/>
              <w:jc w:val="center"/>
              <w:rPr>
                <w:rFonts w:ascii="Arial Narrow" w:hAnsi="Arial Narrow" w:eastAsia="仿宋" w:cs="宋体"/>
                <w:sz w:val="32"/>
                <w:szCs w:val="18"/>
              </w:rPr>
            </w:pPr>
            <w:r>
              <w:rPr>
                <w:rFonts w:ascii="Arial Narrow" w:hAnsi="Arial Narrow" w:eastAsia="仿宋" w:cs="宋体"/>
                <w:sz w:val="32"/>
                <w:szCs w:val="18"/>
              </w:rPr>
              <w:t>78</w:t>
            </w:r>
          </w:p>
        </w:tc>
        <w:tc>
          <w:tcPr>
            <w:tcW w:w="123" w:type="pct"/>
            <w:vAlign w:val="center"/>
          </w:tcPr>
          <w:p w14:paraId="306483A1">
            <w:pPr>
              <w:spacing w:line="560" w:lineRule="exact"/>
              <w:rPr>
                <w:rFonts w:ascii="Arial Narrow" w:hAnsi="Arial Narrow" w:eastAsia="仿宋"/>
                <w:sz w:val="32"/>
                <w:szCs w:val="18"/>
              </w:rPr>
            </w:pPr>
          </w:p>
        </w:tc>
      </w:tr>
      <w:tr w14:paraId="1C794A3E">
        <w:tblPrEx>
          <w:tblCellMar>
            <w:top w:w="0" w:type="dxa"/>
            <w:left w:w="108" w:type="dxa"/>
            <w:bottom w:w="0" w:type="dxa"/>
            <w:right w:w="108" w:type="dxa"/>
          </w:tblCellMar>
        </w:tblPrEx>
        <w:trPr>
          <w:trHeight w:val="460" w:hRule="atLeast"/>
        </w:trPr>
        <w:tc>
          <w:tcPr>
            <w:tcW w:w="250" w:type="pct"/>
            <w:tcBorders>
              <w:top w:val="nil"/>
              <w:left w:val="single" w:color="auto" w:sz="4" w:space="0"/>
              <w:bottom w:val="single" w:color="auto" w:sz="4" w:space="0"/>
              <w:right w:val="single" w:color="auto" w:sz="4" w:space="0"/>
            </w:tcBorders>
            <w:shd w:val="clear" w:color="auto" w:fill="auto"/>
            <w:vAlign w:val="center"/>
          </w:tcPr>
          <w:p w14:paraId="15186C63">
            <w:pPr>
              <w:spacing w:line="560" w:lineRule="exact"/>
              <w:jc w:val="center"/>
              <w:rPr>
                <w:rFonts w:ascii="Arial Narrow" w:hAnsi="Arial Narrow" w:eastAsia="仿宋" w:cs="宋体"/>
                <w:sz w:val="32"/>
                <w:szCs w:val="18"/>
              </w:rPr>
            </w:pPr>
            <w:r>
              <w:rPr>
                <w:rFonts w:ascii="Arial Narrow" w:hAnsi="Arial Narrow" w:eastAsia="仿宋" w:cs="宋体"/>
                <w:sz w:val="32"/>
                <w:szCs w:val="18"/>
              </w:rPr>
              <w:t>2</w:t>
            </w:r>
          </w:p>
        </w:tc>
        <w:tc>
          <w:tcPr>
            <w:tcW w:w="1778" w:type="pct"/>
            <w:tcBorders>
              <w:top w:val="nil"/>
              <w:left w:val="nil"/>
              <w:bottom w:val="single" w:color="auto" w:sz="4" w:space="0"/>
              <w:right w:val="single" w:color="auto" w:sz="4" w:space="0"/>
            </w:tcBorders>
            <w:shd w:val="clear" w:color="auto" w:fill="auto"/>
            <w:vAlign w:val="center"/>
          </w:tcPr>
          <w:p w14:paraId="22EB2CA0">
            <w:pPr>
              <w:spacing w:line="560" w:lineRule="exact"/>
              <w:rPr>
                <w:rFonts w:ascii="Arial Narrow" w:hAnsi="Arial Narrow" w:eastAsia="仿宋" w:cs="宋体"/>
                <w:sz w:val="32"/>
                <w:szCs w:val="18"/>
              </w:rPr>
            </w:pPr>
            <w:r>
              <w:rPr>
                <w:rFonts w:ascii="Arial Narrow" w:hAnsi="Arial Narrow" w:eastAsia="仿宋" w:cs="宋体"/>
                <w:sz w:val="32"/>
                <w:szCs w:val="18"/>
              </w:rPr>
              <w:t>2019年城乡居民养老保险政策绩效评价报告</w:t>
            </w:r>
          </w:p>
        </w:tc>
        <w:tc>
          <w:tcPr>
            <w:tcW w:w="652" w:type="pct"/>
            <w:tcBorders>
              <w:top w:val="single" w:color="auto" w:sz="4" w:space="0"/>
              <w:left w:val="nil"/>
              <w:bottom w:val="single" w:color="auto" w:sz="4" w:space="0"/>
              <w:right w:val="single" w:color="auto" w:sz="4" w:space="0"/>
            </w:tcBorders>
            <w:vAlign w:val="center"/>
          </w:tcPr>
          <w:p w14:paraId="2BFBC68D">
            <w:pPr>
              <w:spacing w:line="560" w:lineRule="exact"/>
              <w:jc w:val="center"/>
              <w:rPr>
                <w:rFonts w:ascii="Arial Narrow" w:hAnsi="Arial Narrow" w:eastAsia="仿宋" w:cs="宋体"/>
                <w:sz w:val="32"/>
                <w:szCs w:val="18"/>
              </w:rPr>
            </w:pPr>
            <w:r>
              <w:rPr>
                <w:rFonts w:ascii="Arial Narrow" w:hAnsi="Arial Narrow" w:eastAsia="仿宋" w:cs="宋体"/>
                <w:sz w:val="32"/>
                <w:szCs w:val="18"/>
              </w:rPr>
              <w:t>20</w:t>
            </w:r>
          </w:p>
        </w:tc>
        <w:tc>
          <w:tcPr>
            <w:tcW w:w="500" w:type="pct"/>
            <w:tcBorders>
              <w:top w:val="nil"/>
              <w:left w:val="single" w:color="auto" w:sz="4" w:space="0"/>
              <w:bottom w:val="single" w:color="auto" w:sz="4" w:space="0"/>
              <w:right w:val="single" w:color="auto" w:sz="4" w:space="0"/>
            </w:tcBorders>
            <w:vAlign w:val="center"/>
          </w:tcPr>
          <w:p w14:paraId="3974C7BE">
            <w:pPr>
              <w:spacing w:line="560" w:lineRule="exact"/>
              <w:jc w:val="center"/>
              <w:rPr>
                <w:rFonts w:ascii="Arial Narrow" w:hAnsi="Arial Narrow" w:eastAsia="仿宋" w:cs="宋体"/>
                <w:sz w:val="32"/>
                <w:szCs w:val="18"/>
              </w:rPr>
            </w:pPr>
            <w:r>
              <w:rPr>
                <w:rFonts w:ascii="Arial Narrow" w:hAnsi="Arial Narrow" w:eastAsia="仿宋" w:cs="宋体"/>
                <w:sz w:val="32"/>
                <w:szCs w:val="18"/>
              </w:rPr>
              <w:t>19.81</w:t>
            </w:r>
          </w:p>
        </w:tc>
        <w:tc>
          <w:tcPr>
            <w:tcW w:w="500" w:type="pct"/>
            <w:tcBorders>
              <w:top w:val="nil"/>
              <w:left w:val="nil"/>
              <w:bottom w:val="single" w:color="auto" w:sz="4" w:space="0"/>
              <w:right w:val="single" w:color="auto" w:sz="4" w:space="0"/>
            </w:tcBorders>
            <w:shd w:val="clear" w:color="auto" w:fill="auto"/>
            <w:vAlign w:val="center"/>
          </w:tcPr>
          <w:p w14:paraId="49A07464">
            <w:pPr>
              <w:spacing w:line="560" w:lineRule="exact"/>
              <w:jc w:val="center"/>
              <w:rPr>
                <w:rFonts w:ascii="Arial Narrow" w:hAnsi="Arial Narrow" w:eastAsia="仿宋" w:cs="宋体"/>
                <w:sz w:val="32"/>
                <w:szCs w:val="18"/>
              </w:rPr>
            </w:pPr>
            <w:r>
              <w:rPr>
                <w:rFonts w:ascii="Arial Narrow" w:hAnsi="Arial Narrow" w:eastAsia="仿宋" w:cs="宋体"/>
                <w:sz w:val="32"/>
                <w:szCs w:val="18"/>
              </w:rPr>
              <w:t>25</w:t>
            </w:r>
          </w:p>
        </w:tc>
        <w:tc>
          <w:tcPr>
            <w:tcW w:w="437" w:type="pct"/>
            <w:tcBorders>
              <w:top w:val="nil"/>
              <w:left w:val="nil"/>
              <w:bottom w:val="single" w:color="auto" w:sz="4" w:space="0"/>
              <w:right w:val="single" w:color="auto" w:sz="4" w:space="0"/>
            </w:tcBorders>
            <w:shd w:val="clear" w:color="auto" w:fill="auto"/>
            <w:vAlign w:val="center"/>
          </w:tcPr>
          <w:p w14:paraId="3393EDC6">
            <w:pPr>
              <w:spacing w:line="560" w:lineRule="exact"/>
              <w:jc w:val="center"/>
              <w:rPr>
                <w:rFonts w:ascii="Arial Narrow" w:hAnsi="Arial Narrow" w:eastAsia="仿宋" w:cs="宋体"/>
                <w:sz w:val="32"/>
                <w:szCs w:val="18"/>
              </w:rPr>
            </w:pPr>
            <w:r>
              <w:rPr>
                <w:rFonts w:ascii="Arial Narrow" w:hAnsi="Arial Narrow" w:eastAsia="仿宋" w:cs="宋体"/>
                <w:sz w:val="32"/>
                <w:szCs w:val="18"/>
              </w:rPr>
              <w:t>10</w:t>
            </w:r>
          </w:p>
        </w:tc>
        <w:tc>
          <w:tcPr>
            <w:tcW w:w="416" w:type="pct"/>
            <w:tcBorders>
              <w:top w:val="nil"/>
              <w:left w:val="nil"/>
              <w:bottom w:val="single" w:color="auto" w:sz="4" w:space="0"/>
              <w:right w:val="single" w:color="auto" w:sz="4" w:space="0"/>
            </w:tcBorders>
            <w:shd w:val="clear" w:color="auto" w:fill="auto"/>
            <w:vAlign w:val="center"/>
          </w:tcPr>
          <w:p w14:paraId="0846CFCF">
            <w:pPr>
              <w:spacing w:line="560" w:lineRule="exact"/>
              <w:jc w:val="center"/>
              <w:rPr>
                <w:rFonts w:ascii="Arial Narrow" w:hAnsi="Arial Narrow" w:eastAsia="仿宋" w:cs="宋体"/>
                <w:sz w:val="32"/>
                <w:szCs w:val="18"/>
              </w:rPr>
            </w:pPr>
            <w:r>
              <w:rPr>
                <w:rFonts w:ascii="Arial Narrow" w:hAnsi="Arial Narrow" w:eastAsia="仿宋" w:cs="宋体"/>
                <w:sz w:val="32"/>
                <w:szCs w:val="18"/>
              </w:rPr>
              <w:t>15</w:t>
            </w:r>
          </w:p>
        </w:tc>
        <w:tc>
          <w:tcPr>
            <w:tcW w:w="343" w:type="pct"/>
            <w:tcBorders>
              <w:top w:val="nil"/>
              <w:left w:val="nil"/>
              <w:bottom w:val="single" w:color="auto" w:sz="4" w:space="0"/>
              <w:right w:val="single" w:color="auto" w:sz="4" w:space="0"/>
            </w:tcBorders>
            <w:shd w:val="clear" w:color="auto" w:fill="auto"/>
            <w:vAlign w:val="center"/>
          </w:tcPr>
          <w:p w14:paraId="57DD4987">
            <w:pPr>
              <w:spacing w:line="560" w:lineRule="exact"/>
              <w:jc w:val="center"/>
              <w:rPr>
                <w:rFonts w:ascii="Arial Narrow" w:hAnsi="Arial Narrow" w:eastAsia="仿宋" w:cs="宋体"/>
                <w:sz w:val="32"/>
                <w:szCs w:val="18"/>
              </w:rPr>
            </w:pPr>
            <w:r>
              <w:rPr>
                <w:rFonts w:ascii="Arial Narrow" w:hAnsi="Arial Narrow" w:eastAsia="仿宋" w:cs="宋体"/>
                <w:sz w:val="32"/>
                <w:szCs w:val="18"/>
              </w:rPr>
              <w:t>89.81</w:t>
            </w:r>
          </w:p>
        </w:tc>
        <w:tc>
          <w:tcPr>
            <w:tcW w:w="123" w:type="pct"/>
            <w:vAlign w:val="center"/>
          </w:tcPr>
          <w:p w14:paraId="505FF1DD">
            <w:pPr>
              <w:spacing w:line="560" w:lineRule="exact"/>
              <w:rPr>
                <w:rFonts w:ascii="Arial Narrow" w:hAnsi="Arial Narrow" w:eastAsia="仿宋"/>
                <w:sz w:val="32"/>
                <w:szCs w:val="18"/>
              </w:rPr>
            </w:pPr>
          </w:p>
        </w:tc>
      </w:tr>
      <w:tr w14:paraId="61551226">
        <w:tblPrEx>
          <w:tblCellMar>
            <w:top w:w="0" w:type="dxa"/>
            <w:left w:w="108" w:type="dxa"/>
            <w:bottom w:w="0" w:type="dxa"/>
            <w:right w:w="108" w:type="dxa"/>
          </w:tblCellMar>
        </w:tblPrEx>
        <w:trPr>
          <w:trHeight w:val="460" w:hRule="atLeast"/>
        </w:trPr>
        <w:tc>
          <w:tcPr>
            <w:tcW w:w="250" w:type="pct"/>
            <w:tcBorders>
              <w:top w:val="nil"/>
              <w:left w:val="single" w:color="auto" w:sz="4" w:space="0"/>
              <w:bottom w:val="single" w:color="auto" w:sz="4" w:space="0"/>
              <w:right w:val="single" w:color="auto" w:sz="4" w:space="0"/>
            </w:tcBorders>
            <w:shd w:val="clear" w:color="auto" w:fill="auto"/>
            <w:vAlign w:val="center"/>
          </w:tcPr>
          <w:p w14:paraId="63B53AAE">
            <w:pPr>
              <w:spacing w:line="560" w:lineRule="exact"/>
              <w:jc w:val="center"/>
              <w:rPr>
                <w:rFonts w:ascii="Arial Narrow" w:hAnsi="Arial Narrow" w:eastAsia="仿宋" w:cs="宋体"/>
                <w:sz w:val="32"/>
                <w:szCs w:val="18"/>
              </w:rPr>
            </w:pPr>
            <w:r>
              <w:rPr>
                <w:rFonts w:ascii="Arial Narrow" w:hAnsi="Arial Narrow" w:eastAsia="仿宋" w:cs="宋体"/>
                <w:sz w:val="32"/>
                <w:szCs w:val="18"/>
              </w:rPr>
              <w:t>3</w:t>
            </w:r>
          </w:p>
        </w:tc>
        <w:tc>
          <w:tcPr>
            <w:tcW w:w="1778" w:type="pct"/>
            <w:tcBorders>
              <w:top w:val="nil"/>
              <w:left w:val="nil"/>
              <w:bottom w:val="single" w:color="auto" w:sz="4" w:space="0"/>
              <w:right w:val="single" w:color="auto" w:sz="4" w:space="0"/>
            </w:tcBorders>
            <w:shd w:val="clear" w:color="auto" w:fill="auto"/>
            <w:vAlign w:val="center"/>
          </w:tcPr>
          <w:p w14:paraId="38A52143">
            <w:pPr>
              <w:spacing w:line="560" w:lineRule="exact"/>
              <w:rPr>
                <w:rFonts w:ascii="Arial Narrow" w:hAnsi="Arial Narrow" w:eastAsia="仿宋" w:cs="宋体"/>
                <w:sz w:val="32"/>
                <w:szCs w:val="18"/>
              </w:rPr>
            </w:pPr>
            <w:r>
              <w:rPr>
                <w:rFonts w:ascii="Arial Narrow" w:hAnsi="Arial Narrow" w:eastAsia="仿宋" w:cs="宋体"/>
                <w:sz w:val="32"/>
                <w:szCs w:val="18"/>
              </w:rPr>
              <w:t>2019年林业改革资金</w:t>
            </w:r>
          </w:p>
        </w:tc>
        <w:tc>
          <w:tcPr>
            <w:tcW w:w="652" w:type="pct"/>
            <w:tcBorders>
              <w:top w:val="single" w:color="auto" w:sz="4" w:space="0"/>
              <w:left w:val="nil"/>
              <w:bottom w:val="single" w:color="auto" w:sz="4" w:space="0"/>
              <w:right w:val="single" w:color="auto" w:sz="4" w:space="0"/>
            </w:tcBorders>
            <w:vAlign w:val="center"/>
          </w:tcPr>
          <w:p w14:paraId="17100387">
            <w:pPr>
              <w:spacing w:line="560" w:lineRule="exact"/>
              <w:jc w:val="center"/>
              <w:rPr>
                <w:rFonts w:ascii="Arial Narrow" w:hAnsi="Arial Narrow" w:eastAsia="仿宋" w:cs="宋体"/>
                <w:sz w:val="32"/>
                <w:szCs w:val="18"/>
              </w:rPr>
            </w:pPr>
            <w:r>
              <w:rPr>
                <w:rFonts w:ascii="Arial Narrow" w:hAnsi="Arial Narrow" w:eastAsia="仿宋" w:cs="宋体"/>
                <w:sz w:val="32"/>
                <w:szCs w:val="18"/>
              </w:rPr>
              <w:t>20</w:t>
            </w:r>
          </w:p>
        </w:tc>
        <w:tc>
          <w:tcPr>
            <w:tcW w:w="500" w:type="pct"/>
            <w:tcBorders>
              <w:top w:val="nil"/>
              <w:left w:val="single" w:color="auto" w:sz="4" w:space="0"/>
              <w:bottom w:val="single" w:color="auto" w:sz="4" w:space="0"/>
              <w:right w:val="single" w:color="auto" w:sz="4" w:space="0"/>
            </w:tcBorders>
            <w:vAlign w:val="center"/>
          </w:tcPr>
          <w:p w14:paraId="5AC5C705">
            <w:pPr>
              <w:spacing w:line="560" w:lineRule="exact"/>
              <w:jc w:val="center"/>
              <w:rPr>
                <w:rFonts w:ascii="Arial Narrow" w:hAnsi="Arial Narrow" w:eastAsia="仿宋" w:cs="宋体"/>
                <w:sz w:val="32"/>
                <w:szCs w:val="18"/>
              </w:rPr>
            </w:pPr>
            <w:r>
              <w:rPr>
                <w:rFonts w:ascii="Arial Narrow" w:hAnsi="Arial Narrow" w:eastAsia="仿宋" w:cs="宋体"/>
                <w:sz w:val="32"/>
                <w:szCs w:val="18"/>
              </w:rPr>
              <w:t>29</w:t>
            </w:r>
          </w:p>
        </w:tc>
        <w:tc>
          <w:tcPr>
            <w:tcW w:w="500" w:type="pct"/>
            <w:tcBorders>
              <w:top w:val="nil"/>
              <w:left w:val="nil"/>
              <w:bottom w:val="single" w:color="auto" w:sz="4" w:space="0"/>
              <w:right w:val="single" w:color="auto" w:sz="4" w:space="0"/>
            </w:tcBorders>
            <w:shd w:val="clear" w:color="auto" w:fill="auto"/>
            <w:vAlign w:val="center"/>
          </w:tcPr>
          <w:p w14:paraId="0944ABE8">
            <w:pPr>
              <w:spacing w:line="560" w:lineRule="exact"/>
              <w:jc w:val="center"/>
              <w:rPr>
                <w:rFonts w:ascii="Arial Narrow" w:hAnsi="Arial Narrow" w:eastAsia="仿宋" w:cs="宋体"/>
                <w:sz w:val="32"/>
                <w:szCs w:val="18"/>
              </w:rPr>
            </w:pPr>
            <w:r>
              <w:rPr>
                <w:rFonts w:ascii="Arial Narrow" w:hAnsi="Arial Narrow" w:eastAsia="仿宋" w:cs="宋体"/>
                <w:sz w:val="32"/>
                <w:szCs w:val="18"/>
              </w:rPr>
              <w:t>21</w:t>
            </w:r>
          </w:p>
        </w:tc>
        <w:tc>
          <w:tcPr>
            <w:tcW w:w="437" w:type="pct"/>
            <w:tcBorders>
              <w:top w:val="nil"/>
              <w:left w:val="nil"/>
              <w:bottom w:val="single" w:color="auto" w:sz="4" w:space="0"/>
              <w:right w:val="single" w:color="auto" w:sz="4" w:space="0"/>
            </w:tcBorders>
            <w:shd w:val="clear" w:color="auto" w:fill="auto"/>
            <w:vAlign w:val="center"/>
          </w:tcPr>
          <w:p w14:paraId="2DF8FBF4">
            <w:pPr>
              <w:spacing w:line="560" w:lineRule="exact"/>
              <w:jc w:val="center"/>
              <w:rPr>
                <w:rFonts w:ascii="Arial Narrow" w:hAnsi="Arial Narrow" w:eastAsia="仿宋" w:cs="宋体"/>
                <w:sz w:val="32"/>
                <w:szCs w:val="18"/>
              </w:rPr>
            </w:pPr>
            <w:r>
              <w:rPr>
                <w:rFonts w:ascii="Arial Narrow" w:hAnsi="Arial Narrow" w:eastAsia="仿宋" w:cs="宋体"/>
                <w:sz w:val="32"/>
                <w:szCs w:val="18"/>
              </w:rPr>
              <w:t>9</w:t>
            </w:r>
          </w:p>
        </w:tc>
        <w:tc>
          <w:tcPr>
            <w:tcW w:w="416" w:type="pct"/>
            <w:tcBorders>
              <w:top w:val="nil"/>
              <w:left w:val="nil"/>
              <w:bottom w:val="single" w:color="auto" w:sz="4" w:space="0"/>
              <w:right w:val="single" w:color="auto" w:sz="4" w:space="0"/>
            </w:tcBorders>
            <w:shd w:val="clear" w:color="auto" w:fill="auto"/>
            <w:vAlign w:val="center"/>
          </w:tcPr>
          <w:p w14:paraId="57A84490">
            <w:pPr>
              <w:spacing w:line="560" w:lineRule="exact"/>
              <w:jc w:val="center"/>
              <w:rPr>
                <w:rFonts w:ascii="Arial Narrow" w:hAnsi="Arial Narrow" w:eastAsia="仿宋" w:cs="宋体"/>
                <w:sz w:val="32"/>
                <w:szCs w:val="18"/>
              </w:rPr>
            </w:pPr>
            <w:r>
              <w:rPr>
                <w:rFonts w:ascii="Arial Narrow" w:hAnsi="Arial Narrow" w:eastAsia="仿宋" w:cs="宋体"/>
                <w:sz w:val="32"/>
                <w:szCs w:val="18"/>
              </w:rPr>
              <w:t>15</w:t>
            </w:r>
          </w:p>
        </w:tc>
        <w:tc>
          <w:tcPr>
            <w:tcW w:w="343" w:type="pct"/>
            <w:tcBorders>
              <w:top w:val="nil"/>
              <w:left w:val="nil"/>
              <w:bottom w:val="single" w:color="auto" w:sz="4" w:space="0"/>
              <w:right w:val="single" w:color="auto" w:sz="4" w:space="0"/>
            </w:tcBorders>
            <w:shd w:val="clear" w:color="auto" w:fill="auto"/>
            <w:vAlign w:val="center"/>
          </w:tcPr>
          <w:p w14:paraId="07D6FE71">
            <w:pPr>
              <w:spacing w:line="560" w:lineRule="exact"/>
              <w:jc w:val="center"/>
              <w:rPr>
                <w:rFonts w:ascii="Arial Narrow" w:hAnsi="Arial Narrow" w:eastAsia="仿宋" w:cs="宋体"/>
                <w:sz w:val="32"/>
                <w:szCs w:val="18"/>
              </w:rPr>
            </w:pPr>
            <w:r>
              <w:rPr>
                <w:rFonts w:ascii="Arial Narrow" w:hAnsi="Arial Narrow" w:eastAsia="仿宋" w:cs="宋体"/>
                <w:sz w:val="32"/>
                <w:szCs w:val="18"/>
              </w:rPr>
              <w:t>94</w:t>
            </w:r>
          </w:p>
        </w:tc>
        <w:tc>
          <w:tcPr>
            <w:tcW w:w="123" w:type="pct"/>
            <w:vAlign w:val="center"/>
          </w:tcPr>
          <w:p w14:paraId="764D6F17">
            <w:pPr>
              <w:spacing w:line="560" w:lineRule="exact"/>
              <w:rPr>
                <w:rFonts w:ascii="Arial Narrow" w:hAnsi="Arial Narrow" w:eastAsia="仿宋"/>
                <w:sz w:val="32"/>
                <w:szCs w:val="18"/>
              </w:rPr>
            </w:pPr>
          </w:p>
        </w:tc>
      </w:tr>
      <w:tr w14:paraId="147AA404">
        <w:tblPrEx>
          <w:tblCellMar>
            <w:top w:w="0" w:type="dxa"/>
            <w:left w:w="108" w:type="dxa"/>
            <w:bottom w:w="0" w:type="dxa"/>
            <w:right w:w="108" w:type="dxa"/>
          </w:tblCellMar>
        </w:tblPrEx>
        <w:trPr>
          <w:trHeight w:val="560" w:hRule="atLeast"/>
        </w:trPr>
        <w:tc>
          <w:tcPr>
            <w:tcW w:w="250" w:type="pct"/>
            <w:tcBorders>
              <w:top w:val="nil"/>
              <w:left w:val="single" w:color="auto" w:sz="4" w:space="0"/>
              <w:bottom w:val="single" w:color="auto" w:sz="4" w:space="0"/>
              <w:right w:val="single" w:color="auto" w:sz="4" w:space="0"/>
            </w:tcBorders>
            <w:shd w:val="clear" w:color="auto" w:fill="auto"/>
            <w:vAlign w:val="center"/>
          </w:tcPr>
          <w:p w14:paraId="41E22EA3">
            <w:pPr>
              <w:spacing w:line="560" w:lineRule="exact"/>
              <w:jc w:val="center"/>
              <w:rPr>
                <w:rFonts w:ascii="Arial Narrow" w:hAnsi="Arial Narrow" w:eastAsia="仿宋" w:cs="宋体"/>
                <w:sz w:val="32"/>
                <w:szCs w:val="18"/>
              </w:rPr>
            </w:pPr>
            <w:r>
              <w:rPr>
                <w:rFonts w:ascii="Arial Narrow" w:hAnsi="Arial Narrow" w:eastAsia="仿宋" w:cs="宋体"/>
                <w:sz w:val="32"/>
                <w:szCs w:val="18"/>
              </w:rPr>
              <w:t>4</w:t>
            </w:r>
          </w:p>
        </w:tc>
        <w:tc>
          <w:tcPr>
            <w:tcW w:w="1778" w:type="pct"/>
            <w:tcBorders>
              <w:top w:val="nil"/>
              <w:left w:val="nil"/>
              <w:bottom w:val="single" w:color="auto" w:sz="4" w:space="0"/>
              <w:right w:val="single" w:color="auto" w:sz="4" w:space="0"/>
            </w:tcBorders>
            <w:shd w:val="clear" w:color="auto" w:fill="auto"/>
            <w:vAlign w:val="center"/>
          </w:tcPr>
          <w:p w14:paraId="3E9BFFEF">
            <w:pPr>
              <w:spacing w:line="560" w:lineRule="exact"/>
              <w:rPr>
                <w:rFonts w:ascii="Arial Narrow" w:hAnsi="Arial Narrow" w:eastAsia="仿宋" w:cs="宋体"/>
                <w:sz w:val="32"/>
                <w:szCs w:val="18"/>
              </w:rPr>
            </w:pPr>
            <w:r>
              <w:rPr>
                <w:rFonts w:ascii="Arial Narrow" w:hAnsi="Arial Narrow" w:eastAsia="仿宋" w:cs="宋体"/>
                <w:sz w:val="32"/>
                <w:szCs w:val="18"/>
              </w:rPr>
              <w:t>2019年州级农资补贴资金</w:t>
            </w:r>
          </w:p>
        </w:tc>
        <w:tc>
          <w:tcPr>
            <w:tcW w:w="652" w:type="pct"/>
            <w:tcBorders>
              <w:top w:val="single" w:color="auto" w:sz="4" w:space="0"/>
              <w:left w:val="nil"/>
              <w:bottom w:val="single" w:color="auto" w:sz="4" w:space="0"/>
              <w:right w:val="single" w:color="auto" w:sz="4" w:space="0"/>
            </w:tcBorders>
            <w:vAlign w:val="center"/>
          </w:tcPr>
          <w:p w14:paraId="1FB90402">
            <w:pPr>
              <w:spacing w:line="560" w:lineRule="exact"/>
              <w:jc w:val="center"/>
              <w:rPr>
                <w:rFonts w:ascii="Arial Narrow" w:hAnsi="Arial Narrow" w:eastAsia="仿宋" w:cs="宋体"/>
                <w:sz w:val="32"/>
                <w:szCs w:val="18"/>
              </w:rPr>
            </w:pPr>
            <w:r>
              <w:rPr>
                <w:rFonts w:ascii="Arial Narrow" w:hAnsi="Arial Narrow" w:eastAsia="仿宋" w:cs="宋体"/>
                <w:sz w:val="32"/>
                <w:szCs w:val="18"/>
              </w:rPr>
              <w:t>20</w:t>
            </w:r>
          </w:p>
        </w:tc>
        <w:tc>
          <w:tcPr>
            <w:tcW w:w="500" w:type="pct"/>
            <w:tcBorders>
              <w:top w:val="nil"/>
              <w:left w:val="single" w:color="auto" w:sz="4" w:space="0"/>
              <w:bottom w:val="single" w:color="auto" w:sz="4" w:space="0"/>
              <w:right w:val="single" w:color="auto" w:sz="4" w:space="0"/>
            </w:tcBorders>
            <w:vAlign w:val="center"/>
          </w:tcPr>
          <w:p w14:paraId="08246100">
            <w:pPr>
              <w:spacing w:line="560" w:lineRule="exact"/>
              <w:jc w:val="center"/>
              <w:rPr>
                <w:rFonts w:ascii="Arial Narrow" w:hAnsi="Arial Narrow" w:eastAsia="仿宋" w:cs="宋体"/>
                <w:sz w:val="32"/>
                <w:szCs w:val="18"/>
              </w:rPr>
            </w:pPr>
            <w:r>
              <w:rPr>
                <w:rFonts w:ascii="Arial Narrow" w:hAnsi="Arial Narrow" w:eastAsia="仿宋" w:cs="宋体"/>
                <w:sz w:val="32"/>
                <w:szCs w:val="18"/>
              </w:rPr>
              <w:t>18.69</w:t>
            </w:r>
          </w:p>
        </w:tc>
        <w:tc>
          <w:tcPr>
            <w:tcW w:w="500" w:type="pct"/>
            <w:tcBorders>
              <w:top w:val="nil"/>
              <w:left w:val="nil"/>
              <w:bottom w:val="single" w:color="auto" w:sz="4" w:space="0"/>
              <w:right w:val="single" w:color="auto" w:sz="4" w:space="0"/>
            </w:tcBorders>
            <w:shd w:val="clear" w:color="auto" w:fill="auto"/>
            <w:vAlign w:val="center"/>
          </w:tcPr>
          <w:p w14:paraId="3932EE2F">
            <w:pPr>
              <w:spacing w:line="560" w:lineRule="exact"/>
              <w:jc w:val="center"/>
              <w:rPr>
                <w:rFonts w:ascii="Arial Narrow" w:hAnsi="Arial Narrow" w:eastAsia="仿宋" w:cs="宋体"/>
                <w:sz w:val="32"/>
                <w:szCs w:val="18"/>
              </w:rPr>
            </w:pPr>
            <w:r>
              <w:rPr>
                <w:rFonts w:ascii="Arial Narrow" w:hAnsi="Arial Narrow" w:eastAsia="仿宋" w:cs="宋体"/>
                <w:sz w:val="32"/>
                <w:szCs w:val="18"/>
              </w:rPr>
              <w:t>20.85</w:t>
            </w:r>
          </w:p>
        </w:tc>
        <w:tc>
          <w:tcPr>
            <w:tcW w:w="437" w:type="pct"/>
            <w:tcBorders>
              <w:top w:val="nil"/>
              <w:left w:val="nil"/>
              <w:bottom w:val="single" w:color="auto" w:sz="4" w:space="0"/>
              <w:right w:val="single" w:color="auto" w:sz="4" w:space="0"/>
            </w:tcBorders>
            <w:shd w:val="clear" w:color="auto" w:fill="auto"/>
            <w:vAlign w:val="center"/>
          </w:tcPr>
          <w:p w14:paraId="6103E0AE">
            <w:pPr>
              <w:spacing w:line="560" w:lineRule="exact"/>
              <w:jc w:val="center"/>
              <w:rPr>
                <w:rFonts w:ascii="Arial Narrow" w:hAnsi="Arial Narrow" w:eastAsia="仿宋" w:cs="宋体"/>
                <w:sz w:val="32"/>
                <w:szCs w:val="18"/>
              </w:rPr>
            </w:pPr>
            <w:r>
              <w:rPr>
                <w:rFonts w:ascii="Arial Narrow" w:hAnsi="Arial Narrow" w:eastAsia="仿宋" w:cs="宋体"/>
                <w:sz w:val="32"/>
                <w:szCs w:val="18"/>
              </w:rPr>
              <w:t>10</w:t>
            </w:r>
          </w:p>
        </w:tc>
        <w:tc>
          <w:tcPr>
            <w:tcW w:w="416" w:type="pct"/>
            <w:tcBorders>
              <w:top w:val="nil"/>
              <w:left w:val="nil"/>
              <w:bottom w:val="single" w:color="auto" w:sz="4" w:space="0"/>
              <w:right w:val="single" w:color="auto" w:sz="4" w:space="0"/>
            </w:tcBorders>
            <w:shd w:val="clear" w:color="auto" w:fill="auto"/>
            <w:vAlign w:val="center"/>
          </w:tcPr>
          <w:p w14:paraId="1F9A4BFA">
            <w:pPr>
              <w:spacing w:line="560" w:lineRule="exact"/>
              <w:jc w:val="center"/>
              <w:rPr>
                <w:rFonts w:ascii="Arial Narrow" w:hAnsi="Arial Narrow" w:eastAsia="仿宋" w:cs="宋体"/>
                <w:sz w:val="32"/>
                <w:szCs w:val="18"/>
              </w:rPr>
            </w:pPr>
            <w:r>
              <w:rPr>
                <w:rFonts w:ascii="Arial Narrow" w:hAnsi="Arial Narrow" w:eastAsia="仿宋" w:cs="宋体"/>
                <w:sz w:val="32"/>
                <w:szCs w:val="18"/>
              </w:rPr>
              <w:t>15</w:t>
            </w:r>
          </w:p>
        </w:tc>
        <w:tc>
          <w:tcPr>
            <w:tcW w:w="343" w:type="pct"/>
            <w:tcBorders>
              <w:top w:val="nil"/>
              <w:left w:val="nil"/>
              <w:bottom w:val="single" w:color="auto" w:sz="4" w:space="0"/>
              <w:right w:val="single" w:color="auto" w:sz="4" w:space="0"/>
            </w:tcBorders>
            <w:shd w:val="clear" w:color="auto" w:fill="auto"/>
            <w:vAlign w:val="center"/>
          </w:tcPr>
          <w:p w14:paraId="6DB482B2">
            <w:pPr>
              <w:spacing w:line="560" w:lineRule="exact"/>
              <w:jc w:val="center"/>
              <w:rPr>
                <w:rFonts w:ascii="Arial Narrow" w:hAnsi="Arial Narrow" w:eastAsia="仿宋" w:cs="宋体"/>
                <w:sz w:val="32"/>
                <w:szCs w:val="18"/>
              </w:rPr>
            </w:pPr>
            <w:r>
              <w:rPr>
                <w:rFonts w:ascii="Arial Narrow" w:hAnsi="Arial Narrow" w:eastAsia="仿宋" w:cs="宋体"/>
                <w:sz w:val="32"/>
                <w:szCs w:val="18"/>
              </w:rPr>
              <w:t>84.54</w:t>
            </w:r>
          </w:p>
        </w:tc>
        <w:tc>
          <w:tcPr>
            <w:tcW w:w="123" w:type="pct"/>
            <w:vAlign w:val="center"/>
          </w:tcPr>
          <w:p w14:paraId="41030CFF">
            <w:pPr>
              <w:spacing w:line="560" w:lineRule="exact"/>
              <w:rPr>
                <w:rFonts w:ascii="Arial Narrow" w:hAnsi="Arial Narrow" w:eastAsia="仿宋"/>
                <w:sz w:val="32"/>
                <w:szCs w:val="18"/>
              </w:rPr>
            </w:pPr>
          </w:p>
        </w:tc>
      </w:tr>
      <w:tr w14:paraId="0D620759">
        <w:tblPrEx>
          <w:tblCellMar>
            <w:top w:w="0" w:type="dxa"/>
            <w:left w:w="108" w:type="dxa"/>
            <w:bottom w:w="0" w:type="dxa"/>
            <w:right w:w="108" w:type="dxa"/>
          </w:tblCellMar>
        </w:tblPrEx>
        <w:trPr>
          <w:trHeight w:val="480" w:hRule="atLeast"/>
        </w:trPr>
        <w:tc>
          <w:tcPr>
            <w:tcW w:w="250" w:type="pct"/>
            <w:tcBorders>
              <w:top w:val="nil"/>
              <w:left w:val="single" w:color="auto" w:sz="4" w:space="0"/>
              <w:bottom w:val="single" w:color="auto" w:sz="4" w:space="0"/>
              <w:right w:val="single" w:color="auto" w:sz="4" w:space="0"/>
            </w:tcBorders>
            <w:shd w:val="clear" w:color="auto" w:fill="auto"/>
            <w:vAlign w:val="center"/>
          </w:tcPr>
          <w:p w14:paraId="6889BFBA">
            <w:pPr>
              <w:spacing w:line="560" w:lineRule="exact"/>
              <w:jc w:val="center"/>
              <w:rPr>
                <w:rFonts w:ascii="Arial Narrow" w:hAnsi="Arial Narrow" w:eastAsia="仿宋" w:cs="宋体"/>
                <w:sz w:val="32"/>
                <w:szCs w:val="18"/>
              </w:rPr>
            </w:pPr>
            <w:r>
              <w:rPr>
                <w:rFonts w:ascii="Arial Narrow" w:hAnsi="Arial Narrow" w:eastAsia="仿宋" w:cs="宋体"/>
                <w:sz w:val="32"/>
                <w:szCs w:val="18"/>
              </w:rPr>
              <w:t>5</w:t>
            </w:r>
          </w:p>
        </w:tc>
        <w:tc>
          <w:tcPr>
            <w:tcW w:w="1778" w:type="pct"/>
            <w:tcBorders>
              <w:top w:val="nil"/>
              <w:left w:val="nil"/>
              <w:bottom w:val="single" w:color="auto" w:sz="4" w:space="0"/>
              <w:right w:val="single" w:color="auto" w:sz="4" w:space="0"/>
            </w:tcBorders>
            <w:shd w:val="clear" w:color="auto" w:fill="auto"/>
            <w:vAlign w:val="center"/>
          </w:tcPr>
          <w:p w14:paraId="08A6FDF5">
            <w:pPr>
              <w:spacing w:line="560" w:lineRule="exact"/>
              <w:rPr>
                <w:rFonts w:ascii="Arial Narrow" w:hAnsi="Arial Narrow" w:eastAsia="仿宋" w:cs="宋体"/>
                <w:sz w:val="32"/>
                <w:szCs w:val="18"/>
              </w:rPr>
            </w:pPr>
            <w:r>
              <w:rPr>
                <w:rFonts w:ascii="Arial Narrow" w:hAnsi="Arial Narrow" w:eastAsia="仿宋" w:cs="宋体"/>
                <w:sz w:val="32"/>
                <w:szCs w:val="18"/>
              </w:rPr>
              <w:t>"019年州级财政专项扶贫资金</w:t>
            </w:r>
          </w:p>
        </w:tc>
        <w:tc>
          <w:tcPr>
            <w:tcW w:w="652" w:type="pct"/>
            <w:tcBorders>
              <w:top w:val="single" w:color="auto" w:sz="4" w:space="0"/>
              <w:left w:val="nil"/>
              <w:bottom w:val="single" w:color="auto" w:sz="4" w:space="0"/>
              <w:right w:val="single" w:color="auto" w:sz="4" w:space="0"/>
            </w:tcBorders>
            <w:vAlign w:val="center"/>
          </w:tcPr>
          <w:p w14:paraId="4FD6E6A2">
            <w:pPr>
              <w:spacing w:line="560" w:lineRule="exact"/>
              <w:jc w:val="center"/>
              <w:rPr>
                <w:rFonts w:ascii="Arial Narrow" w:hAnsi="Arial Narrow" w:eastAsia="仿宋" w:cs="宋体"/>
                <w:sz w:val="32"/>
                <w:szCs w:val="18"/>
              </w:rPr>
            </w:pPr>
            <w:r>
              <w:rPr>
                <w:rFonts w:ascii="Arial Narrow" w:hAnsi="Arial Narrow" w:eastAsia="仿宋" w:cs="宋体"/>
                <w:sz w:val="32"/>
                <w:szCs w:val="18"/>
              </w:rPr>
              <w:t>20</w:t>
            </w:r>
          </w:p>
        </w:tc>
        <w:tc>
          <w:tcPr>
            <w:tcW w:w="500" w:type="pct"/>
            <w:tcBorders>
              <w:top w:val="nil"/>
              <w:left w:val="single" w:color="auto" w:sz="4" w:space="0"/>
              <w:bottom w:val="single" w:color="auto" w:sz="4" w:space="0"/>
              <w:right w:val="single" w:color="auto" w:sz="4" w:space="0"/>
            </w:tcBorders>
            <w:vAlign w:val="center"/>
          </w:tcPr>
          <w:p w14:paraId="13D75DA0">
            <w:pPr>
              <w:spacing w:line="560" w:lineRule="exact"/>
              <w:jc w:val="center"/>
              <w:rPr>
                <w:rFonts w:ascii="Arial Narrow" w:hAnsi="Arial Narrow" w:eastAsia="仿宋" w:cs="宋体"/>
                <w:sz w:val="32"/>
                <w:szCs w:val="18"/>
              </w:rPr>
            </w:pPr>
            <w:r>
              <w:rPr>
                <w:rFonts w:ascii="Arial Narrow" w:hAnsi="Arial Narrow" w:eastAsia="仿宋" w:cs="宋体"/>
                <w:sz w:val="32"/>
                <w:szCs w:val="18"/>
              </w:rPr>
              <w:t>27.29</w:t>
            </w:r>
          </w:p>
        </w:tc>
        <w:tc>
          <w:tcPr>
            <w:tcW w:w="500" w:type="pct"/>
            <w:tcBorders>
              <w:top w:val="nil"/>
              <w:left w:val="nil"/>
              <w:bottom w:val="single" w:color="auto" w:sz="4" w:space="0"/>
              <w:right w:val="single" w:color="auto" w:sz="4" w:space="0"/>
            </w:tcBorders>
            <w:shd w:val="clear" w:color="auto" w:fill="auto"/>
            <w:vAlign w:val="center"/>
          </w:tcPr>
          <w:p w14:paraId="43C6BD7D">
            <w:pPr>
              <w:spacing w:line="560" w:lineRule="exact"/>
              <w:jc w:val="center"/>
              <w:rPr>
                <w:rFonts w:ascii="Arial Narrow" w:hAnsi="Arial Narrow" w:eastAsia="仿宋" w:cs="宋体"/>
                <w:sz w:val="32"/>
                <w:szCs w:val="18"/>
              </w:rPr>
            </w:pPr>
            <w:r>
              <w:rPr>
                <w:rFonts w:ascii="Arial Narrow" w:hAnsi="Arial Narrow" w:eastAsia="仿宋" w:cs="宋体"/>
                <w:sz w:val="32"/>
                <w:szCs w:val="18"/>
              </w:rPr>
              <w:t>22.5</w:t>
            </w:r>
          </w:p>
        </w:tc>
        <w:tc>
          <w:tcPr>
            <w:tcW w:w="437" w:type="pct"/>
            <w:tcBorders>
              <w:top w:val="nil"/>
              <w:left w:val="nil"/>
              <w:bottom w:val="single" w:color="auto" w:sz="4" w:space="0"/>
              <w:right w:val="single" w:color="auto" w:sz="4" w:space="0"/>
            </w:tcBorders>
            <w:shd w:val="clear" w:color="auto" w:fill="auto"/>
            <w:vAlign w:val="center"/>
          </w:tcPr>
          <w:p w14:paraId="2D3C44B8">
            <w:pPr>
              <w:spacing w:line="560" w:lineRule="exact"/>
              <w:jc w:val="center"/>
              <w:rPr>
                <w:rFonts w:ascii="Arial Narrow" w:hAnsi="Arial Narrow" w:eastAsia="仿宋" w:cs="宋体"/>
                <w:sz w:val="32"/>
                <w:szCs w:val="18"/>
              </w:rPr>
            </w:pPr>
            <w:r>
              <w:rPr>
                <w:rFonts w:ascii="Arial Narrow" w:hAnsi="Arial Narrow" w:eastAsia="仿宋" w:cs="宋体"/>
                <w:sz w:val="32"/>
                <w:szCs w:val="18"/>
              </w:rPr>
              <w:t>10</w:t>
            </w:r>
          </w:p>
        </w:tc>
        <w:tc>
          <w:tcPr>
            <w:tcW w:w="416" w:type="pct"/>
            <w:tcBorders>
              <w:top w:val="nil"/>
              <w:left w:val="nil"/>
              <w:bottom w:val="single" w:color="auto" w:sz="4" w:space="0"/>
              <w:right w:val="single" w:color="auto" w:sz="4" w:space="0"/>
            </w:tcBorders>
            <w:shd w:val="clear" w:color="auto" w:fill="auto"/>
            <w:vAlign w:val="center"/>
          </w:tcPr>
          <w:p w14:paraId="797AFD23">
            <w:pPr>
              <w:spacing w:line="560" w:lineRule="exact"/>
              <w:jc w:val="center"/>
              <w:rPr>
                <w:rFonts w:ascii="Arial Narrow" w:hAnsi="Arial Narrow" w:eastAsia="仿宋" w:cs="宋体"/>
                <w:sz w:val="32"/>
                <w:szCs w:val="18"/>
              </w:rPr>
            </w:pPr>
            <w:r>
              <w:rPr>
                <w:rFonts w:ascii="Arial Narrow" w:hAnsi="Arial Narrow" w:eastAsia="仿宋" w:cs="宋体"/>
                <w:sz w:val="32"/>
                <w:szCs w:val="18"/>
              </w:rPr>
              <w:t>15</w:t>
            </w:r>
          </w:p>
        </w:tc>
        <w:tc>
          <w:tcPr>
            <w:tcW w:w="343" w:type="pct"/>
            <w:tcBorders>
              <w:top w:val="nil"/>
              <w:left w:val="nil"/>
              <w:bottom w:val="single" w:color="auto" w:sz="4" w:space="0"/>
              <w:right w:val="single" w:color="auto" w:sz="4" w:space="0"/>
            </w:tcBorders>
            <w:shd w:val="clear" w:color="auto" w:fill="auto"/>
            <w:vAlign w:val="center"/>
          </w:tcPr>
          <w:p w14:paraId="5D71D962">
            <w:pPr>
              <w:spacing w:line="560" w:lineRule="exact"/>
              <w:jc w:val="center"/>
              <w:rPr>
                <w:rFonts w:ascii="Arial Narrow" w:hAnsi="Arial Narrow" w:eastAsia="仿宋" w:cs="宋体"/>
                <w:sz w:val="32"/>
                <w:szCs w:val="18"/>
              </w:rPr>
            </w:pPr>
            <w:r>
              <w:rPr>
                <w:rFonts w:ascii="Arial Narrow" w:hAnsi="Arial Narrow" w:eastAsia="仿宋" w:cs="宋体"/>
                <w:sz w:val="32"/>
                <w:szCs w:val="18"/>
              </w:rPr>
              <w:t>94.79</w:t>
            </w:r>
          </w:p>
        </w:tc>
        <w:tc>
          <w:tcPr>
            <w:tcW w:w="123" w:type="pct"/>
            <w:vAlign w:val="center"/>
          </w:tcPr>
          <w:p w14:paraId="1A68A349">
            <w:pPr>
              <w:spacing w:line="560" w:lineRule="exact"/>
              <w:rPr>
                <w:rFonts w:ascii="Arial Narrow" w:hAnsi="Arial Narrow" w:eastAsia="仿宋"/>
                <w:sz w:val="32"/>
                <w:szCs w:val="18"/>
              </w:rPr>
            </w:pPr>
          </w:p>
        </w:tc>
      </w:tr>
      <w:tr w14:paraId="3B83EDFC">
        <w:tblPrEx>
          <w:tblCellMar>
            <w:top w:w="0" w:type="dxa"/>
            <w:left w:w="108" w:type="dxa"/>
            <w:bottom w:w="0" w:type="dxa"/>
            <w:right w:w="108" w:type="dxa"/>
          </w:tblCellMar>
        </w:tblPrEx>
        <w:trPr>
          <w:trHeight w:val="360" w:hRule="atLeast"/>
        </w:trPr>
        <w:tc>
          <w:tcPr>
            <w:tcW w:w="250" w:type="pct"/>
            <w:tcBorders>
              <w:top w:val="nil"/>
              <w:left w:val="single" w:color="auto" w:sz="4" w:space="0"/>
              <w:bottom w:val="single" w:color="auto" w:sz="4" w:space="0"/>
              <w:right w:val="single" w:color="auto" w:sz="4" w:space="0"/>
            </w:tcBorders>
            <w:shd w:val="clear" w:color="auto" w:fill="auto"/>
            <w:vAlign w:val="center"/>
          </w:tcPr>
          <w:p w14:paraId="2029FC1E">
            <w:pPr>
              <w:spacing w:line="560" w:lineRule="exact"/>
              <w:rPr>
                <w:rFonts w:ascii="Arial Narrow" w:hAnsi="Arial Narrow" w:eastAsia="仿宋" w:cs="宋体"/>
                <w:bCs/>
                <w:sz w:val="32"/>
                <w:szCs w:val="18"/>
              </w:rPr>
            </w:pPr>
            <w:r>
              <w:rPr>
                <w:rFonts w:ascii="Arial Narrow" w:hAnsi="Arial Narrow" w:eastAsia="仿宋" w:cs="宋体"/>
                <w:bCs/>
                <w:sz w:val="32"/>
                <w:szCs w:val="18"/>
              </w:rPr>
              <w:t>　</w:t>
            </w:r>
          </w:p>
        </w:tc>
        <w:tc>
          <w:tcPr>
            <w:tcW w:w="1778" w:type="pct"/>
            <w:tcBorders>
              <w:top w:val="nil"/>
              <w:left w:val="nil"/>
              <w:bottom w:val="single" w:color="auto" w:sz="4" w:space="0"/>
              <w:right w:val="single" w:color="auto" w:sz="4" w:space="0"/>
            </w:tcBorders>
            <w:shd w:val="clear" w:color="auto" w:fill="auto"/>
            <w:vAlign w:val="center"/>
          </w:tcPr>
          <w:p w14:paraId="4E8824C6">
            <w:pPr>
              <w:spacing w:line="560" w:lineRule="exact"/>
              <w:jc w:val="center"/>
              <w:rPr>
                <w:rFonts w:ascii="Arial Narrow" w:hAnsi="Arial Narrow" w:eastAsia="仿宋" w:cs="宋体"/>
                <w:bCs/>
                <w:sz w:val="32"/>
                <w:szCs w:val="18"/>
              </w:rPr>
            </w:pPr>
            <w:r>
              <w:rPr>
                <w:rFonts w:ascii="Arial Narrow" w:hAnsi="Arial Narrow" w:eastAsia="仿宋" w:cs="宋体"/>
                <w:bCs/>
                <w:sz w:val="32"/>
                <w:szCs w:val="18"/>
              </w:rPr>
              <w:t>各项指标平均分</w:t>
            </w:r>
          </w:p>
        </w:tc>
        <w:tc>
          <w:tcPr>
            <w:tcW w:w="652" w:type="pct"/>
            <w:tcBorders>
              <w:top w:val="single" w:color="auto" w:sz="4" w:space="0"/>
              <w:left w:val="nil"/>
              <w:bottom w:val="single" w:color="auto" w:sz="4" w:space="0"/>
              <w:right w:val="single" w:color="auto" w:sz="4" w:space="0"/>
            </w:tcBorders>
            <w:vAlign w:val="center"/>
          </w:tcPr>
          <w:p w14:paraId="1402C9D7">
            <w:pPr>
              <w:spacing w:line="560" w:lineRule="exact"/>
              <w:jc w:val="center"/>
              <w:rPr>
                <w:rFonts w:ascii="Arial Narrow" w:hAnsi="Arial Narrow" w:eastAsia="仿宋" w:cs="宋体"/>
                <w:sz w:val="32"/>
                <w:szCs w:val="18"/>
              </w:rPr>
            </w:pPr>
            <w:r>
              <w:rPr>
                <w:rFonts w:ascii="Arial Narrow" w:hAnsi="Arial Narrow" w:eastAsia="仿宋" w:cs="宋体"/>
                <w:sz w:val="32"/>
                <w:szCs w:val="18"/>
              </w:rPr>
              <w:t>20</w:t>
            </w:r>
          </w:p>
        </w:tc>
        <w:tc>
          <w:tcPr>
            <w:tcW w:w="500" w:type="pct"/>
            <w:tcBorders>
              <w:top w:val="nil"/>
              <w:left w:val="single" w:color="auto" w:sz="4" w:space="0"/>
              <w:bottom w:val="single" w:color="auto" w:sz="4" w:space="0"/>
              <w:right w:val="single" w:color="auto" w:sz="4" w:space="0"/>
            </w:tcBorders>
            <w:vAlign w:val="center"/>
          </w:tcPr>
          <w:p w14:paraId="71F11E2E">
            <w:pPr>
              <w:spacing w:line="560" w:lineRule="exact"/>
              <w:jc w:val="center"/>
              <w:rPr>
                <w:rFonts w:ascii="Arial Narrow" w:hAnsi="Arial Narrow" w:eastAsia="仿宋" w:cs="宋体"/>
                <w:sz w:val="32"/>
                <w:szCs w:val="18"/>
              </w:rPr>
            </w:pPr>
            <w:r>
              <w:rPr>
                <w:rFonts w:ascii="Arial Narrow" w:hAnsi="Arial Narrow" w:eastAsia="仿宋" w:cs="宋体"/>
                <w:sz w:val="32"/>
                <w:szCs w:val="18"/>
              </w:rPr>
              <w:t>22.16</w:t>
            </w:r>
          </w:p>
        </w:tc>
        <w:tc>
          <w:tcPr>
            <w:tcW w:w="500" w:type="pct"/>
            <w:tcBorders>
              <w:top w:val="nil"/>
              <w:left w:val="nil"/>
              <w:bottom w:val="single" w:color="auto" w:sz="4" w:space="0"/>
              <w:right w:val="single" w:color="auto" w:sz="4" w:space="0"/>
            </w:tcBorders>
            <w:shd w:val="clear" w:color="auto" w:fill="auto"/>
            <w:vAlign w:val="center"/>
          </w:tcPr>
          <w:p w14:paraId="204E08CC">
            <w:pPr>
              <w:spacing w:line="560" w:lineRule="exact"/>
              <w:jc w:val="center"/>
              <w:rPr>
                <w:rFonts w:ascii="Arial Narrow" w:hAnsi="Arial Narrow" w:eastAsia="仿宋" w:cs="宋体"/>
                <w:sz w:val="32"/>
                <w:szCs w:val="18"/>
              </w:rPr>
            </w:pPr>
            <w:r>
              <w:rPr>
                <w:rFonts w:ascii="Arial Narrow" w:hAnsi="Arial Narrow" w:eastAsia="仿宋" w:cs="宋体"/>
                <w:sz w:val="32"/>
                <w:szCs w:val="18"/>
              </w:rPr>
              <w:t>21.67</w:t>
            </w:r>
          </w:p>
        </w:tc>
        <w:tc>
          <w:tcPr>
            <w:tcW w:w="437" w:type="pct"/>
            <w:tcBorders>
              <w:top w:val="nil"/>
              <w:left w:val="nil"/>
              <w:bottom w:val="single" w:color="auto" w:sz="4" w:space="0"/>
              <w:right w:val="single" w:color="auto" w:sz="4" w:space="0"/>
            </w:tcBorders>
            <w:shd w:val="clear" w:color="auto" w:fill="auto"/>
          </w:tcPr>
          <w:p w14:paraId="1CA3B4D3">
            <w:pPr>
              <w:spacing w:line="560" w:lineRule="exact"/>
              <w:jc w:val="center"/>
              <w:rPr>
                <w:rFonts w:ascii="Arial Narrow" w:hAnsi="Arial Narrow" w:eastAsia="仿宋" w:cs="宋体"/>
                <w:sz w:val="32"/>
                <w:szCs w:val="18"/>
              </w:rPr>
            </w:pPr>
            <w:r>
              <w:rPr>
                <w:rFonts w:ascii="Arial Narrow" w:hAnsi="Arial Narrow" w:eastAsia="仿宋" w:cs="宋体"/>
                <w:sz w:val="32"/>
                <w:szCs w:val="18"/>
              </w:rPr>
              <w:t>9.4</w:t>
            </w:r>
          </w:p>
        </w:tc>
        <w:tc>
          <w:tcPr>
            <w:tcW w:w="416" w:type="pct"/>
            <w:tcBorders>
              <w:top w:val="nil"/>
              <w:left w:val="nil"/>
              <w:bottom w:val="single" w:color="auto" w:sz="4" w:space="0"/>
              <w:right w:val="single" w:color="auto" w:sz="4" w:space="0"/>
            </w:tcBorders>
            <w:shd w:val="clear" w:color="auto" w:fill="auto"/>
          </w:tcPr>
          <w:p w14:paraId="7FD249B4">
            <w:pPr>
              <w:spacing w:line="560" w:lineRule="exact"/>
              <w:jc w:val="center"/>
              <w:rPr>
                <w:rFonts w:ascii="Arial Narrow" w:hAnsi="Arial Narrow" w:eastAsia="仿宋" w:cs="宋体"/>
                <w:sz w:val="32"/>
                <w:szCs w:val="18"/>
              </w:rPr>
            </w:pPr>
            <w:r>
              <w:rPr>
                <w:rFonts w:ascii="Arial Narrow" w:hAnsi="Arial Narrow" w:eastAsia="仿宋" w:cs="宋体"/>
                <w:sz w:val="32"/>
                <w:szCs w:val="18"/>
              </w:rPr>
              <w:t>15</w:t>
            </w:r>
          </w:p>
        </w:tc>
        <w:tc>
          <w:tcPr>
            <w:tcW w:w="343" w:type="pct"/>
            <w:tcBorders>
              <w:top w:val="nil"/>
              <w:left w:val="nil"/>
              <w:bottom w:val="single" w:color="auto" w:sz="4" w:space="0"/>
              <w:right w:val="single" w:color="auto" w:sz="4" w:space="0"/>
            </w:tcBorders>
            <w:shd w:val="clear" w:color="auto" w:fill="auto"/>
          </w:tcPr>
          <w:p w14:paraId="2E7BECB7">
            <w:pPr>
              <w:spacing w:line="560" w:lineRule="exact"/>
              <w:jc w:val="center"/>
              <w:rPr>
                <w:rFonts w:ascii="Arial Narrow" w:hAnsi="Arial Narrow" w:eastAsia="仿宋" w:cs="宋体"/>
                <w:sz w:val="32"/>
                <w:szCs w:val="18"/>
              </w:rPr>
            </w:pPr>
            <w:r>
              <w:rPr>
                <w:rFonts w:ascii="Arial Narrow" w:hAnsi="Arial Narrow" w:eastAsia="仿宋" w:cs="宋体"/>
                <w:sz w:val="32"/>
                <w:szCs w:val="18"/>
              </w:rPr>
              <w:t>88.23</w:t>
            </w:r>
          </w:p>
        </w:tc>
        <w:tc>
          <w:tcPr>
            <w:tcW w:w="123" w:type="pct"/>
            <w:vAlign w:val="center"/>
          </w:tcPr>
          <w:p w14:paraId="2DC6C0EB">
            <w:pPr>
              <w:spacing w:line="560" w:lineRule="exact"/>
              <w:rPr>
                <w:rFonts w:ascii="Arial Narrow" w:hAnsi="Arial Narrow" w:eastAsia="仿宋"/>
                <w:bCs/>
                <w:sz w:val="32"/>
                <w:szCs w:val="18"/>
              </w:rPr>
            </w:pPr>
          </w:p>
        </w:tc>
      </w:tr>
    </w:tbl>
    <w:p w14:paraId="6D5ADDEB">
      <w:pPr>
        <w:spacing w:line="560" w:lineRule="exact"/>
        <w:rPr>
          <w:rFonts w:hint="eastAsia" w:eastAsia="仿宋"/>
          <w:sz w:val="32"/>
        </w:rPr>
      </w:pPr>
    </w:p>
    <w:p w14:paraId="62A29389">
      <w:pPr>
        <w:widowControl w:val="0"/>
        <w:kinsoku/>
        <w:autoSpaceDE/>
        <w:autoSpaceDN/>
        <w:adjustRightInd/>
        <w:snapToGrid/>
        <w:spacing w:line="560" w:lineRule="exact"/>
        <w:ind w:firstLine="640" w:firstLineChars="200"/>
        <w:jc w:val="both"/>
        <w:textAlignment w:val="auto"/>
        <w:rPr>
          <w:rFonts w:ascii="仿宋_GB2312" w:hAnsi="宋体" w:eastAsia="仿宋" w:cs="宋体"/>
          <w:snapToGrid/>
          <w:sz w:val="32"/>
          <w:szCs w:val="28"/>
          <w:shd w:val="clear" w:color="auto" w:fill="FFFFFF"/>
        </w:rPr>
      </w:pPr>
    </w:p>
    <w:p w14:paraId="2897B365">
      <w:pPr>
        <w:spacing w:line="560" w:lineRule="exact"/>
        <w:rPr>
          <w:rFonts w:hint="eastAsia" w:eastAsia="仿宋"/>
          <w:sz w:val="32"/>
          <w:highlight w:val="yellow"/>
        </w:rPr>
      </w:pPr>
    </w:p>
    <w:p w14:paraId="6BB2DED8">
      <w:pPr>
        <w:spacing w:line="560" w:lineRule="exact"/>
        <w:ind w:firstLine="640" w:firstLineChars="200"/>
        <w:rPr>
          <w:rFonts w:hint="eastAsia" w:ascii="仿宋" w:hAnsi="仿宋" w:eastAsia="仿宋"/>
          <w:sz w:val="32"/>
          <w:szCs w:val="32"/>
        </w:rPr>
      </w:pPr>
    </w:p>
    <w:p w14:paraId="2787AFCB">
      <w:pPr>
        <w:spacing w:line="560" w:lineRule="exact"/>
        <w:ind w:firstLine="640" w:firstLineChars="200"/>
        <w:rPr>
          <w:rFonts w:ascii="仿宋" w:hAnsi="仿宋" w:eastAsia="仿宋"/>
          <w:sz w:val="32"/>
          <w:szCs w:val="32"/>
        </w:rPr>
      </w:pPr>
    </w:p>
    <w:sectPr>
      <w:footerReference r:id="rId10" w:type="default"/>
      <w:pgSz w:w="11907" w:h="16839"/>
      <w:pgMar w:top="1256" w:right="875" w:bottom="1072" w:left="1401" w:header="0" w:footer="85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09DA8">
    <w:pPr>
      <w:pStyle w:val="12"/>
      <w:ind w:right="360" w:firstLine="3060" w:firstLineChars="170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4A9B">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7193C">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070D2">
    <w:pPr>
      <w:pStyle w:val="12"/>
      <w:ind w:right="360" w:firstLine="3060" w:firstLineChars="1700"/>
      <w:rPr>
        <w:rFonts w:hint="eastAsia"/>
      </w:rPr>
    </w:pPr>
    <w:r>
      <w:rPr>
        <w:snapToGrid w:val="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72185" cy="222250"/>
              <wp:effectExtent l="2540" t="0" r="0" b="0"/>
              <wp:wrapNone/>
              <wp:docPr id="126" name="文本框 126"/>
              <wp:cNvGraphicFramePr/>
              <a:graphic xmlns:a="http://schemas.openxmlformats.org/drawingml/2006/main">
                <a:graphicData uri="http://schemas.microsoft.com/office/word/2010/wordprocessingShape">
                  <wps:wsp>
                    <wps:cNvSpPr txBox="1">
                      <a:spLocks noChangeArrowheads="1"/>
                    </wps:cNvSpPr>
                    <wps:spPr bwMode="auto">
                      <a:xfrm>
                        <a:off x="0" y="0"/>
                        <a:ext cx="972185" cy="222250"/>
                      </a:xfrm>
                      <a:prstGeom prst="rect">
                        <a:avLst/>
                      </a:prstGeom>
                      <a:noFill/>
                      <a:ln>
                        <a:noFill/>
                      </a:ln>
                    </wps:spPr>
                    <wps:txbx>
                      <w:txbxContent>
                        <w:p w14:paraId="7105ACDA">
                          <w:pPr>
                            <w:pStyle w:val="12"/>
                            <w:ind w:firstLine="0" w:firstLineChars="0"/>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83</w:t>
                          </w:r>
                          <w:r>
                            <w:rPr>
                              <w:rFonts w:hint="eastAsia"/>
                            </w:rPr>
                            <w:fldChar w:fldCharType="end"/>
                          </w:r>
                          <w:r>
                            <w:rPr>
                              <w:rFonts w:hint="eastAsia"/>
                            </w:rPr>
                            <w:t xml:space="preserve"> 页 共 31 页</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7.5pt;width:76.55pt;mso-position-horizontal:center;mso-position-horizontal-relative:margin;mso-wrap-style:none;z-index:251659264;mso-width-relative:page;mso-height-relative:page;" filled="f" stroked="f" coordsize="21600,21600" o:gfxdata="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&#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WBQto0gAAAAQBAAAPAAAAAAAAAAEAIAAAACIAAABk&#10;cnMvZG93bnJldi54bWxQSwECFAAUAAAACACHTuJAn0m/KQwCAAAGBAAADgAAAAAAAAABACAAAAAh&#10;AQAAZHJzL2Uyb0RvYy54bWxQSwUGAAAAAAYABgBZAQAAnwUAAAAA&#10;">
              <v:fill on="f" focussize="0,0"/>
              <v:stroke on="f"/>
              <v:imagedata o:title=""/>
              <o:lock v:ext="edit" aspectratio="f"/>
              <v:textbox inset="0mm,0mm,0mm,0mm" style="mso-fit-shape-to-text:t;">
                <w:txbxContent>
                  <w:p w14:paraId="7105ACDA">
                    <w:pPr>
                      <w:pStyle w:val="12"/>
                      <w:ind w:firstLine="0" w:firstLineChars="0"/>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83</w:t>
                    </w:r>
                    <w:r>
                      <w:rPr>
                        <w:rFonts w:hint="eastAsia"/>
                      </w:rPr>
                      <w:fldChar w:fldCharType="end"/>
                    </w:r>
                    <w:r>
                      <w:rPr>
                        <w:rFonts w:hint="eastAsia"/>
                      </w:rPr>
                      <w:t xml:space="preserve"> 页 共 31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EE4C7">
    <w:pPr>
      <w:spacing w:line="210" w:lineRule="auto"/>
      <w:ind w:left="4070"/>
      <w:rPr>
        <w:sz w:val="17"/>
        <w:szCs w:val="17"/>
      </w:rPr>
    </w:pPr>
    <w:r>
      <w:rPr>
        <w:rFonts w:eastAsia="Arial"/>
        <w:spacing w:val="9"/>
        <w:sz w:val="17"/>
        <w:szCs w:val="17"/>
      </w:rPr>
      <w:t>10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E1C70">
    <w:pPr>
      <w:pStyle w:val="13"/>
      <w:ind w:firstLine="0" w:firstLineChars="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32262">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46BC2">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docVars>
    <w:docVar w:name="commondata" w:val="eyJoZGlkIjoiNTk0ODMzMzE5ZjFhNjQzY2Q3ZGEzYjkyNmI3ODUzYjAifQ=="/>
  </w:docVars>
  <w:rsids>
    <w:rsidRoot w:val="009D3C51"/>
    <w:rsid w:val="0014445B"/>
    <w:rsid w:val="001770FF"/>
    <w:rsid w:val="004A76D0"/>
    <w:rsid w:val="00547775"/>
    <w:rsid w:val="00646323"/>
    <w:rsid w:val="00646A83"/>
    <w:rsid w:val="007C7F94"/>
    <w:rsid w:val="009024B2"/>
    <w:rsid w:val="009D3C51"/>
    <w:rsid w:val="00A32BAD"/>
    <w:rsid w:val="00B33D19"/>
    <w:rsid w:val="00EA5178"/>
    <w:rsid w:val="00FC7C59"/>
    <w:rsid w:val="1BA13BC9"/>
    <w:rsid w:val="4ABA7398"/>
    <w:rsid w:val="4ABB5869"/>
    <w:rsid w:val="4B0B52AF"/>
    <w:rsid w:val="4E280BEC"/>
    <w:rsid w:val="604C202F"/>
    <w:rsid w:val="6A624A2F"/>
    <w:rsid w:val="7A5F5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99" w:name="envelope address"/>
    <w:lsdException w:uiPriority="99" w:name="envelope return"/>
    <w:lsdException w:uiPriority="99" w:name="footnote reference"/>
    <w:lsdException w:uiPriority="0"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paragraph" w:styleId="2">
    <w:name w:val="heading 1"/>
    <w:basedOn w:val="1"/>
    <w:next w:val="1"/>
    <w:link w:val="17"/>
    <w:qFormat/>
    <w:uiPriority w:val="0"/>
    <w:pPr>
      <w:widowControl w:val="0"/>
      <w:kinsoku/>
      <w:autoSpaceDE/>
      <w:autoSpaceDN/>
      <w:adjustRightInd/>
      <w:spacing w:before="50" w:beforeLines="50" w:after="50" w:afterLines="50"/>
      <w:ind w:firstLine="1040" w:firstLineChars="200"/>
      <w:textAlignment w:val="auto"/>
      <w:outlineLvl w:val="0"/>
    </w:pPr>
    <w:rPr>
      <w:rFonts w:ascii="宋体" w:hAnsi="宋体" w:eastAsia="黑体" w:cs="Times New Roman"/>
      <w:b/>
      <w:snapToGrid/>
      <w:color w:val="auto"/>
      <w:kern w:val="2"/>
      <w:sz w:val="28"/>
      <w:szCs w:val="44"/>
    </w:rPr>
  </w:style>
  <w:style w:type="paragraph" w:styleId="3">
    <w:name w:val="heading 2"/>
    <w:basedOn w:val="1"/>
    <w:next w:val="1"/>
    <w:link w:val="18"/>
    <w:qFormat/>
    <w:uiPriority w:val="0"/>
    <w:pPr>
      <w:keepNext/>
      <w:keepLines/>
      <w:widowControl w:val="0"/>
      <w:kinsoku/>
      <w:autoSpaceDE/>
      <w:autoSpaceDN/>
      <w:adjustRightInd/>
      <w:snapToGrid/>
      <w:spacing w:before="260" w:after="260" w:line="416" w:lineRule="auto"/>
      <w:ind w:firstLine="1040" w:firstLineChars="200"/>
      <w:jc w:val="both"/>
      <w:textAlignment w:val="auto"/>
      <w:outlineLvl w:val="1"/>
    </w:pPr>
    <w:rPr>
      <w:rFonts w:ascii="等线 Light" w:hAnsi="等线 Light" w:eastAsia="等线 Light" w:cs="Times New Roman"/>
      <w:b/>
      <w:bCs/>
      <w:snapToGrid/>
      <w:color w:val="auto"/>
      <w:kern w:val="2"/>
      <w:sz w:val="32"/>
      <w:szCs w:val="32"/>
    </w:rPr>
  </w:style>
  <w:style w:type="paragraph" w:styleId="4">
    <w:name w:val="heading 3"/>
    <w:basedOn w:val="1"/>
    <w:next w:val="1"/>
    <w:link w:val="19"/>
    <w:qFormat/>
    <w:uiPriority w:val="0"/>
    <w:pPr>
      <w:keepNext/>
      <w:keepLines/>
      <w:widowControl w:val="0"/>
      <w:kinsoku/>
      <w:autoSpaceDE/>
      <w:autoSpaceDN/>
      <w:adjustRightInd/>
      <w:snapToGrid/>
      <w:spacing w:before="260" w:after="260" w:line="416" w:lineRule="auto"/>
      <w:ind w:firstLine="1040" w:firstLineChars="200"/>
      <w:jc w:val="both"/>
      <w:textAlignment w:val="auto"/>
      <w:outlineLvl w:val="2"/>
    </w:pPr>
    <w:rPr>
      <w:rFonts w:ascii="Times New Roman" w:hAnsi="Times New Roman" w:eastAsia="宋体" w:cs="Times New Roman"/>
      <w:b/>
      <w:bCs/>
      <w:snapToGrid/>
      <w:color w:val="auto"/>
      <w:kern w:val="2"/>
      <w:sz w:val="32"/>
      <w:szCs w:val="32"/>
    </w:rPr>
  </w:style>
  <w:style w:type="paragraph" w:styleId="5">
    <w:name w:val="heading 4"/>
    <w:basedOn w:val="1"/>
    <w:next w:val="1"/>
    <w:link w:val="20"/>
    <w:qFormat/>
    <w:uiPriority w:val="0"/>
    <w:pPr>
      <w:keepNext/>
      <w:keepLines/>
      <w:kinsoku/>
      <w:autoSpaceDE/>
      <w:autoSpaceDN/>
      <w:adjustRightInd/>
      <w:snapToGrid/>
      <w:spacing w:after="104" w:line="256" w:lineRule="auto"/>
      <w:ind w:left="10" w:hanging="10" w:firstLineChars="200"/>
      <w:textAlignment w:val="auto"/>
      <w:outlineLvl w:val="3"/>
    </w:pPr>
    <w:rPr>
      <w:rFonts w:ascii="微软雅黑" w:hAnsi="微软雅黑" w:eastAsia="微软雅黑" w:cs="Times New Roman"/>
      <w:snapToGrid/>
      <w:kern w:val="2"/>
      <w:sz w:val="30"/>
      <w:szCs w:val="2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0"/>
    <w:qFormat/>
    <w:uiPriority w:val="0"/>
    <w:pPr>
      <w:widowControl w:val="0"/>
      <w:kinsoku/>
      <w:autoSpaceDE/>
      <w:autoSpaceDN/>
      <w:adjustRightInd/>
      <w:snapToGrid/>
      <w:spacing w:line="360" w:lineRule="auto"/>
      <w:ind w:firstLine="1040" w:firstLineChars="200"/>
      <w:jc w:val="both"/>
      <w:textAlignment w:val="auto"/>
    </w:pPr>
    <w:rPr>
      <w:kern w:val="2"/>
      <w:sz w:val="24"/>
      <w:szCs w:val="24"/>
    </w:rPr>
  </w:style>
  <w:style w:type="paragraph" w:styleId="7">
    <w:name w:val="annotation text"/>
    <w:basedOn w:val="1"/>
    <w:link w:val="27"/>
    <w:uiPriority w:val="0"/>
    <w:pPr>
      <w:widowControl w:val="0"/>
      <w:kinsoku/>
      <w:autoSpaceDE/>
      <w:autoSpaceDN/>
      <w:adjustRightInd/>
      <w:snapToGrid/>
      <w:spacing w:line="360" w:lineRule="auto"/>
      <w:ind w:firstLine="1040" w:firstLineChars="200"/>
      <w:textAlignment w:val="auto"/>
    </w:pPr>
    <w:rPr>
      <w:kern w:val="2"/>
      <w:sz w:val="24"/>
      <w:szCs w:val="24"/>
    </w:rPr>
  </w:style>
  <w:style w:type="paragraph" w:styleId="8">
    <w:name w:val="Body Text Indent"/>
    <w:basedOn w:val="1"/>
    <w:link w:val="33"/>
    <w:qFormat/>
    <w:uiPriority w:val="0"/>
    <w:pPr>
      <w:widowControl w:val="0"/>
      <w:kinsoku/>
      <w:autoSpaceDE/>
      <w:autoSpaceDN/>
      <w:adjustRightInd/>
      <w:snapToGrid/>
      <w:spacing w:line="360" w:lineRule="auto"/>
      <w:ind w:left="482" w:firstLine="1040" w:firstLineChars="200"/>
      <w:jc w:val="both"/>
      <w:textAlignment w:val="auto"/>
    </w:pPr>
    <w:rPr>
      <w:rFonts w:ascii="宋体" w:hAnsi="宋体" w:eastAsia="宋体" w:cs="Times New Roman"/>
      <w:b/>
      <w:bCs/>
      <w:snapToGrid/>
      <w:color w:val="auto"/>
      <w:kern w:val="2"/>
      <w:sz w:val="24"/>
      <w:szCs w:val="24"/>
    </w:rPr>
  </w:style>
  <w:style w:type="paragraph" w:styleId="9">
    <w:name w:val="Plain Text"/>
    <w:basedOn w:val="1"/>
    <w:link w:val="36"/>
    <w:uiPriority w:val="0"/>
    <w:pPr>
      <w:widowControl w:val="0"/>
      <w:kinsoku/>
      <w:autoSpaceDE/>
      <w:autoSpaceDN/>
      <w:adjustRightInd/>
      <w:snapToGrid/>
      <w:spacing w:line="360" w:lineRule="auto"/>
      <w:ind w:firstLine="1040" w:firstLineChars="200"/>
      <w:jc w:val="both"/>
      <w:textAlignment w:val="auto"/>
    </w:pPr>
    <w:rPr>
      <w:rFonts w:ascii="宋体" w:hAnsi="Courier New" w:eastAsia="宋体" w:cs="Times New Roman"/>
      <w:snapToGrid/>
      <w:color w:val="auto"/>
      <w:kern w:val="2"/>
    </w:rPr>
  </w:style>
  <w:style w:type="paragraph" w:styleId="10">
    <w:name w:val="Body Text Indent 2"/>
    <w:basedOn w:val="1"/>
    <w:link w:val="32"/>
    <w:qFormat/>
    <w:uiPriority w:val="0"/>
    <w:pPr>
      <w:widowControl w:val="0"/>
      <w:kinsoku/>
      <w:autoSpaceDE/>
      <w:autoSpaceDN/>
      <w:adjustRightInd/>
      <w:snapToGrid/>
      <w:spacing w:line="360" w:lineRule="auto"/>
      <w:ind w:firstLine="570" w:firstLineChars="200"/>
      <w:jc w:val="both"/>
      <w:textAlignment w:val="auto"/>
    </w:pPr>
    <w:rPr>
      <w:rFonts w:ascii="楷体_GB2312" w:hAnsi="Times New Roman" w:eastAsia="楷体_GB2312" w:cs="Times New Roman"/>
      <w:snapToGrid/>
      <w:color w:val="auto"/>
      <w:kern w:val="2"/>
      <w:sz w:val="24"/>
      <w:szCs w:val="20"/>
    </w:rPr>
  </w:style>
  <w:style w:type="paragraph" w:styleId="11">
    <w:name w:val="Balloon Text"/>
    <w:basedOn w:val="1"/>
    <w:link w:val="22"/>
    <w:unhideWhenUsed/>
    <w:uiPriority w:val="0"/>
    <w:rPr>
      <w:sz w:val="18"/>
      <w:szCs w:val="18"/>
    </w:rPr>
  </w:style>
  <w:style w:type="paragraph" w:styleId="12">
    <w:name w:val="footer"/>
    <w:basedOn w:val="1"/>
    <w:link w:val="37"/>
    <w:qFormat/>
    <w:uiPriority w:val="0"/>
    <w:pPr>
      <w:widowControl w:val="0"/>
      <w:tabs>
        <w:tab w:val="center" w:pos="4153"/>
        <w:tab w:val="right" w:pos="8306"/>
      </w:tabs>
      <w:kinsoku/>
      <w:autoSpaceDE/>
      <w:autoSpaceDN/>
      <w:adjustRightInd/>
      <w:spacing w:line="360" w:lineRule="auto"/>
      <w:ind w:firstLine="1040" w:firstLineChars="200"/>
      <w:textAlignment w:val="auto"/>
    </w:pPr>
    <w:rPr>
      <w:rFonts w:ascii="Times New Roman" w:hAnsi="Times New Roman" w:eastAsia="宋体" w:cs="Times New Roman"/>
      <w:snapToGrid/>
      <w:color w:val="auto"/>
      <w:kern w:val="2"/>
      <w:sz w:val="18"/>
      <w:szCs w:val="18"/>
    </w:rPr>
  </w:style>
  <w:style w:type="paragraph" w:styleId="13">
    <w:name w:val="header"/>
    <w:basedOn w:val="1"/>
    <w:link w:val="28"/>
    <w:qFormat/>
    <w:uiPriority w:val="0"/>
    <w:pPr>
      <w:widowControl w:val="0"/>
      <w:pBdr>
        <w:bottom w:val="single" w:color="auto" w:sz="6" w:space="1"/>
      </w:pBdr>
      <w:tabs>
        <w:tab w:val="center" w:pos="4153"/>
        <w:tab w:val="right" w:pos="8306"/>
      </w:tabs>
      <w:kinsoku/>
      <w:autoSpaceDE/>
      <w:autoSpaceDN/>
      <w:adjustRightInd/>
      <w:spacing w:line="360" w:lineRule="auto"/>
      <w:ind w:firstLine="1040" w:firstLineChars="200"/>
      <w:jc w:val="center"/>
      <w:textAlignment w:val="auto"/>
    </w:pPr>
    <w:rPr>
      <w:kern w:val="2"/>
      <w:sz w:val="18"/>
      <w:szCs w:val="18"/>
    </w:rPr>
  </w:style>
  <w:style w:type="paragraph" w:styleId="14">
    <w:name w:val="annotation subject"/>
    <w:basedOn w:val="7"/>
    <w:next w:val="7"/>
    <w:link w:val="29"/>
    <w:qFormat/>
    <w:uiPriority w:val="0"/>
    <w:rPr>
      <w:b/>
      <w:bCs/>
    </w:rPr>
  </w:style>
  <w:style w:type="character" w:customStyle="1" w:styleId="17">
    <w:name w:val="标题 1 字符"/>
    <w:link w:val="2"/>
    <w:qFormat/>
    <w:uiPriority w:val="0"/>
    <w:rPr>
      <w:rFonts w:ascii="宋体" w:hAnsi="宋体" w:eastAsia="黑体" w:cs="Times New Roman"/>
      <w:b/>
      <w:snapToGrid/>
      <w:color w:val="auto"/>
      <w:kern w:val="2"/>
      <w:sz w:val="28"/>
      <w:szCs w:val="44"/>
    </w:rPr>
  </w:style>
  <w:style w:type="character" w:customStyle="1" w:styleId="18">
    <w:name w:val="标题 2 字符"/>
    <w:link w:val="3"/>
    <w:uiPriority w:val="0"/>
    <w:rPr>
      <w:rFonts w:ascii="等线 Light" w:hAnsi="等线 Light" w:eastAsia="等线 Light" w:cs="Times New Roman"/>
      <w:b/>
      <w:bCs/>
      <w:snapToGrid/>
      <w:color w:val="auto"/>
      <w:kern w:val="2"/>
      <w:sz w:val="32"/>
      <w:szCs w:val="32"/>
    </w:rPr>
  </w:style>
  <w:style w:type="character" w:customStyle="1" w:styleId="19">
    <w:name w:val="标题 3 字符"/>
    <w:link w:val="4"/>
    <w:uiPriority w:val="0"/>
    <w:rPr>
      <w:rFonts w:ascii="Times New Roman" w:hAnsi="Times New Roman" w:eastAsia="宋体" w:cs="Times New Roman"/>
      <w:b/>
      <w:bCs/>
      <w:snapToGrid/>
      <w:color w:val="auto"/>
      <w:kern w:val="2"/>
      <w:sz w:val="32"/>
      <w:szCs w:val="32"/>
    </w:rPr>
  </w:style>
  <w:style w:type="character" w:customStyle="1" w:styleId="20">
    <w:name w:val="标题 4 字符"/>
    <w:link w:val="5"/>
    <w:qFormat/>
    <w:uiPriority w:val="0"/>
    <w:rPr>
      <w:rFonts w:ascii="微软雅黑" w:hAnsi="微软雅黑" w:eastAsia="微软雅黑" w:cs="Times New Roman"/>
      <w:snapToGrid/>
      <w:kern w:val="2"/>
      <w:sz w:val="30"/>
      <w:szCs w:val="22"/>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批注框文本 Char"/>
    <w:basedOn w:val="16"/>
    <w:link w:val="11"/>
    <w:semiHidden/>
    <w:qFormat/>
    <w:uiPriority w:val="99"/>
    <w:rPr>
      <w:sz w:val="18"/>
      <w:szCs w:val="18"/>
    </w:rPr>
  </w:style>
  <w:style w:type="character" w:customStyle="1" w:styleId="23">
    <w:name w:val="标题 1 Char"/>
    <w:basedOn w:val="16"/>
    <w:qFormat/>
    <w:uiPriority w:val="9"/>
    <w:rPr>
      <w:b/>
      <w:bCs/>
      <w:kern w:val="44"/>
      <w:sz w:val="44"/>
      <w:szCs w:val="44"/>
    </w:rPr>
  </w:style>
  <w:style w:type="character" w:customStyle="1" w:styleId="24">
    <w:name w:val="标题 2 Char"/>
    <w:basedOn w:val="16"/>
    <w:semiHidden/>
    <w:qFormat/>
    <w:uiPriority w:val="9"/>
    <w:rPr>
      <w:rFonts w:asciiTheme="majorHAnsi" w:hAnsiTheme="majorHAnsi" w:eastAsiaTheme="majorEastAsia" w:cstheme="majorBidi"/>
      <w:b/>
      <w:bCs/>
      <w:sz w:val="32"/>
      <w:szCs w:val="32"/>
    </w:rPr>
  </w:style>
  <w:style w:type="character" w:customStyle="1" w:styleId="25">
    <w:name w:val="标题 3 Char"/>
    <w:basedOn w:val="16"/>
    <w:semiHidden/>
    <w:qFormat/>
    <w:uiPriority w:val="9"/>
    <w:rPr>
      <w:b/>
      <w:bCs/>
      <w:sz w:val="32"/>
      <w:szCs w:val="32"/>
    </w:rPr>
  </w:style>
  <w:style w:type="character" w:customStyle="1" w:styleId="26">
    <w:name w:val="标题 4 Char"/>
    <w:basedOn w:val="16"/>
    <w:semiHidden/>
    <w:qFormat/>
    <w:uiPriority w:val="9"/>
    <w:rPr>
      <w:rFonts w:asciiTheme="majorHAnsi" w:hAnsiTheme="majorHAnsi" w:eastAsiaTheme="majorEastAsia" w:cstheme="majorBidi"/>
      <w:b/>
      <w:bCs/>
      <w:sz w:val="28"/>
      <w:szCs w:val="28"/>
    </w:rPr>
  </w:style>
  <w:style w:type="character" w:customStyle="1" w:styleId="27">
    <w:name w:val="批注文字 字符"/>
    <w:link w:val="7"/>
    <w:uiPriority w:val="0"/>
    <w:rPr>
      <w:kern w:val="2"/>
      <w:sz w:val="24"/>
      <w:szCs w:val="24"/>
    </w:rPr>
  </w:style>
  <w:style w:type="character" w:customStyle="1" w:styleId="28">
    <w:name w:val="页眉 字符"/>
    <w:link w:val="13"/>
    <w:qFormat/>
    <w:uiPriority w:val="0"/>
    <w:rPr>
      <w:kern w:val="2"/>
      <w:sz w:val="18"/>
      <w:szCs w:val="18"/>
    </w:rPr>
  </w:style>
  <w:style w:type="character" w:customStyle="1" w:styleId="29">
    <w:name w:val="批注主题 字符"/>
    <w:link w:val="14"/>
    <w:qFormat/>
    <w:uiPriority w:val="0"/>
    <w:rPr>
      <w:b/>
      <w:bCs/>
      <w:kern w:val="2"/>
      <w:sz w:val="24"/>
      <w:szCs w:val="24"/>
    </w:rPr>
  </w:style>
  <w:style w:type="character" w:customStyle="1" w:styleId="30">
    <w:name w:val="文档结构图 字符"/>
    <w:link w:val="6"/>
    <w:qFormat/>
    <w:uiPriority w:val="0"/>
    <w:rPr>
      <w:kern w:val="2"/>
      <w:sz w:val="24"/>
      <w:szCs w:val="24"/>
    </w:rPr>
  </w:style>
  <w:style w:type="character" w:customStyle="1" w:styleId="31">
    <w:name w:val="文档结构图 Char"/>
    <w:basedOn w:val="16"/>
    <w:semiHidden/>
    <w:qFormat/>
    <w:uiPriority w:val="99"/>
    <w:rPr>
      <w:rFonts w:ascii="宋体" w:eastAsia="宋体"/>
      <w:sz w:val="18"/>
      <w:szCs w:val="18"/>
    </w:rPr>
  </w:style>
  <w:style w:type="character" w:customStyle="1" w:styleId="32">
    <w:name w:val="正文文本缩进 2 Char"/>
    <w:basedOn w:val="16"/>
    <w:link w:val="10"/>
    <w:qFormat/>
    <w:uiPriority w:val="0"/>
    <w:rPr>
      <w:rFonts w:ascii="楷体_GB2312" w:hAnsi="Times New Roman" w:eastAsia="楷体_GB2312" w:cs="Times New Roman"/>
      <w:snapToGrid/>
      <w:color w:val="auto"/>
      <w:kern w:val="2"/>
      <w:sz w:val="24"/>
      <w:szCs w:val="20"/>
    </w:rPr>
  </w:style>
  <w:style w:type="character" w:customStyle="1" w:styleId="33">
    <w:name w:val="正文文本缩进 Char"/>
    <w:basedOn w:val="16"/>
    <w:link w:val="8"/>
    <w:qFormat/>
    <w:uiPriority w:val="0"/>
    <w:rPr>
      <w:rFonts w:ascii="宋体" w:hAnsi="宋体" w:eastAsia="宋体" w:cs="Times New Roman"/>
      <w:b/>
      <w:bCs/>
      <w:snapToGrid/>
      <w:color w:val="auto"/>
      <w:kern w:val="2"/>
      <w:sz w:val="24"/>
      <w:szCs w:val="24"/>
    </w:rPr>
  </w:style>
  <w:style w:type="character" w:customStyle="1" w:styleId="34">
    <w:name w:val="批注文字 Char"/>
    <w:basedOn w:val="16"/>
    <w:semiHidden/>
    <w:qFormat/>
    <w:uiPriority w:val="99"/>
  </w:style>
  <w:style w:type="character" w:customStyle="1" w:styleId="35">
    <w:name w:val="页眉 Char"/>
    <w:basedOn w:val="16"/>
    <w:semiHidden/>
    <w:qFormat/>
    <w:uiPriority w:val="99"/>
    <w:rPr>
      <w:sz w:val="18"/>
      <w:szCs w:val="18"/>
    </w:rPr>
  </w:style>
  <w:style w:type="character" w:customStyle="1" w:styleId="36">
    <w:name w:val="纯文本 Char"/>
    <w:basedOn w:val="16"/>
    <w:link w:val="9"/>
    <w:qFormat/>
    <w:uiPriority w:val="0"/>
    <w:rPr>
      <w:rFonts w:ascii="宋体" w:hAnsi="Courier New" w:eastAsia="宋体" w:cs="Times New Roman"/>
      <w:snapToGrid/>
      <w:color w:val="auto"/>
      <w:kern w:val="2"/>
    </w:rPr>
  </w:style>
  <w:style w:type="character" w:customStyle="1" w:styleId="37">
    <w:name w:val="页脚 Char"/>
    <w:basedOn w:val="16"/>
    <w:link w:val="12"/>
    <w:qFormat/>
    <w:uiPriority w:val="0"/>
    <w:rPr>
      <w:rFonts w:ascii="Times New Roman" w:hAnsi="Times New Roman" w:eastAsia="宋体" w:cs="Times New Roman"/>
      <w:snapToGrid/>
      <w:color w:val="auto"/>
      <w:kern w:val="2"/>
      <w:sz w:val="18"/>
      <w:szCs w:val="18"/>
    </w:rPr>
  </w:style>
  <w:style w:type="character" w:customStyle="1" w:styleId="38">
    <w:name w:val="批注主题 Char"/>
    <w:basedOn w:val="34"/>
    <w:semiHidden/>
    <w:qFormat/>
    <w:uiPriority w:val="99"/>
    <w:rPr>
      <w:b/>
      <w:bCs/>
    </w:rPr>
  </w:style>
  <w:style w:type="paragraph" w:customStyle="1" w:styleId="39">
    <w:name w:val="标题②"/>
    <w:basedOn w:val="3"/>
    <w:next w:val="3"/>
    <w:qFormat/>
    <w:uiPriority w:val="0"/>
    <w:pPr>
      <w:widowControl/>
      <w:spacing w:before="50" w:beforeLines="50" w:after="50" w:afterLines="50" w:line="240" w:lineRule="auto"/>
      <w:jc w:val="left"/>
    </w:pPr>
    <w:rPr>
      <w:rFonts w:ascii="楷体_GB2312" w:hAnsi="楷体_GB2312" w:eastAsia="楷体"/>
      <w:color w:val="000000"/>
      <w:sz w:val="24"/>
    </w:rPr>
  </w:style>
  <w:style w:type="paragraph" w:customStyle="1" w:styleId="40">
    <w:name w:val="标题2"/>
    <w:basedOn w:val="3"/>
    <w:next w:val="3"/>
    <w:qFormat/>
    <w:uiPriority w:val="0"/>
    <w:pPr>
      <w:spacing w:before="50" w:beforeLines="50" w:after="50" w:afterLines="50" w:line="240" w:lineRule="auto"/>
      <w:jc w:val="left"/>
    </w:pPr>
    <w:rPr>
      <w:rFonts w:ascii="楷体_GB2312" w:hAnsi="楷体_GB2312" w:eastAsia="楷体"/>
      <w:color w:val="000000"/>
      <w:sz w:val="24"/>
    </w:rPr>
  </w:style>
  <w:style w:type="paragraph" w:customStyle="1" w:styleId="41">
    <w:name w:val="标题3"/>
    <w:basedOn w:val="4"/>
    <w:next w:val="4"/>
    <w:qFormat/>
    <w:uiPriority w:val="0"/>
    <w:pPr>
      <w:spacing w:before="100" w:after="100" w:line="240" w:lineRule="auto"/>
      <w:jc w:val="left"/>
    </w:pPr>
    <w:rPr>
      <w:rFonts w:eastAsia="楷体"/>
      <w:b w:val="0"/>
      <w:sz w:val="24"/>
    </w:rPr>
  </w:style>
  <w:style w:type="paragraph" w:styleId="4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89</Pages>
  <Words>12378</Words>
  <Characters>13236</Characters>
  <Lines>301</Lines>
  <Paragraphs>84</Paragraphs>
  <TotalTime>12</TotalTime>
  <ScaleCrop>false</ScaleCrop>
  <LinksUpToDate>false</LinksUpToDate>
  <CharactersWithSpaces>13253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2022-08-10T09:39:00Z</dcterms:created>
  <dc:creator>Cynthia</dc:creator>
  <cp:lastModifiedBy>白长山</cp:lastModifiedBy>
  <dcterms:modified xsi:type="dcterms:W3CDTF">2026-08-13T08:27:19Z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2022-08-08T15:29:24Z</vt:filetime>
  </property>
  <property fmtid="{D5CDD505-2E9C-101B-9397-08002B2CF9AE}" pid="4" name="KSOProductBuildVer">
    <vt:lpwstr>2052-12.1.0.28043</vt:lpwstr>
  </property>
  <property fmtid="{D5CDD505-2E9C-101B-9397-08002B2CF9AE}" pid="5" name="ICV">
    <vt:lpwstr>D8A01E6077204DE7B4DC118A32F4494A_12</vt:lpwstr>
  </property>
  <property fmtid="{D5CDD505-2E9C-101B-9397-08002B2CF9AE}" pid="6" name="KSOTemplateDocerSaveRecord">
    <vt:lpwstr>eyJoZGlkIjoiNTk0ODMzMzE5ZjFhNjQzY2Q3ZGEzYjkyNmI3ODUzYjAiLCJ1c2VySWQiOiI2NDMwOTE5MDkifQ==</vt:lpwstr>
  </property>
</Properties>
</file>