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jc w:val="center"/>
        <w:rPr>
          <w:rFonts w:ascii="仿宋" w:hAnsi="仿宋" w:eastAsia="仿宋"/>
          <w:sz w:val="32"/>
          <w:szCs w:val="32"/>
        </w:rPr>
      </w:pPr>
    </w:p>
    <w:p>
      <w:pPr>
        <w:spacing w:line="560" w:lineRule="exact"/>
        <w:jc w:val="center"/>
        <w:rPr>
          <w:rFonts w:hint="eastAsia" w:ascii="黑体" w:hAnsi="黑体" w:eastAsia="仿宋"/>
          <w:b/>
          <w:sz w:val="56"/>
          <w:szCs w:val="32"/>
        </w:rPr>
      </w:pPr>
      <w:r>
        <w:rPr>
          <w:rFonts w:ascii="黑体" w:hAnsi="黑体" w:eastAsia="仿宋"/>
          <w:b/>
          <w:sz w:val="56"/>
          <w:szCs w:val="32"/>
        </w:rPr>
        <w:t>2020年</w:t>
      </w:r>
      <w:r>
        <w:rPr>
          <w:rFonts w:hint="eastAsia" w:ascii="黑体" w:hAnsi="黑体" w:eastAsia="仿宋"/>
          <w:b/>
          <w:sz w:val="56"/>
          <w:szCs w:val="32"/>
        </w:rPr>
        <w:t>马尔康市</w:t>
      </w:r>
      <w:r>
        <w:rPr>
          <w:rFonts w:ascii="黑体" w:hAnsi="黑体" w:eastAsia="仿宋"/>
          <w:b/>
          <w:sz w:val="56"/>
          <w:szCs w:val="32"/>
        </w:rPr>
        <w:t>财政预算绩效工作</w:t>
      </w:r>
    </w:p>
    <w:p>
      <w:pPr>
        <w:spacing w:line="560" w:lineRule="exact"/>
        <w:jc w:val="center"/>
        <w:rPr>
          <w:rFonts w:ascii="黑体" w:hAnsi="黑体" w:eastAsia="仿宋"/>
          <w:b/>
          <w:sz w:val="56"/>
          <w:szCs w:val="32"/>
        </w:rPr>
      </w:pPr>
      <w:r>
        <w:rPr>
          <w:rFonts w:ascii="黑体" w:hAnsi="黑体" w:eastAsia="仿宋"/>
          <w:b/>
          <w:sz w:val="56"/>
          <w:szCs w:val="32"/>
        </w:rPr>
        <w:t>开</w:t>
      </w:r>
      <w:r>
        <w:rPr>
          <w:rFonts w:hint="eastAsia" w:ascii="黑体" w:hAnsi="黑体" w:eastAsia="仿宋"/>
          <w:b/>
          <w:sz w:val="56"/>
          <w:szCs w:val="32"/>
        </w:rPr>
        <w:t xml:space="preserve"> </w:t>
      </w:r>
      <w:r>
        <w:rPr>
          <w:rFonts w:ascii="黑体" w:hAnsi="黑体" w:eastAsia="仿宋"/>
          <w:b/>
          <w:sz w:val="56"/>
          <w:szCs w:val="32"/>
        </w:rPr>
        <w:t>展</w:t>
      </w:r>
      <w:r>
        <w:rPr>
          <w:rFonts w:hint="eastAsia" w:ascii="黑体" w:hAnsi="黑体" w:eastAsia="仿宋"/>
          <w:b/>
          <w:sz w:val="56"/>
          <w:szCs w:val="32"/>
        </w:rPr>
        <w:t xml:space="preserve"> </w:t>
      </w:r>
      <w:r>
        <w:rPr>
          <w:rFonts w:ascii="黑体" w:hAnsi="黑体" w:eastAsia="仿宋"/>
          <w:b/>
          <w:sz w:val="56"/>
          <w:szCs w:val="32"/>
        </w:rPr>
        <w:t>情</w:t>
      </w:r>
      <w:r>
        <w:rPr>
          <w:rFonts w:hint="eastAsia" w:ascii="黑体" w:hAnsi="黑体" w:eastAsia="仿宋"/>
          <w:b/>
          <w:sz w:val="56"/>
          <w:szCs w:val="32"/>
        </w:rPr>
        <w:t xml:space="preserve"> </w:t>
      </w:r>
      <w:r>
        <w:rPr>
          <w:rFonts w:ascii="黑体" w:hAnsi="黑体" w:eastAsia="仿宋"/>
          <w:b/>
          <w:sz w:val="56"/>
          <w:szCs w:val="32"/>
        </w:rPr>
        <w:t>况</w:t>
      </w:r>
    </w:p>
    <w:p>
      <w:pPr>
        <w:spacing w:line="560" w:lineRule="exact"/>
        <w:ind w:firstLine="1124" w:firstLineChars="200"/>
        <w:rPr>
          <w:rFonts w:ascii="仿宋" w:hAnsi="仿宋" w:eastAsia="仿宋"/>
          <w:b/>
          <w:sz w:val="56"/>
          <w:szCs w:val="32"/>
        </w:rPr>
      </w:pPr>
    </w:p>
    <w:p>
      <w:pPr>
        <w:spacing w:line="560" w:lineRule="exact"/>
        <w:ind w:firstLine="643" w:firstLineChars="200"/>
        <w:rPr>
          <w:rFonts w:ascii="仿宋" w:hAnsi="仿宋" w:eastAsia="仿宋"/>
          <w:b/>
          <w:sz w:val="32"/>
          <w:szCs w:val="32"/>
        </w:rPr>
      </w:pPr>
      <w:r>
        <w:rPr>
          <w:rFonts w:ascii="仿宋" w:hAnsi="仿宋" w:eastAsia="仿宋"/>
          <w:b/>
          <w:sz w:val="32"/>
          <w:szCs w:val="32"/>
        </w:rPr>
        <w:t>一、工作总体情况</w:t>
      </w:r>
    </w:p>
    <w:p>
      <w:pPr>
        <w:spacing w:line="560" w:lineRule="exact"/>
        <w:ind w:firstLine="640" w:firstLineChars="200"/>
        <w:rPr>
          <w:rFonts w:ascii="仿宋" w:hAnsi="仿宋" w:eastAsia="仿宋"/>
          <w:sz w:val="32"/>
          <w:szCs w:val="32"/>
        </w:rPr>
      </w:pPr>
      <w:r>
        <w:rPr>
          <w:rFonts w:ascii="仿宋" w:hAnsi="仿宋" w:eastAsia="仿宋"/>
          <w:sz w:val="32"/>
          <w:szCs w:val="32"/>
        </w:rPr>
        <w:t>近年来，</w:t>
      </w:r>
      <w:r>
        <w:rPr>
          <w:rFonts w:hint="eastAsia" w:ascii="仿宋" w:hAnsi="仿宋" w:eastAsia="仿宋"/>
          <w:sz w:val="32"/>
          <w:szCs w:val="32"/>
        </w:rPr>
        <w:t>市财政</w:t>
      </w:r>
      <w:r>
        <w:rPr>
          <w:rFonts w:ascii="仿宋" w:hAnsi="仿宋" w:eastAsia="仿宋"/>
          <w:sz w:val="32"/>
          <w:szCs w:val="32"/>
        </w:rPr>
        <w:t>通过建体系、强培训、严责任等措施全面推进财政资金绩效评价工作有序开展，逐步形成了制度健全、覆盖广泛、评价专业、注重实效的绩效评价工作机制。2020年，按照“优先选择贯彻落实党中央、国务院重大方针 政策和决策部署的项目，覆盖面广、影响力大、社会关注度高、项目实施期长”的要求，重点选择脱贫攻坚、政府投资 引导基金、新冠肺炎防疫资金等</w:t>
      </w:r>
    </w:p>
    <w:p>
      <w:pPr>
        <w:spacing w:line="560" w:lineRule="exact"/>
        <w:ind w:firstLine="640" w:firstLineChars="200"/>
        <w:rPr>
          <w:rFonts w:ascii="仿宋" w:hAnsi="仿宋" w:eastAsia="仿宋"/>
          <w:sz w:val="32"/>
          <w:szCs w:val="32"/>
        </w:rPr>
      </w:pPr>
      <w:r>
        <w:rPr>
          <w:rFonts w:ascii="仿宋" w:hAnsi="仿宋" w:eastAsia="仿宋"/>
          <w:sz w:val="32"/>
          <w:szCs w:val="32"/>
        </w:rPr>
        <w:t>2020年，</w:t>
      </w:r>
      <w:r>
        <w:rPr>
          <w:rFonts w:hint="eastAsia" w:ascii="仿宋" w:hAnsi="仿宋" w:eastAsia="仿宋"/>
          <w:sz w:val="32"/>
          <w:szCs w:val="32"/>
        </w:rPr>
        <w:t>市</w:t>
      </w:r>
      <w:r>
        <w:rPr>
          <w:rFonts w:ascii="仿宋" w:hAnsi="仿宋" w:eastAsia="仿宋"/>
          <w:sz w:val="32"/>
          <w:szCs w:val="32"/>
        </w:rPr>
        <w:t>级财政绩效评价广度和深度不断延伸，机制不断完善，建立了涵盖项目支出、部门整体支出、财政政策等多层次的绩效评价体系，探索开展预算绩效事前评估。</w:t>
      </w:r>
    </w:p>
    <w:p>
      <w:pPr>
        <w:spacing w:line="560" w:lineRule="exact"/>
        <w:ind w:firstLine="643" w:firstLineChars="200"/>
        <w:rPr>
          <w:rFonts w:ascii="仿宋" w:hAnsi="仿宋" w:eastAsia="仿宋"/>
          <w:b/>
          <w:sz w:val="32"/>
          <w:szCs w:val="32"/>
        </w:rPr>
      </w:pPr>
      <w:r>
        <w:rPr>
          <w:rFonts w:ascii="仿宋" w:hAnsi="仿宋" w:eastAsia="仿宋"/>
          <w:b/>
          <w:sz w:val="32"/>
          <w:szCs w:val="32"/>
        </w:rPr>
        <w:t>二、预算绩效管理工作情况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贯彻落实党的十九届四中全会、省、市经济工作会议，以及省委十一届六次全会精神，根据《中共四川省委四川省人民政府关于全面实施预算绩效管理的实施意见》总体要求和《全省预算绩效管理工作推进方案》《阿坝州财政局预算绩效管理工作实施方案》布置安排，围绕提质增效目标，大力推进预算绩效管理做深做细做实，推动预算管理改革取得新的突破，为财政高质量发展奠定坚实基础，现制定2020年市财政局财政预算绩效管理重点工作如下。</w:t>
      </w:r>
    </w:p>
    <w:p>
      <w:pPr>
        <w:spacing w:line="560" w:lineRule="exact"/>
        <w:ind w:firstLine="643" w:firstLineChars="200"/>
        <w:jc w:val="both"/>
        <w:rPr>
          <w:rFonts w:ascii="仿宋" w:hAnsi="仿宋" w:eastAsia="仿宋"/>
          <w:b/>
          <w:sz w:val="32"/>
          <w:szCs w:val="32"/>
        </w:rPr>
      </w:pPr>
      <w:r>
        <w:rPr>
          <w:rFonts w:hint="eastAsia" w:ascii="仿宋" w:hAnsi="仿宋" w:eastAsia="仿宋"/>
          <w:b/>
          <w:sz w:val="32"/>
          <w:szCs w:val="32"/>
        </w:rPr>
        <w:t>（一）持续强化绩效管理理念，促进财政管理提质增效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全面实施预算绩效管理是实施积极财政政策的重要内涵，是落实政府过紧日子、应对财政收支矛盾、优化资源配置、提高资金效益的重要抓手，压实主管部门和资金使用单位的绩效主体责任，不断强化“花钱必问效、无效必问责”的绩效理念。推动建立健全多方参与、运转顺畅、协调高效的绩效管理工作机制， 加快建立全方位、全过程、全覆盖的预算绩效管理体系，将绩效管理向所有财政资金覆盖，延伸到基层单位和资金使用终端。优化全过程业务管控体系，将绩效管理深度嵌入预算管理之中，推进预算和绩效管理一体化，大力削减低效无效财政支出，推动财政管理提质增效。</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（二）持续深化过程管控体系，推动预算改革取得突破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以“全方位、全过程、全覆盖”为目标，按照“</w:t>
      </w:r>
      <w:r>
        <w:rPr>
          <w:rFonts w:ascii="仿宋" w:hAnsi="仿宋" w:eastAsia="仿宋"/>
          <w:sz w:val="32"/>
          <w:szCs w:val="32"/>
        </w:rPr>
        <w:t>3+2</w:t>
      </w:r>
      <w:r>
        <w:rPr>
          <w:rFonts w:hint="eastAsia" w:ascii="仿宋" w:hAnsi="仿宋" w:eastAsia="仿宋"/>
          <w:sz w:val="32"/>
          <w:szCs w:val="32"/>
        </w:rPr>
        <w:t>”过程管控体系，牢牢把握事前评估、事中监控、事后评价三个关键节点，推动绩效与预算管理深度融合。</w:t>
      </w:r>
    </w:p>
    <w:p>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1、大力推进绩效评估，提高科学决策水平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在</w:t>
      </w:r>
      <w:r>
        <w:rPr>
          <w:rFonts w:ascii="仿宋" w:hAnsi="仿宋" w:eastAsia="仿宋"/>
          <w:sz w:val="32"/>
          <w:szCs w:val="32"/>
        </w:rPr>
        <w:t>2020</w:t>
      </w:r>
      <w:r>
        <w:rPr>
          <w:rFonts w:hint="eastAsia" w:ascii="仿宋" w:hAnsi="仿宋" w:eastAsia="仿宋"/>
          <w:sz w:val="32"/>
          <w:szCs w:val="32"/>
        </w:rPr>
        <w:t>年预算编制环节，全面推进重点政策、项目事前绩效评估，结合预算评审、项目审批等，对新增专项预算项目和新增20万元以上的部门预算项目开展事前评估，评估结果作为项目设立、延续和预算调整安排的重要依据，从源头上防止财政资金使用的低效、无效，推动理性决策，着力在预算决策环节解决好“钱该不该花”的问题。</w:t>
      </w:r>
    </w:p>
    <w:p>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2、全面加强绩效监控，改进预算执行管理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市级所有预算部门（涉密单位除外）对编制有绩效目标的部门预算项目和专项预算项目全面开展绩效监控，并依托预算绩效管理信息系统实施重点监控。</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（1）7月初，组织市级部门对2</w:t>
      </w:r>
      <w:r>
        <w:rPr>
          <w:rFonts w:ascii="仿宋" w:hAnsi="仿宋" w:eastAsia="仿宋"/>
          <w:sz w:val="32"/>
          <w:szCs w:val="32"/>
        </w:rPr>
        <w:t>020</w:t>
      </w:r>
      <w:r>
        <w:rPr>
          <w:rFonts w:hint="eastAsia" w:ascii="仿宋" w:hAnsi="仿宋" w:eastAsia="仿宋"/>
          <w:sz w:val="32"/>
          <w:szCs w:val="32"/>
        </w:rPr>
        <w:t>年上半年预算执行进度和部门预算项目绩效目标实现程度实行监控，对预算执行进度缓慢和绩效目标执行偏差的部门，以提示警示为主予以告知。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（2）8</w:t>
      </w:r>
      <w:r>
        <w:rPr>
          <w:rFonts w:ascii="仿宋" w:hAnsi="仿宋" w:eastAsia="仿宋"/>
          <w:sz w:val="32"/>
          <w:szCs w:val="32"/>
        </w:rPr>
        <w:t>月</w:t>
      </w:r>
      <w:r>
        <w:rPr>
          <w:rFonts w:hint="eastAsia" w:ascii="仿宋" w:hAnsi="仿宋" w:eastAsia="仿宋"/>
          <w:sz w:val="32"/>
          <w:szCs w:val="32"/>
        </w:rPr>
        <w:t>底前，组织市级部门对</w:t>
      </w:r>
      <w:r>
        <w:rPr>
          <w:rFonts w:ascii="仿宋" w:hAnsi="仿宋" w:eastAsia="仿宋"/>
          <w:sz w:val="32"/>
          <w:szCs w:val="32"/>
        </w:rPr>
        <w:t>l至8</w:t>
      </w:r>
      <w:r>
        <w:rPr>
          <w:rFonts w:hint="eastAsia" w:ascii="仿宋" w:hAnsi="仿宋" w:eastAsia="仿宋"/>
          <w:sz w:val="32"/>
          <w:szCs w:val="32"/>
        </w:rPr>
        <w:t>月预算执行进度、部门预算项目和专项预算项目绩效目标实现程度、预算调整情况进行监控；同时，财政局组织对</w:t>
      </w:r>
      <w:r>
        <w:rPr>
          <w:rFonts w:ascii="仿宋" w:hAnsi="仿宋" w:eastAsia="仿宋"/>
          <w:sz w:val="32"/>
          <w:szCs w:val="32"/>
        </w:rPr>
        <w:t>10</w:t>
      </w:r>
      <w:r>
        <w:rPr>
          <w:rFonts w:hint="eastAsia" w:ascii="仿宋" w:hAnsi="仿宋" w:eastAsia="仿宋"/>
          <w:sz w:val="32"/>
          <w:szCs w:val="32"/>
        </w:rPr>
        <w:t>个以上市级部门进行重点绩效监控，主要对预算执行进度、项目产出绩效指标（数量、质量、时效、成本）以及预算调整情况进行监控核实。</w:t>
      </w:r>
    </w:p>
    <w:p>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3、做深做实绩效评价，推动资金整合协调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（1）不断推进部门绩效自评。在进一步完善市级部门整体支出绩效目标基础上，继续全面开展部门整体支出绩效自评，提高部门绩效评价质量和时效。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不断强化财政重点评价。一是加强重点部门支出绩效评价。结合近年部门整体支出绩效管理工作实际，持续优化部门整体支出绩效指标体系，从部门预算、专项预算、绩效结果应用等方面对部门整体效益进行深入评价。财政局根据部门自评情况，选取部分部门开展重点评价，并试点选取部分二级预算单位延伸开展整体绩效评价，评价内容着重围绕部门预算管理、专项预算管理、绩效结果应用等方面进行。二是加强重点政策支出绩效评价。开展财政专项扶贫、基层组织活动和公共服务运行等财政支持政策重点绩效评价，重点从政策设计（目标科学、项目协同、对象全面、标准合理）、政策执行（对象精准、调整及时、机制同向）、政策效果（产业发展、民生保障、基础设施）进行评价。三是加强重点项目支出绩效评价。对脱贫攻坚、“三保“支出（民生类）、新冠肺炎防疫资金等项目重点评价。产业发展项目绩效重点从符合性、引导性进行评价，民生保障项目重点从区域均衡性、对象公平性、社会满意度方面评价，基础设施（设备购置）项目重点从稀缺性、配套性方面评价。重点绩效评价报告提交局党组会。切实提高评价报告质量，强化评价报告的权威性和约束力，确保评价报告有用可用。</w:t>
      </w:r>
    </w:p>
    <w:p>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4、加强绩效目标管理，提高预算编制水平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）提高绩效目标的精准度。简化绩效指标分类，聚焦重点指标，提高预算单位绩效指标设置精准度，提高绩效目标细化量化程度，充分发挥绩效目标在后续绩效监控、绩效评价等环节的约束力。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提高绩效目标的关联性。切实发挥绩效目标作为绩效评价重要依据的作用，在绩效评价特性指标设置时，要体现项目绩效目标的关键指标。同时，在绩效目标编制时，要充分参考项目以住年度绩效评价指标和结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提高绩效目标的引领性。将绩效目标审核结果与预算安排挂钩，绩效目标偏离市委、市人民政府发展战略和年度重点任务的，以及重要性和紧迫性不强、实施条件不充分的，不予安排预算。推动项目库改革，预算管理关口前移，切实将绩效目标审核作为项目库入库前置条件，入库项目实行动态管理。</w:t>
      </w:r>
    </w:p>
    <w:p>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5、强化绩效结果应用，改变分配固化格局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实施覆盖预算管理全过程的结果应用机制，加强绩效与预算管理事前、事中、事后全过程衔接，促进预算分配更加科学合理。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加强事前绩效管理结果应用。事前评估结果作为项目延续和新增预算安排的必备依据。绩效目标与项目设立、项目预算安排等相结合，探索实施绩效目标重点审核结果“分档分级预算挂钩机制”：将审核结果划分为优、良、中、差四档，原则上，对审核等级为优的予以支持；对审核等级为良的予以支持并进一步完善绩效目标；对审核等级为中的按不低于10%比例扣减预算；对审核等级为差的不予安排预算。扣减或取消安排的预算资金由相关业务科室统筹用于同类领域预算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加强事中绩效管理结果应用。开展绩效监控后相应进行警示纠偏、督促进度、预算调剂，并与结余处置、年终结余处理、下年预算安排挂钩；对部门预计当年项目支出无法执行、绩效目标无法实现的资金，该年度进行预算调剂或下一年度同类支出原则上不再安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加强事后绩效管理结果应用。绩效评价结果运用到次年政策优化、管理完善、预算安排、问题整改等方面。探索实施绩效评价结果“分档分级预算挂钩机制”，将评价结果划分为优、良、中、差四档，原则上，对评价等级为优、良的根据情况予以支持；对评价等级为中的按不低于10%比例扣减预算， 扣减预算资金由财政统筹用于同类领域预算支出；对评价等级为差的取消项目预算安排，取消项目资金收回总预算。对于评价样本资金结余率大于</w:t>
      </w:r>
      <w:r>
        <w:rPr>
          <w:rFonts w:ascii="仿宋" w:hAnsi="仿宋" w:eastAsia="仿宋"/>
          <w:sz w:val="32"/>
          <w:szCs w:val="32"/>
        </w:rPr>
        <w:t>15%</w:t>
      </w:r>
      <w:r>
        <w:rPr>
          <w:rFonts w:hint="eastAsia" w:ascii="仿宋" w:hAnsi="仿宋" w:eastAsia="仿宋"/>
          <w:sz w:val="32"/>
          <w:szCs w:val="32"/>
        </w:rPr>
        <w:t>的项目，其预算安排由相关业务科室按照实际情况予以扣减，扣减预算资金统筹用于同类领域预算支出。研究制定部门整体支出绩效评价的激励约束机制，将评价结果同部门预算绩效管理工作考评结合，应用于下一年度部门预算安排中。</w:t>
      </w:r>
    </w:p>
    <w:p>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6、夯实专业管理工作，开展重点课题研究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有力推进扶贫资金绩效管理</w:t>
      </w:r>
      <w:r>
        <w:rPr>
          <w:rFonts w:hint="eastAsia" w:ascii="仿宋" w:hAnsi="仿宋" w:eastAsia="仿宋"/>
          <w:sz w:val="32"/>
          <w:szCs w:val="32"/>
        </w:rPr>
        <w:t>。</w:t>
      </w:r>
      <w:r>
        <w:rPr>
          <w:rFonts w:ascii="仿宋" w:hAnsi="仿宋" w:eastAsia="仿宋"/>
          <w:sz w:val="32"/>
          <w:szCs w:val="32"/>
        </w:rPr>
        <w:t>按照财政</w:t>
      </w:r>
      <w:r>
        <w:rPr>
          <w:rFonts w:hint="eastAsia" w:ascii="仿宋" w:hAnsi="仿宋" w:eastAsia="仿宋"/>
          <w:sz w:val="32"/>
          <w:szCs w:val="32"/>
        </w:rPr>
        <w:t>厅</w:t>
      </w:r>
      <w:r>
        <w:rPr>
          <w:rFonts w:ascii="仿宋" w:hAnsi="仿宋" w:eastAsia="仿宋"/>
          <w:sz w:val="32"/>
          <w:szCs w:val="32"/>
        </w:rPr>
        <w:t>关于扶贫资金绩效管理的安排部署</w:t>
      </w:r>
      <w:r>
        <w:rPr>
          <w:rFonts w:hint="eastAsia" w:ascii="仿宋" w:hAnsi="仿宋" w:eastAsia="仿宋"/>
          <w:sz w:val="32"/>
          <w:szCs w:val="32"/>
        </w:rPr>
        <w:t>，</w:t>
      </w:r>
      <w:r>
        <w:rPr>
          <w:rFonts w:ascii="仿宋" w:hAnsi="仿宋" w:eastAsia="仿宋"/>
          <w:sz w:val="32"/>
          <w:szCs w:val="32"/>
        </w:rPr>
        <w:t>牵头组织好全</w:t>
      </w:r>
      <w:r>
        <w:rPr>
          <w:rFonts w:hint="eastAsia" w:ascii="仿宋" w:hAnsi="仿宋" w:eastAsia="仿宋"/>
          <w:sz w:val="32"/>
          <w:szCs w:val="32"/>
        </w:rPr>
        <w:t>市</w:t>
      </w:r>
      <w:r>
        <w:rPr>
          <w:rFonts w:ascii="仿宋" w:hAnsi="仿宋" w:eastAsia="仿宋"/>
          <w:sz w:val="32"/>
          <w:szCs w:val="32"/>
        </w:rPr>
        <w:t>扶贫资金绩效管理的安排</w:t>
      </w:r>
      <w:r>
        <w:rPr>
          <w:rFonts w:hint="eastAsia" w:ascii="仿宋" w:hAnsi="仿宋" w:eastAsia="仿宋"/>
          <w:sz w:val="32"/>
          <w:szCs w:val="32"/>
        </w:rPr>
        <w:t>工作，</w:t>
      </w:r>
      <w:r>
        <w:rPr>
          <w:rFonts w:ascii="仿宋" w:hAnsi="仿宋" w:eastAsia="仿宋"/>
          <w:sz w:val="32"/>
          <w:szCs w:val="32"/>
        </w:rPr>
        <w:t>加强扶贫</w:t>
      </w:r>
      <w:r>
        <w:rPr>
          <w:rFonts w:hint="eastAsia" w:ascii="仿宋" w:hAnsi="仿宋" w:eastAsia="仿宋"/>
          <w:sz w:val="32"/>
          <w:szCs w:val="32"/>
        </w:rPr>
        <w:t>资金动态监控平台的协调、应用和培训，督导全市各相关部门按照《四川省扶贫项目资金绩效管理实施细则》做好扶贫资金全过程绩效管理工作，加强扶贫资金绩效管理工作考核。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开展项目支出成本效益法研究</w:t>
      </w:r>
      <w:r>
        <w:rPr>
          <w:rFonts w:hint="eastAsia" w:ascii="仿宋" w:hAnsi="仿宋" w:eastAsia="仿宋"/>
          <w:sz w:val="32"/>
          <w:szCs w:val="32"/>
        </w:rPr>
        <w:t>。</w:t>
      </w:r>
      <w:r>
        <w:rPr>
          <w:rFonts w:ascii="仿宋" w:hAnsi="仿宋" w:eastAsia="仿宋"/>
          <w:sz w:val="32"/>
          <w:szCs w:val="32"/>
        </w:rPr>
        <w:t>选择部分项目支出开展成本效益分析法</w:t>
      </w:r>
      <w:r>
        <w:rPr>
          <w:rFonts w:hint="eastAsia" w:ascii="仿宋" w:hAnsi="仿宋" w:eastAsia="仿宋"/>
          <w:sz w:val="32"/>
          <w:szCs w:val="32"/>
        </w:rPr>
        <w:t>（投入产出绩效）课题研究，探索总结更多有效的绩效管理方式方法，为提高预算绩效管理水平提供支撑。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积极推动和试点专项项目自评</w:t>
      </w:r>
      <w:r>
        <w:rPr>
          <w:rFonts w:hint="eastAsia" w:ascii="仿宋" w:hAnsi="仿宋" w:eastAsia="仿宋"/>
          <w:sz w:val="32"/>
          <w:szCs w:val="32"/>
        </w:rPr>
        <w:t>。</w:t>
      </w:r>
      <w:r>
        <w:rPr>
          <w:rFonts w:ascii="仿宋" w:hAnsi="仿宋" w:eastAsia="仿宋"/>
          <w:sz w:val="32"/>
          <w:szCs w:val="32"/>
        </w:rPr>
        <w:t>鼓励</w:t>
      </w:r>
      <w:r>
        <w:rPr>
          <w:rFonts w:hint="eastAsia" w:ascii="仿宋" w:hAnsi="仿宋" w:eastAsia="仿宋"/>
          <w:sz w:val="32"/>
          <w:szCs w:val="32"/>
        </w:rPr>
        <w:t>市</w:t>
      </w:r>
      <w:r>
        <w:rPr>
          <w:rFonts w:ascii="仿宋" w:hAnsi="仿宋" w:eastAsia="仿宋"/>
          <w:sz w:val="32"/>
          <w:szCs w:val="32"/>
        </w:rPr>
        <w:t>级部门围绕</w:t>
      </w:r>
      <w:r>
        <w:rPr>
          <w:rFonts w:hint="eastAsia" w:ascii="仿宋" w:hAnsi="仿宋" w:eastAsia="仿宋"/>
          <w:sz w:val="32"/>
          <w:szCs w:val="32"/>
        </w:rPr>
        <w:t>市</w:t>
      </w:r>
      <w:r>
        <w:rPr>
          <w:rFonts w:ascii="仿宋" w:hAnsi="仿宋" w:eastAsia="仿宋"/>
          <w:sz w:val="32"/>
          <w:szCs w:val="32"/>
        </w:rPr>
        <w:t>委</w:t>
      </w:r>
      <w:r>
        <w:rPr>
          <w:rFonts w:hint="eastAsia" w:ascii="仿宋" w:hAnsi="仿宋" w:eastAsia="仿宋"/>
          <w:sz w:val="32"/>
          <w:szCs w:val="32"/>
        </w:rPr>
        <w:t>、市</w:t>
      </w:r>
      <w:r>
        <w:rPr>
          <w:rFonts w:ascii="仿宋" w:hAnsi="仿宋" w:eastAsia="仿宋"/>
          <w:sz w:val="32"/>
          <w:szCs w:val="32"/>
        </w:rPr>
        <w:t>人民政府年度重大部署和本部门重点工作任务</w:t>
      </w:r>
      <w:r>
        <w:rPr>
          <w:rFonts w:hint="eastAsia" w:ascii="仿宋" w:hAnsi="仿宋" w:eastAsia="仿宋"/>
          <w:sz w:val="32"/>
          <w:szCs w:val="32"/>
        </w:rPr>
        <w:t>，</w:t>
      </w:r>
      <w:r>
        <w:rPr>
          <w:rFonts w:ascii="仿宋" w:hAnsi="仿宋" w:eastAsia="仿宋"/>
          <w:sz w:val="32"/>
          <w:szCs w:val="32"/>
        </w:rPr>
        <w:t>对管理的部门预算项目和专项预算项目开展绩效自评</w:t>
      </w:r>
      <w:r>
        <w:rPr>
          <w:rFonts w:hint="eastAsia" w:ascii="仿宋" w:hAnsi="仿宋" w:eastAsia="仿宋"/>
          <w:sz w:val="32"/>
          <w:szCs w:val="32"/>
        </w:rPr>
        <w:t>，</w:t>
      </w:r>
      <w:r>
        <w:rPr>
          <w:rFonts w:ascii="仿宋" w:hAnsi="仿宋" w:eastAsia="仿宋"/>
          <w:sz w:val="32"/>
          <w:szCs w:val="32"/>
        </w:rPr>
        <w:t>财政局加强该项工作的指导和调研</w:t>
      </w:r>
      <w:r>
        <w:rPr>
          <w:rFonts w:hint="eastAsia" w:ascii="仿宋" w:hAnsi="仿宋" w:eastAsia="仿宋"/>
          <w:sz w:val="32"/>
          <w:szCs w:val="32"/>
        </w:rPr>
        <w:t>。</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（三）持续夯实基础支撑体系，推动绩效管理规范实施</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1、健全绩效管理制度，“1+N”制度体系基本建成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参照</w:t>
      </w:r>
      <w:r>
        <w:rPr>
          <w:rFonts w:ascii="仿宋" w:hAnsi="仿宋" w:eastAsia="仿宋"/>
          <w:sz w:val="32"/>
          <w:szCs w:val="32"/>
        </w:rPr>
        <w:t>省财政厅制定的</w:t>
      </w:r>
      <w:r>
        <w:rPr>
          <w:rFonts w:hint="eastAsia" w:ascii="仿宋" w:hAnsi="仿宋" w:eastAsia="仿宋"/>
          <w:sz w:val="32"/>
          <w:szCs w:val="32"/>
        </w:rPr>
        <w:t>《四川省省级部门支出绩效管理办法》《四川省省级政策支出绩效管理办法》《四川省预算绩效指标体系建设管理办法》等制度办法，</w:t>
      </w:r>
      <w:r>
        <w:rPr>
          <w:rFonts w:ascii="仿宋" w:hAnsi="仿宋" w:eastAsia="仿宋"/>
          <w:sz w:val="32"/>
          <w:szCs w:val="32"/>
        </w:rPr>
        <w:t>制定完善我</w:t>
      </w:r>
      <w:r>
        <w:rPr>
          <w:rFonts w:hint="eastAsia" w:ascii="仿宋" w:hAnsi="仿宋" w:eastAsia="仿宋"/>
          <w:sz w:val="32"/>
          <w:szCs w:val="32"/>
        </w:rPr>
        <w:t>市</w:t>
      </w:r>
      <w:r>
        <w:rPr>
          <w:rFonts w:ascii="仿宋" w:hAnsi="仿宋" w:eastAsia="仿宋"/>
          <w:sz w:val="32"/>
          <w:szCs w:val="32"/>
        </w:rPr>
        <w:t>绩效管理相关管理办法</w:t>
      </w:r>
      <w:r>
        <w:rPr>
          <w:rFonts w:hint="eastAsia" w:ascii="仿宋" w:hAnsi="仿宋" w:eastAsia="仿宋"/>
          <w:sz w:val="32"/>
          <w:szCs w:val="32"/>
        </w:rPr>
        <w:t>，“</w:t>
      </w:r>
      <w:r>
        <w:rPr>
          <w:rFonts w:ascii="仿宋" w:hAnsi="仿宋" w:eastAsia="仿宋"/>
          <w:sz w:val="32"/>
          <w:szCs w:val="32"/>
        </w:rPr>
        <w:t>1+N</w:t>
      </w:r>
      <w:r>
        <w:rPr>
          <w:rFonts w:hint="eastAsia" w:ascii="仿宋" w:hAnsi="仿宋" w:eastAsia="仿宋"/>
          <w:sz w:val="32"/>
          <w:szCs w:val="32"/>
        </w:rPr>
        <w:t>”预算绩效管理制度体系基本建成。结合财政厅拟出台的转移支付绩效管理指导意见，出台本市转移支付绩效管理的指导意见，明确转移支付资金全过程预算绩效管理工作规范，推动绩效问责和信息公开。</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2、丰富行业个性指标，绩效指标体系不断完善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以政策和项目支出绩效评价实践为支撑，不断完善共性绩效指标体系，选取农业、教育科技、交通、医疗卫生等行业开展绩效个性指标建设试点，协调组织相关行业主管部门科学设置分类指标，细化绩效指标评分标准及参考标准值。探索制定二级预算单位整休支出绩效评价的共性指标体系框架。加快实现绩效指标和标准体系科学合理、细化量化、可比可测、动态调整、共建共享，初步形成具有阿坝特色的绩效指标库。</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3、持续加强培训交流，提升绩效管理氛围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（1）加强绩效管理培训。着重对预算绩效管理领导层开展绩效管理培训，举办“相关部门分管局领导和工作人员培训班”。针对工作推进中的热点难点问题，适时组织召开座谈会、研讨会、交流会。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多渠道广泛开展宣传活动。充分利用广播电视、报纸杂志、新媒体、实地调研等多种渠道，广泛宣传预算绩效管理重大决策部署，不断增强社会各界绩效理念，营造更加浓厚的“树绩效、讲绩效、用绩效”的氛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有针对性地开展调研。结合本</w:t>
      </w:r>
      <w:r>
        <w:rPr>
          <w:rFonts w:hint="eastAsia" w:ascii="仿宋" w:hAnsi="仿宋" w:eastAsia="仿宋"/>
          <w:sz w:val="32"/>
          <w:szCs w:val="32"/>
        </w:rPr>
        <w:t>市</w:t>
      </w:r>
      <w:r>
        <w:rPr>
          <w:rFonts w:ascii="仿宋" w:hAnsi="仿宋" w:eastAsia="仿宋"/>
          <w:sz w:val="32"/>
          <w:szCs w:val="32"/>
        </w:rPr>
        <w:t>预算绩效管理推进中的难点、重点、亮点，以“绩效与预算一体化”为主要内容，适时对</w:t>
      </w:r>
      <w:r>
        <w:rPr>
          <w:rFonts w:hint="eastAsia" w:ascii="仿宋" w:hAnsi="仿宋" w:eastAsia="仿宋"/>
          <w:sz w:val="32"/>
          <w:szCs w:val="32"/>
        </w:rPr>
        <w:t>市</w:t>
      </w:r>
      <w:r>
        <w:rPr>
          <w:rFonts w:ascii="仿宋" w:hAnsi="仿宋" w:eastAsia="仿宋"/>
          <w:sz w:val="32"/>
          <w:szCs w:val="32"/>
        </w:rPr>
        <w:t>级部门开展绩效专题调研，查找短板、汲取经验、研究举措。</w:t>
      </w:r>
    </w:p>
    <w:p>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4、初步运行信息平台，提高绩效管理效率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级“预算绩效管理信息系统”按照大集中模式建成并正式投入运行，全过程预算绩效管理融入平台运行中，实现“系统为主、手工为辅＂的目标，提高预算绩效管理工作效率。同时</w:t>
      </w:r>
      <w:r>
        <w:rPr>
          <w:rFonts w:hint="eastAsia" w:ascii="仿宋" w:hAnsi="仿宋" w:eastAsia="仿宋"/>
          <w:sz w:val="32"/>
          <w:szCs w:val="32"/>
        </w:rPr>
        <w:t>，</w:t>
      </w:r>
      <w:r>
        <w:rPr>
          <w:rFonts w:ascii="仿宋" w:hAnsi="仿宋" w:eastAsia="仿宋"/>
          <w:sz w:val="32"/>
          <w:szCs w:val="32"/>
        </w:rPr>
        <w:t>推动市</w:t>
      </w:r>
      <w:r>
        <w:rPr>
          <w:rFonts w:hint="eastAsia" w:ascii="仿宋" w:hAnsi="仿宋" w:eastAsia="仿宋"/>
          <w:sz w:val="32"/>
          <w:szCs w:val="32"/>
        </w:rPr>
        <w:t>本</w:t>
      </w:r>
      <w:r>
        <w:rPr>
          <w:rFonts w:ascii="仿宋" w:hAnsi="仿宋" w:eastAsia="仿宋"/>
          <w:sz w:val="32"/>
          <w:szCs w:val="32"/>
        </w:rPr>
        <w:t>级加快推进预算绩效管理信息化工作，为预算绩效管理提供支撑平台。</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（四）持续狠抓考核监督体系，推动绩效管理落地落实</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1、严格执行考核机制</w:t>
      </w:r>
    </w:p>
    <w:p>
      <w:pPr>
        <w:spacing w:line="560" w:lineRule="exact"/>
        <w:ind w:firstLine="640" w:firstLineChars="200"/>
        <w:rPr>
          <w:rFonts w:ascii="仿宋" w:hAnsi="仿宋" w:eastAsia="仿宋"/>
          <w:sz w:val="32"/>
          <w:szCs w:val="32"/>
        </w:rPr>
      </w:pPr>
      <w:r>
        <w:rPr>
          <w:rFonts w:ascii="仿宋" w:hAnsi="仿宋" w:eastAsia="仿宋"/>
          <w:sz w:val="32"/>
          <w:szCs w:val="32"/>
        </w:rPr>
        <w:t>一是严格执行将预算绩效管理纳入</w:t>
      </w:r>
      <w:r>
        <w:rPr>
          <w:rFonts w:hint="eastAsia" w:ascii="仿宋" w:hAnsi="仿宋" w:eastAsia="仿宋"/>
          <w:sz w:val="32"/>
          <w:szCs w:val="32"/>
        </w:rPr>
        <w:t>局</w:t>
      </w:r>
      <w:r>
        <w:rPr>
          <w:rFonts w:ascii="仿宋" w:hAnsi="仿宋" w:eastAsia="仿宋"/>
          <w:sz w:val="32"/>
          <w:szCs w:val="32"/>
        </w:rPr>
        <w:t>内相关</w:t>
      </w:r>
      <w:r>
        <w:rPr>
          <w:rFonts w:hint="eastAsia" w:ascii="仿宋" w:hAnsi="仿宋" w:eastAsia="仿宋"/>
          <w:sz w:val="32"/>
          <w:szCs w:val="32"/>
        </w:rPr>
        <w:t>股</w:t>
      </w:r>
      <w:r>
        <w:rPr>
          <w:rFonts w:ascii="仿宋" w:hAnsi="仿宋" w:eastAsia="仿宋"/>
          <w:sz w:val="32"/>
          <w:szCs w:val="32"/>
        </w:rPr>
        <w:t>室年度目标考核工作。二是优化绩效管理考核指标和内容，从重</w:t>
      </w:r>
      <w:r>
        <w:rPr>
          <w:rFonts w:hint="eastAsia" w:ascii="仿宋" w:hAnsi="仿宋" w:eastAsia="仿宋"/>
          <w:sz w:val="32"/>
          <w:szCs w:val="32"/>
        </w:rPr>
        <w:t>“</w:t>
      </w:r>
      <w:r>
        <w:rPr>
          <w:rFonts w:ascii="仿宋" w:hAnsi="仿宋" w:eastAsia="仿宋"/>
          <w:sz w:val="32"/>
          <w:szCs w:val="32"/>
        </w:rPr>
        <w:t>量</w:t>
      </w:r>
      <w:r>
        <w:rPr>
          <w:rFonts w:hint="eastAsia" w:ascii="仿宋" w:hAnsi="仿宋" w:eastAsia="仿宋"/>
          <w:sz w:val="32"/>
          <w:szCs w:val="32"/>
        </w:rPr>
        <w:t>”</w:t>
      </w:r>
      <w:r>
        <w:rPr>
          <w:rFonts w:ascii="仿宋" w:hAnsi="仿宋" w:eastAsia="仿宋"/>
          <w:sz w:val="32"/>
          <w:szCs w:val="32"/>
        </w:rPr>
        <w:t>向“质”转变，凸出绩效工作实效性和导向性。对</w:t>
      </w:r>
      <w:r>
        <w:rPr>
          <w:rFonts w:hint="eastAsia" w:ascii="仿宋" w:hAnsi="仿宋" w:eastAsia="仿宋"/>
          <w:sz w:val="32"/>
          <w:szCs w:val="32"/>
        </w:rPr>
        <w:t>市级</w:t>
      </w:r>
      <w:r>
        <w:rPr>
          <w:rFonts w:ascii="仿宋" w:hAnsi="仿宋" w:eastAsia="仿宋"/>
          <w:sz w:val="32"/>
          <w:szCs w:val="32"/>
        </w:rPr>
        <w:t>部门预算绩效管理及工作考核情况公开通报，考核结果提交</w:t>
      </w:r>
      <w:r>
        <w:rPr>
          <w:rFonts w:hint="eastAsia" w:ascii="仿宋" w:hAnsi="仿宋" w:eastAsia="仿宋"/>
          <w:sz w:val="32"/>
          <w:szCs w:val="32"/>
        </w:rPr>
        <w:t>市</w:t>
      </w:r>
      <w:r>
        <w:rPr>
          <w:rFonts w:ascii="仿宋" w:hAnsi="仿宋" w:eastAsia="仿宋"/>
          <w:sz w:val="32"/>
          <w:szCs w:val="32"/>
        </w:rPr>
        <w:t>委</w:t>
      </w:r>
      <w:r>
        <w:rPr>
          <w:rFonts w:hint="eastAsia" w:ascii="仿宋" w:hAnsi="仿宋" w:eastAsia="仿宋"/>
          <w:sz w:val="32"/>
          <w:szCs w:val="32"/>
        </w:rPr>
        <w:t>市人民</w:t>
      </w:r>
      <w:r>
        <w:rPr>
          <w:rFonts w:ascii="仿宋" w:hAnsi="仿宋" w:eastAsia="仿宋"/>
          <w:sz w:val="32"/>
          <w:szCs w:val="32"/>
        </w:rPr>
        <w:t>政府，计入对</w:t>
      </w:r>
      <w:r>
        <w:rPr>
          <w:rFonts w:hint="eastAsia" w:ascii="仿宋" w:hAnsi="仿宋" w:eastAsia="仿宋"/>
          <w:sz w:val="32"/>
          <w:szCs w:val="32"/>
        </w:rPr>
        <w:t>市</w:t>
      </w:r>
      <w:r>
        <w:rPr>
          <w:rFonts w:ascii="仿宋" w:hAnsi="仿宋" w:eastAsia="仿宋"/>
          <w:sz w:val="32"/>
          <w:szCs w:val="32"/>
        </w:rPr>
        <w:t>级部门和绩效考核分值；将</w:t>
      </w:r>
      <w:r>
        <w:rPr>
          <w:rFonts w:hint="eastAsia" w:ascii="仿宋" w:hAnsi="仿宋" w:eastAsia="仿宋"/>
          <w:sz w:val="32"/>
          <w:szCs w:val="32"/>
        </w:rPr>
        <w:t>市</w:t>
      </w:r>
      <w:r>
        <w:rPr>
          <w:rFonts w:ascii="仿宋" w:hAnsi="仿宋" w:eastAsia="仿宋"/>
          <w:sz w:val="32"/>
          <w:szCs w:val="32"/>
        </w:rPr>
        <w:t>级部门预算绩效管理考核结果报送</w:t>
      </w:r>
      <w:r>
        <w:rPr>
          <w:rFonts w:hint="eastAsia" w:ascii="仿宋" w:hAnsi="仿宋" w:eastAsia="仿宋"/>
          <w:sz w:val="32"/>
          <w:szCs w:val="32"/>
        </w:rPr>
        <w:t>市</w:t>
      </w:r>
      <w:r>
        <w:rPr>
          <w:rFonts w:ascii="仿宋" w:hAnsi="仿宋" w:eastAsia="仿宋"/>
          <w:sz w:val="32"/>
          <w:szCs w:val="32"/>
        </w:rPr>
        <w:t>委组织部，作为</w:t>
      </w:r>
      <w:r>
        <w:rPr>
          <w:rFonts w:hint="eastAsia" w:ascii="仿宋" w:hAnsi="仿宋" w:eastAsia="仿宋"/>
          <w:sz w:val="32"/>
          <w:szCs w:val="32"/>
        </w:rPr>
        <w:t>市</w:t>
      </w:r>
      <w:r>
        <w:rPr>
          <w:rFonts w:ascii="仿宋" w:hAnsi="仿宋" w:eastAsia="仿宋"/>
          <w:sz w:val="32"/>
          <w:szCs w:val="32"/>
        </w:rPr>
        <w:t>管领导班子和领导</w:t>
      </w:r>
      <w:r>
        <w:rPr>
          <w:rFonts w:hint="eastAsia" w:ascii="仿宋" w:hAnsi="仿宋" w:eastAsia="仿宋"/>
          <w:sz w:val="32"/>
          <w:szCs w:val="32"/>
        </w:rPr>
        <w:t>干</w:t>
      </w:r>
      <w:r>
        <w:rPr>
          <w:rFonts w:ascii="仿宋" w:hAnsi="仿宋" w:eastAsia="仿宋"/>
          <w:sz w:val="32"/>
          <w:szCs w:val="32"/>
        </w:rPr>
        <w:t>部年度考核的重要参考。</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及时向</w:t>
      </w:r>
      <w:r>
        <w:rPr>
          <w:rFonts w:hint="eastAsia" w:ascii="仿宋" w:hAnsi="仿宋" w:eastAsia="仿宋"/>
          <w:b/>
          <w:sz w:val="32"/>
          <w:szCs w:val="32"/>
        </w:rPr>
        <w:t>市</w:t>
      </w:r>
      <w:r>
        <w:rPr>
          <w:rFonts w:ascii="仿宋" w:hAnsi="仿宋" w:eastAsia="仿宋"/>
          <w:b/>
          <w:sz w:val="32"/>
          <w:szCs w:val="32"/>
        </w:rPr>
        <w:t>人大报告</w:t>
      </w:r>
    </w:p>
    <w:p>
      <w:pPr>
        <w:spacing w:line="560" w:lineRule="exact"/>
        <w:ind w:firstLine="640" w:firstLineChars="200"/>
        <w:rPr>
          <w:rFonts w:ascii="仿宋" w:hAnsi="仿宋" w:eastAsia="仿宋"/>
          <w:sz w:val="32"/>
          <w:szCs w:val="32"/>
        </w:rPr>
      </w:pPr>
      <w:r>
        <w:rPr>
          <w:rFonts w:ascii="仿宋" w:hAnsi="仿宋" w:eastAsia="仿宋"/>
          <w:sz w:val="32"/>
          <w:szCs w:val="32"/>
        </w:rPr>
        <w:t>向</w:t>
      </w:r>
      <w:r>
        <w:rPr>
          <w:rFonts w:hint="eastAsia" w:ascii="仿宋" w:hAnsi="仿宋" w:eastAsia="仿宋"/>
          <w:sz w:val="32"/>
          <w:szCs w:val="32"/>
        </w:rPr>
        <w:t>市</w:t>
      </w:r>
      <w:r>
        <w:rPr>
          <w:rFonts w:ascii="仿宋" w:hAnsi="仿宋" w:eastAsia="仿宋"/>
          <w:sz w:val="32"/>
          <w:szCs w:val="32"/>
        </w:rPr>
        <w:t>人大报告年度预算绩效管理工作，重点项目绩效目标和绩效结果与预决算草案同步向人大报送。邀请人大及代表参与重大项目事前绩效评估（评审）、事中绩效监控、事后绩效评价监督。</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3、积极落实公开机制</w:t>
      </w:r>
    </w:p>
    <w:p>
      <w:pPr>
        <w:spacing w:line="560" w:lineRule="exact"/>
        <w:ind w:firstLine="640" w:firstLineChars="200"/>
        <w:rPr>
          <w:rFonts w:ascii="仿宋" w:hAnsi="仿宋" w:eastAsia="仿宋"/>
          <w:sz w:val="32"/>
          <w:szCs w:val="32"/>
        </w:rPr>
      </w:pPr>
      <w:r>
        <w:rPr>
          <w:rFonts w:ascii="仿宋" w:hAnsi="仿宋" w:eastAsia="仿宋"/>
          <w:sz w:val="32"/>
          <w:szCs w:val="32"/>
        </w:rPr>
        <w:t>按照“公开是常态，不公开是例外</w:t>
      </w:r>
      <w:r>
        <w:rPr>
          <w:rFonts w:hint="eastAsia" w:ascii="仿宋" w:hAnsi="仿宋" w:eastAsia="仿宋"/>
          <w:sz w:val="32"/>
          <w:szCs w:val="32"/>
        </w:rPr>
        <w:t>”</w:t>
      </w:r>
      <w:r>
        <w:rPr>
          <w:rFonts w:ascii="仿宋" w:hAnsi="仿宋" w:eastAsia="仿宋"/>
          <w:sz w:val="32"/>
          <w:szCs w:val="32"/>
        </w:rPr>
        <w:t>的原则，提高绩效公开的透明度、及时性、规范性，传导绩效意识，回应社会关切，强化外部监督。除敏感和涉密信息外，公开所有重点部门支出、政策支出、项目支出绩效评价报告；所有部门预算项目和专项转移支付项目绩效目标与预算同步向社会公开；推动重点项目绩效目标完成情况与决算同步向社会公开。及时向</w:t>
      </w:r>
      <w:r>
        <w:rPr>
          <w:rFonts w:hint="eastAsia" w:ascii="仿宋" w:hAnsi="仿宋" w:eastAsia="仿宋"/>
          <w:sz w:val="32"/>
          <w:szCs w:val="32"/>
        </w:rPr>
        <w:t>市</w:t>
      </w:r>
      <w:r>
        <w:rPr>
          <w:rFonts w:ascii="仿宋" w:hAnsi="仿宋" w:eastAsia="仿宋"/>
          <w:sz w:val="32"/>
          <w:szCs w:val="32"/>
        </w:rPr>
        <w:t>人民政府报告预算绩效管理改革进展和结果，推动自上而下传导、关注、强化预算绩效管理。</w:t>
      </w:r>
    </w:p>
    <w:p>
      <w:pPr>
        <w:spacing w:line="560" w:lineRule="exact"/>
        <w:ind w:firstLine="643" w:firstLineChars="200"/>
        <w:rPr>
          <w:rFonts w:ascii="仿宋" w:hAnsi="仿宋" w:eastAsia="仿宋"/>
          <w:b/>
          <w:sz w:val="32"/>
          <w:szCs w:val="32"/>
        </w:rPr>
      </w:pPr>
      <w:r>
        <w:rPr>
          <w:rFonts w:ascii="仿宋" w:hAnsi="仿宋" w:eastAsia="仿宋"/>
          <w:b/>
          <w:sz w:val="32"/>
          <w:szCs w:val="32"/>
        </w:rPr>
        <w:t>三、主要成效</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通过绩效评价的持续深入开展，全</w:t>
      </w:r>
      <w:r>
        <w:rPr>
          <w:rFonts w:hint="eastAsia" w:ascii="仿宋" w:hAnsi="仿宋" w:eastAsia="仿宋"/>
          <w:sz w:val="32"/>
          <w:szCs w:val="32"/>
        </w:rPr>
        <w:t>市财政</w:t>
      </w:r>
      <w:r>
        <w:rPr>
          <w:rFonts w:ascii="仿宋" w:hAnsi="仿宋" w:eastAsia="仿宋"/>
          <w:sz w:val="32"/>
          <w:szCs w:val="32"/>
        </w:rPr>
        <w:t>管理水平和财政支出绩效不断提高。</w:t>
      </w:r>
    </w:p>
    <w:p>
      <w:pPr>
        <w:spacing w:line="560" w:lineRule="exact"/>
        <w:ind w:firstLine="640" w:firstLineChars="200"/>
        <w:rPr>
          <w:rFonts w:ascii="仿宋" w:hAnsi="仿宋" w:eastAsia="仿宋"/>
          <w:sz w:val="32"/>
          <w:szCs w:val="32"/>
        </w:rPr>
      </w:pPr>
      <w:r>
        <w:rPr>
          <w:rFonts w:ascii="仿宋" w:hAnsi="仿宋" w:eastAsia="仿宋"/>
          <w:sz w:val="32"/>
          <w:szCs w:val="32"/>
        </w:rPr>
        <w:t>一是绩效评价范围不断拓展。2020年各县(市)、各部门以绩效评价为抓手，加强对州委州政府关心、社会关注的重大民生工程、脱贫攻坚任务、新冠肺炎防疫资金等项目开展绩效评价。</w:t>
      </w:r>
    </w:p>
    <w:p>
      <w:pPr>
        <w:spacing w:line="560" w:lineRule="exact"/>
        <w:ind w:firstLine="640" w:firstLineChars="200"/>
        <w:rPr>
          <w:rFonts w:ascii="仿宋" w:hAnsi="仿宋" w:eastAsia="仿宋"/>
          <w:sz w:val="32"/>
          <w:szCs w:val="32"/>
        </w:rPr>
      </w:pPr>
      <w:r>
        <w:rPr>
          <w:rFonts w:ascii="仿宋" w:hAnsi="仿宋" w:eastAsia="仿宋"/>
          <w:sz w:val="32"/>
          <w:szCs w:val="32"/>
        </w:rPr>
        <w:t>二是绩效理念逐步树立。对预算绩效评价工作的态度逐渐由“被动接受”变为“主动实施”，部门编制预算时填报整体支出绩效目标和项目支出绩效目标，强化绩效目标的前置管理作用，实现与预算“编审同步、上会同步、批复同步、公开同步”。通过设定绩效目标，部门自我约束意识及责任意识明显提高，“使用财政资金要进行评价，必须讲究效益”的理念逐步形成。</w:t>
      </w:r>
    </w:p>
    <w:p>
      <w:pPr>
        <w:spacing w:line="560" w:lineRule="exact"/>
        <w:ind w:firstLine="640" w:firstLineChars="200"/>
        <w:rPr>
          <w:rFonts w:ascii="仿宋" w:hAnsi="仿宋" w:eastAsia="仿宋"/>
          <w:sz w:val="32"/>
          <w:szCs w:val="32"/>
        </w:rPr>
      </w:pPr>
      <w:r>
        <w:rPr>
          <w:rFonts w:ascii="仿宋" w:hAnsi="仿宋" w:eastAsia="仿宋"/>
          <w:sz w:val="32"/>
          <w:szCs w:val="32"/>
        </w:rPr>
        <w:t>三是支出结构不断优化。从单纯的、文字化的事后绩效评价转变以绩效目标管理、事前评估、事中绩效监控相结合的预算绩效的管理方式、行为方式，把预算编制与部门发展规划和绩效目标联系起来，并进行跟踪问效。一方面，促使预算编制更科学、更规范，有利于财政部门优化财政支出结构，合理分配资金，使有限的财政资金发挥更大的效益。另一方面，通过开展绩效评价，在项目单位找出项目开展过程中找到存在的问题及其原因，促使预算部门和单位积极采取措施，加强项目的规划与科学论证，健全项目资金的核算与管理制度，改进资金使用管理方式，逐步形成自我约束、内部规范的良性机制，提高了管理水平和资金使用效益。</w:t>
      </w:r>
    </w:p>
    <w:p>
      <w:pPr>
        <w:spacing w:line="560" w:lineRule="exact"/>
        <w:ind w:firstLine="640" w:firstLineChars="200"/>
        <w:rPr>
          <w:rFonts w:ascii="仿宋" w:hAnsi="仿宋" w:eastAsia="仿宋"/>
          <w:sz w:val="32"/>
          <w:szCs w:val="32"/>
        </w:rPr>
      </w:pPr>
      <w:r>
        <w:rPr>
          <w:rFonts w:ascii="仿宋" w:hAnsi="仿宋" w:eastAsia="仿宋"/>
          <w:sz w:val="32"/>
          <w:szCs w:val="32"/>
        </w:rPr>
        <w:t>四是协作合力显著提升。通过市各部门和社会中介机构、项目实施单位的通力合作和广泛参与绩效评价工作，进一步提高了各县(市)、各部门对预算绩效管 理工作的认识。各级财政部门间、财政与主管部门及社会各方间的沟通更加顺畅、配合更加紧密，依法理财、科学理财、 为民理财的整体合力得以显著提升。</w:t>
      </w:r>
    </w:p>
    <w:p>
      <w:pPr>
        <w:pStyle w:val="2"/>
        <w:spacing w:before="156" w:after="156" w:line="560" w:lineRule="exact"/>
        <w:ind w:firstLine="643"/>
        <w:rPr>
          <w:rFonts w:hint="eastAsia"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四</w:t>
      </w:r>
      <w:r>
        <w:rPr>
          <w:rFonts w:ascii="仿宋" w:hAnsi="仿宋" w:eastAsia="仿宋" w:cs="Arial"/>
          <w:snapToGrid w:val="0"/>
          <w:color w:val="000000"/>
          <w:kern w:val="0"/>
          <w:sz w:val="32"/>
          <w:szCs w:val="32"/>
        </w:rPr>
        <w:t>、评价工作</w:t>
      </w:r>
      <w:r>
        <w:rPr>
          <w:rFonts w:hint="eastAsia" w:ascii="仿宋" w:hAnsi="仿宋" w:eastAsia="仿宋" w:cs="Arial"/>
          <w:snapToGrid w:val="0"/>
          <w:color w:val="000000"/>
          <w:kern w:val="0"/>
          <w:sz w:val="32"/>
          <w:szCs w:val="32"/>
        </w:rPr>
        <w:t>开展及项目</w:t>
      </w:r>
      <w:r>
        <w:rPr>
          <w:rFonts w:ascii="仿宋" w:hAnsi="仿宋" w:eastAsia="仿宋" w:cs="Arial"/>
          <w:snapToGrid w:val="0"/>
          <w:color w:val="000000"/>
          <w:kern w:val="0"/>
          <w:sz w:val="32"/>
          <w:szCs w:val="32"/>
        </w:rPr>
        <w:t>情况</w:t>
      </w:r>
    </w:p>
    <w:p>
      <w:pPr>
        <w:tabs>
          <w:tab w:val="center" w:pos="4405"/>
        </w:tabs>
        <w:overflowPunct w:val="0"/>
        <w:spacing w:line="560" w:lineRule="exact"/>
        <w:ind w:firstLine="472" w:firstLineChars="147"/>
        <w:rPr>
          <w:rFonts w:ascii="黑体" w:hAnsi="黑体" w:eastAsia="仿宋" w:cs="黑体"/>
          <w:b/>
          <w:bCs/>
          <w:sz w:val="32"/>
          <w:szCs w:val="30"/>
        </w:rPr>
      </w:pPr>
      <w:r>
        <w:rPr>
          <w:rFonts w:hint="eastAsia" w:ascii="黑体" w:hAnsi="黑体" w:eastAsia="仿宋" w:cs="黑体"/>
          <w:b/>
          <w:bCs/>
          <w:sz w:val="32"/>
          <w:szCs w:val="30"/>
        </w:rPr>
        <w:t>（一）项目基本情况</w:t>
      </w:r>
    </w:p>
    <w:p>
      <w:pPr>
        <w:spacing w:line="560" w:lineRule="exact"/>
        <w:ind w:firstLine="560"/>
        <w:rPr>
          <w:rFonts w:ascii="仿宋_GB2312" w:hAnsi="宋体" w:eastAsia="仿宋" w:cs="宋体"/>
          <w:sz w:val="32"/>
          <w:szCs w:val="28"/>
          <w:shd w:val="clear" w:color="auto" w:fill="FFFFFF"/>
        </w:rPr>
      </w:pPr>
      <w:r>
        <w:rPr>
          <w:rFonts w:hint="eastAsia" w:ascii="仿宋_GB2312" w:hAnsi="宋体" w:eastAsia="仿宋" w:cs="宋体"/>
          <w:sz w:val="32"/>
          <w:szCs w:val="28"/>
          <w:shd w:val="clear" w:color="auto" w:fill="FFFFFF"/>
        </w:rPr>
        <w:t>20</w:t>
      </w:r>
      <w:r>
        <w:rPr>
          <w:rFonts w:ascii="仿宋_GB2312" w:hAnsi="宋体" w:eastAsia="仿宋" w:cs="宋体"/>
          <w:sz w:val="32"/>
          <w:szCs w:val="28"/>
          <w:shd w:val="clear" w:color="auto" w:fill="FFFFFF"/>
        </w:rPr>
        <w:t>20</w:t>
      </w:r>
      <w:r>
        <w:rPr>
          <w:rFonts w:hint="eastAsia" w:ascii="仿宋_GB2312" w:hAnsi="宋体" w:eastAsia="仿宋" w:cs="宋体"/>
          <w:sz w:val="32"/>
          <w:szCs w:val="28"/>
          <w:shd w:val="clear" w:color="auto" w:fill="FFFFFF"/>
        </w:rPr>
        <w:t>年</w:t>
      </w:r>
      <w:r>
        <w:rPr>
          <w:rFonts w:ascii="仿宋_GB2312" w:hAnsi="宋体" w:eastAsia="仿宋" w:cs="宋体"/>
          <w:sz w:val="32"/>
          <w:szCs w:val="28"/>
          <w:shd w:val="clear" w:color="auto" w:fill="FFFFFF"/>
        </w:rPr>
        <w:t>9</w:t>
      </w:r>
      <w:r>
        <w:rPr>
          <w:rFonts w:hint="eastAsia" w:ascii="仿宋_GB2312" w:hAnsi="宋体" w:eastAsia="仿宋" w:cs="宋体"/>
          <w:sz w:val="32"/>
          <w:szCs w:val="28"/>
          <w:shd w:val="clear" w:color="auto" w:fill="FFFFFF"/>
        </w:rPr>
        <w:t>月</w:t>
      </w:r>
      <w:r>
        <w:rPr>
          <w:rFonts w:ascii="仿宋_GB2312" w:hAnsi="宋体" w:eastAsia="仿宋" w:cs="宋体"/>
          <w:sz w:val="32"/>
          <w:szCs w:val="28"/>
          <w:shd w:val="clear" w:color="auto" w:fill="FFFFFF"/>
        </w:rPr>
        <w:t>8</w:t>
      </w:r>
      <w:r>
        <w:rPr>
          <w:rFonts w:hint="eastAsia" w:ascii="仿宋_GB2312" w:hAnsi="宋体" w:eastAsia="仿宋" w:cs="宋体"/>
          <w:sz w:val="32"/>
          <w:szCs w:val="28"/>
          <w:shd w:val="clear" w:color="auto" w:fill="FFFFFF"/>
        </w:rPr>
        <w:t>日-</w:t>
      </w:r>
      <w:r>
        <w:rPr>
          <w:rFonts w:ascii="仿宋_GB2312" w:hAnsi="宋体" w:eastAsia="仿宋" w:cs="宋体"/>
          <w:sz w:val="32"/>
          <w:szCs w:val="28"/>
          <w:shd w:val="clear" w:color="auto" w:fill="FFFFFF"/>
        </w:rPr>
        <w:t>10</w:t>
      </w:r>
      <w:r>
        <w:rPr>
          <w:rFonts w:hint="eastAsia" w:ascii="仿宋_GB2312" w:hAnsi="宋体" w:eastAsia="仿宋" w:cs="宋体"/>
          <w:sz w:val="32"/>
          <w:szCs w:val="28"/>
          <w:shd w:val="clear" w:color="auto" w:fill="FFFFFF"/>
        </w:rPr>
        <w:t>月</w:t>
      </w:r>
      <w:r>
        <w:rPr>
          <w:rFonts w:ascii="仿宋_GB2312" w:hAnsi="宋体" w:eastAsia="仿宋" w:cs="宋体"/>
          <w:sz w:val="32"/>
          <w:szCs w:val="28"/>
          <w:shd w:val="clear" w:color="auto" w:fill="FFFFFF"/>
        </w:rPr>
        <w:t>31</w:t>
      </w:r>
      <w:r>
        <w:rPr>
          <w:rFonts w:hint="eastAsia" w:ascii="仿宋_GB2312" w:hAnsi="宋体" w:eastAsia="仿宋" w:cs="宋体"/>
          <w:sz w:val="32"/>
          <w:szCs w:val="28"/>
          <w:shd w:val="clear" w:color="auto" w:fill="FFFFFF"/>
        </w:rPr>
        <w:t>日我们通过查阅资料、询问相关人员、现场查看、问卷调查等方式对马尔康市20</w:t>
      </w:r>
      <w:r>
        <w:rPr>
          <w:rFonts w:ascii="仿宋_GB2312" w:hAnsi="宋体" w:eastAsia="仿宋" w:cs="宋体"/>
          <w:sz w:val="32"/>
          <w:szCs w:val="28"/>
          <w:shd w:val="clear" w:color="auto" w:fill="FFFFFF"/>
        </w:rPr>
        <w:t>20</w:t>
      </w:r>
      <w:r>
        <w:rPr>
          <w:rFonts w:hint="eastAsia" w:ascii="仿宋_GB2312" w:hAnsi="宋体" w:eastAsia="仿宋" w:cs="宋体"/>
          <w:sz w:val="32"/>
          <w:szCs w:val="28"/>
          <w:shd w:val="clear" w:color="auto" w:fill="FFFFFF"/>
        </w:rPr>
        <w:t>年财政支出项目进行了现场评价。本次绩效评价共包含2</w:t>
      </w:r>
      <w:r>
        <w:rPr>
          <w:rFonts w:ascii="仿宋_GB2312" w:hAnsi="宋体" w:eastAsia="仿宋" w:cs="宋体"/>
          <w:sz w:val="32"/>
          <w:szCs w:val="28"/>
          <w:shd w:val="clear" w:color="auto" w:fill="FFFFFF"/>
        </w:rPr>
        <w:t>3</w:t>
      </w:r>
      <w:r>
        <w:rPr>
          <w:rFonts w:hint="eastAsia" w:ascii="仿宋_GB2312" w:hAnsi="宋体" w:eastAsia="仿宋" w:cs="宋体"/>
          <w:sz w:val="32"/>
          <w:szCs w:val="28"/>
          <w:shd w:val="clear" w:color="auto" w:fill="FFFFFF"/>
        </w:rPr>
        <w:t>个项目支出、</w:t>
      </w:r>
      <w:r>
        <w:rPr>
          <w:rFonts w:ascii="仿宋_GB2312" w:hAnsi="宋体" w:eastAsia="仿宋" w:cs="宋体"/>
          <w:sz w:val="32"/>
          <w:szCs w:val="28"/>
          <w:shd w:val="clear" w:color="auto" w:fill="FFFFFF"/>
        </w:rPr>
        <w:t>5</w:t>
      </w:r>
      <w:r>
        <w:rPr>
          <w:rFonts w:hint="eastAsia" w:ascii="仿宋_GB2312" w:hAnsi="宋体" w:eastAsia="仿宋" w:cs="宋体"/>
          <w:sz w:val="32"/>
          <w:szCs w:val="28"/>
          <w:shd w:val="clear" w:color="auto" w:fill="FFFFFF"/>
        </w:rPr>
        <w:t>个财政政策和1</w:t>
      </w:r>
      <w:r>
        <w:rPr>
          <w:rFonts w:ascii="仿宋_GB2312" w:hAnsi="宋体" w:eastAsia="仿宋" w:cs="宋体"/>
          <w:sz w:val="32"/>
          <w:szCs w:val="28"/>
          <w:shd w:val="clear" w:color="auto" w:fill="FFFFFF"/>
        </w:rPr>
        <w:t>3</w:t>
      </w:r>
      <w:r>
        <w:rPr>
          <w:rFonts w:hint="eastAsia" w:ascii="仿宋_GB2312" w:hAnsi="宋体" w:eastAsia="仿宋" w:cs="宋体"/>
          <w:sz w:val="32"/>
          <w:szCs w:val="28"/>
          <w:shd w:val="clear" w:color="auto" w:fill="FFFFFF"/>
        </w:rPr>
        <w:t>个部门整体支出，涉及</w:t>
      </w:r>
      <w:r>
        <w:rPr>
          <w:rFonts w:ascii="仿宋_GB2312" w:hAnsi="宋体" w:eastAsia="仿宋" w:cs="宋体"/>
          <w:sz w:val="32"/>
          <w:szCs w:val="28"/>
          <w:shd w:val="clear" w:color="auto" w:fill="FFFFFF"/>
        </w:rPr>
        <w:t>46</w:t>
      </w:r>
      <w:r>
        <w:rPr>
          <w:rFonts w:hint="eastAsia" w:ascii="仿宋_GB2312" w:hAnsi="宋体" w:eastAsia="仿宋" w:cs="宋体"/>
          <w:sz w:val="32"/>
          <w:szCs w:val="28"/>
          <w:shd w:val="clear" w:color="auto" w:fill="FFFFFF"/>
        </w:rPr>
        <w:t>个被评价单位，涉及项目支出评价资金</w:t>
      </w:r>
      <w:r>
        <w:rPr>
          <w:rFonts w:ascii="仿宋_GB2312" w:hAnsi="宋体" w:eastAsia="仿宋" w:cs="宋体"/>
          <w:sz w:val="32"/>
          <w:szCs w:val="28"/>
          <w:shd w:val="clear" w:color="auto" w:fill="FFFFFF"/>
        </w:rPr>
        <w:t>26,677.69</w:t>
      </w:r>
      <w:r>
        <w:rPr>
          <w:rFonts w:hint="eastAsia" w:ascii="仿宋_GB2312" w:hAnsi="宋体" w:eastAsia="仿宋" w:cs="宋体"/>
          <w:sz w:val="32"/>
          <w:szCs w:val="28"/>
          <w:shd w:val="clear" w:color="auto" w:fill="FFFFFF"/>
        </w:rPr>
        <w:t>万元。</w:t>
      </w:r>
    </w:p>
    <w:p>
      <w:pPr>
        <w:tabs>
          <w:tab w:val="center" w:pos="4405"/>
        </w:tabs>
        <w:overflowPunct w:val="0"/>
        <w:spacing w:line="560" w:lineRule="exact"/>
        <w:ind w:firstLine="472" w:firstLineChars="147"/>
        <w:rPr>
          <w:rFonts w:ascii="黑体" w:hAnsi="黑体" w:eastAsia="仿宋" w:cs="黑体"/>
          <w:b/>
          <w:bCs/>
          <w:sz w:val="32"/>
          <w:szCs w:val="30"/>
        </w:rPr>
      </w:pPr>
      <w:r>
        <w:rPr>
          <w:rFonts w:hint="eastAsia" w:ascii="黑体" w:hAnsi="黑体" w:eastAsia="仿宋" w:cs="黑体"/>
          <w:b/>
          <w:bCs/>
          <w:sz w:val="32"/>
          <w:szCs w:val="30"/>
        </w:rPr>
        <w:t>（二）评价结论</w:t>
      </w:r>
    </w:p>
    <w:p>
      <w:pPr>
        <w:spacing w:line="560" w:lineRule="exact"/>
        <w:ind w:firstLine="643"/>
        <w:rPr>
          <w:rFonts w:hint="eastAsia" w:ascii="楷体_GB2312" w:hAnsi="楷体_GB2312" w:eastAsia="仿宋" w:cs="楷体_GB2312"/>
          <w:bCs/>
          <w:sz w:val="32"/>
          <w:szCs w:val="32"/>
          <w:lang w:bidi="ar"/>
        </w:rPr>
      </w:pPr>
      <w:bookmarkStart w:id="0" w:name="_Hlk57726394"/>
      <w:r>
        <w:rPr>
          <w:rFonts w:hint="eastAsia" w:ascii="楷体_GB2312" w:hAnsi="楷体_GB2312" w:eastAsia="仿宋" w:cs="楷体_GB2312"/>
          <w:bCs/>
          <w:sz w:val="32"/>
          <w:szCs w:val="32"/>
          <w:lang w:bidi="ar"/>
        </w:rPr>
        <w:t>1、项目支出</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通过数据采集、归纳、分析、问卷调查等方法对本项目绩效进行客观评价，最终评分为</w:t>
      </w:r>
      <w:r>
        <w:rPr>
          <w:rFonts w:ascii="仿宋_GB2312" w:hAnsi="宋体" w:eastAsia="仿宋" w:cs="仿宋_GB2312"/>
          <w:sz w:val="32"/>
          <w:szCs w:val="28"/>
          <w:lang w:bidi="ar"/>
        </w:rPr>
        <w:t>78.50</w:t>
      </w:r>
      <w:r>
        <w:rPr>
          <w:rFonts w:hint="eastAsia" w:ascii="仿宋_GB2312" w:hAnsi="宋体" w:eastAsia="仿宋" w:cs="仿宋_GB2312"/>
          <w:sz w:val="32"/>
          <w:szCs w:val="28"/>
          <w:lang w:bidi="ar"/>
        </w:rPr>
        <w:t>。其中，项目决策类指标权重20分，实得</w:t>
      </w:r>
      <w:r>
        <w:rPr>
          <w:rFonts w:ascii="仿宋_GB2312" w:hAnsi="宋体" w:eastAsia="仿宋" w:cs="仿宋_GB2312"/>
          <w:sz w:val="32"/>
          <w:szCs w:val="28"/>
          <w:lang w:bidi="ar"/>
        </w:rPr>
        <w:t>13.72</w:t>
      </w:r>
      <w:r>
        <w:rPr>
          <w:rFonts w:hint="eastAsia" w:ascii="仿宋_GB2312" w:hAnsi="宋体" w:eastAsia="仿宋" w:cs="仿宋_GB2312"/>
          <w:sz w:val="32"/>
          <w:szCs w:val="28"/>
          <w:lang w:bidi="ar"/>
        </w:rPr>
        <w:t>分，得分率为</w:t>
      </w:r>
      <w:r>
        <w:rPr>
          <w:rFonts w:ascii="仿宋_GB2312" w:hAnsi="宋体" w:eastAsia="仿宋" w:cs="仿宋_GB2312"/>
          <w:sz w:val="32"/>
          <w:szCs w:val="28"/>
          <w:lang w:bidi="ar"/>
        </w:rPr>
        <w:t>68.60</w:t>
      </w:r>
      <w:r>
        <w:rPr>
          <w:rFonts w:hint="eastAsia" w:ascii="仿宋_GB2312" w:hAnsi="宋体" w:eastAsia="仿宋" w:cs="仿宋_GB2312"/>
          <w:sz w:val="32"/>
          <w:szCs w:val="28"/>
          <w:lang w:bidi="ar"/>
        </w:rPr>
        <w:t>%；项目管理类指标权重10分，实得</w:t>
      </w:r>
      <w:r>
        <w:rPr>
          <w:rFonts w:ascii="仿宋_GB2312" w:hAnsi="宋体" w:eastAsia="仿宋" w:cs="仿宋_GB2312"/>
          <w:sz w:val="32"/>
          <w:szCs w:val="28"/>
          <w:lang w:bidi="ar"/>
        </w:rPr>
        <w:t>7.30</w:t>
      </w:r>
      <w:r>
        <w:rPr>
          <w:rFonts w:hint="eastAsia" w:ascii="仿宋_GB2312" w:hAnsi="宋体" w:eastAsia="仿宋" w:cs="仿宋_GB2312"/>
          <w:sz w:val="32"/>
          <w:szCs w:val="28"/>
          <w:lang w:bidi="ar"/>
        </w:rPr>
        <w:t>分，得分率为</w:t>
      </w:r>
      <w:r>
        <w:rPr>
          <w:rFonts w:ascii="仿宋_GB2312" w:hAnsi="宋体" w:eastAsia="仿宋" w:cs="仿宋_GB2312"/>
          <w:sz w:val="32"/>
          <w:szCs w:val="28"/>
          <w:lang w:bidi="ar"/>
        </w:rPr>
        <w:t>73.00</w:t>
      </w:r>
      <w:r>
        <w:rPr>
          <w:rFonts w:hint="eastAsia" w:ascii="仿宋_GB2312" w:hAnsi="宋体" w:eastAsia="仿宋" w:cs="仿宋_GB2312"/>
          <w:sz w:val="32"/>
          <w:szCs w:val="28"/>
          <w:lang w:bidi="ar"/>
        </w:rPr>
        <w:t>%；项目绩效类指标权重70分，实得</w:t>
      </w:r>
      <w:r>
        <w:rPr>
          <w:rFonts w:ascii="仿宋_GB2312" w:hAnsi="宋体" w:eastAsia="仿宋" w:cs="仿宋_GB2312"/>
          <w:sz w:val="32"/>
          <w:szCs w:val="28"/>
          <w:lang w:bidi="ar"/>
        </w:rPr>
        <w:t>57.48</w:t>
      </w:r>
      <w:r>
        <w:rPr>
          <w:rFonts w:hint="eastAsia" w:ascii="仿宋_GB2312" w:hAnsi="宋体" w:eastAsia="仿宋" w:cs="仿宋_GB2312"/>
          <w:sz w:val="32"/>
          <w:szCs w:val="28"/>
          <w:lang w:bidi="ar"/>
        </w:rPr>
        <w:t>分，得分率为</w:t>
      </w:r>
      <w:r>
        <w:rPr>
          <w:rFonts w:ascii="仿宋_GB2312" w:hAnsi="宋体" w:eastAsia="仿宋" w:cs="仿宋_GB2312"/>
          <w:sz w:val="32"/>
          <w:szCs w:val="28"/>
          <w:lang w:bidi="ar"/>
        </w:rPr>
        <w:t>82.11</w:t>
      </w:r>
      <w:r>
        <w:rPr>
          <w:rFonts w:hint="eastAsia" w:ascii="仿宋_GB2312" w:hAnsi="宋体" w:eastAsia="仿宋" w:cs="仿宋_GB2312"/>
          <w:sz w:val="32"/>
          <w:szCs w:val="28"/>
          <w:lang w:bidi="ar"/>
        </w:rPr>
        <w:t>%。</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具体得分情况如下：</w:t>
      </w:r>
    </w:p>
    <w:p>
      <w:pPr>
        <w:spacing w:line="560" w:lineRule="exact"/>
        <w:jc w:val="center"/>
        <w:rPr>
          <w:rFonts w:ascii="仿宋_GB2312" w:hAnsi="宋体" w:eastAsia="仿宋" w:cs="仿宋_GB2312"/>
          <w:bCs/>
          <w:sz w:val="32"/>
          <w:lang w:bidi="ar"/>
        </w:rPr>
      </w:pPr>
      <w:r>
        <w:rPr>
          <w:rFonts w:hint="eastAsia" w:ascii="仿宋_GB2312" w:hAnsi="宋体" w:eastAsia="仿宋" w:cs="仿宋_GB2312"/>
          <w:bCs/>
          <w:sz w:val="32"/>
          <w:lang w:bidi="ar"/>
        </w:rPr>
        <w:t>表3 项目支出评分结果汇总表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144"/>
        <w:gridCol w:w="2144"/>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D7D7D7"/>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指标</w:t>
            </w:r>
          </w:p>
        </w:tc>
        <w:tc>
          <w:tcPr>
            <w:tcW w:w="1191" w:type="pct"/>
            <w:shd w:val="clear" w:color="auto" w:fill="D7D7D7"/>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权重</w:t>
            </w:r>
          </w:p>
        </w:tc>
        <w:tc>
          <w:tcPr>
            <w:tcW w:w="1191" w:type="pct"/>
            <w:shd w:val="clear" w:color="auto" w:fill="D7D7D7"/>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得分</w:t>
            </w:r>
          </w:p>
        </w:tc>
        <w:tc>
          <w:tcPr>
            <w:tcW w:w="1191" w:type="pct"/>
            <w:shd w:val="clear" w:color="auto" w:fill="D7D7D7"/>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项目决策</w:t>
            </w:r>
          </w:p>
        </w:tc>
        <w:tc>
          <w:tcPr>
            <w:tcW w:w="1191"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20.00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13.72</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68.60%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项目管理</w:t>
            </w:r>
          </w:p>
        </w:tc>
        <w:tc>
          <w:tcPr>
            <w:tcW w:w="1191"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10.00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7.3</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项目效果</w:t>
            </w:r>
          </w:p>
        </w:tc>
        <w:tc>
          <w:tcPr>
            <w:tcW w:w="1191"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70.00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57.48</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合计</w:t>
            </w:r>
          </w:p>
        </w:tc>
        <w:tc>
          <w:tcPr>
            <w:tcW w:w="1191" w:type="pct"/>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100.00</w:t>
            </w:r>
          </w:p>
        </w:tc>
        <w:tc>
          <w:tcPr>
            <w:tcW w:w="1191" w:type="pct"/>
            <w:shd w:val="clear" w:color="auto" w:fill="BEBEBE"/>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78.50</w:t>
            </w:r>
          </w:p>
        </w:tc>
        <w:tc>
          <w:tcPr>
            <w:tcW w:w="1191" w:type="pct"/>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78.50%</w:t>
            </w:r>
          </w:p>
        </w:tc>
      </w:tr>
      <w:bookmarkEnd w:id="0"/>
    </w:tbl>
    <w:p>
      <w:pPr>
        <w:spacing w:line="560" w:lineRule="exact"/>
        <w:rPr>
          <w:rFonts w:ascii="楷体_GB2312" w:hAnsi="楷体_GB2312" w:eastAsia="仿宋" w:cs="楷体_GB2312"/>
          <w:bCs/>
          <w:sz w:val="32"/>
          <w:szCs w:val="32"/>
          <w:highlight w:val="yellow"/>
          <w:lang w:bidi="ar"/>
        </w:rPr>
      </w:pPr>
    </w:p>
    <w:p>
      <w:pPr>
        <w:spacing w:line="560" w:lineRule="exact"/>
        <w:ind w:firstLine="643"/>
        <w:rPr>
          <w:rFonts w:hint="eastAsia" w:ascii="楷体_GB2312" w:hAnsi="楷体_GB2312" w:eastAsia="仿宋" w:cs="楷体_GB2312"/>
          <w:bCs/>
          <w:sz w:val="32"/>
          <w:szCs w:val="32"/>
          <w:lang w:bidi="ar"/>
        </w:rPr>
      </w:pPr>
      <w:r>
        <w:rPr>
          <w:rFonts w:hint="eastAsia" w:ascii="楷体_GB2312" w:hAnsi="楷体_GB2312" w:eastAsia="仿宋" w:cs="楷体_GB2312"/>
          <w:bCs/>
          <w:sz w:val="32"/>
          <w:szCs w:val="32"/>
          <w:lang w:bidi="ar"/>
        </w:rPr>
        <w:t>2、部门整体支出</w:t>
      </w:r>
    </w:p>
    <w:p>
      <w:pPr>
        <w:spacing w:line="560" w:lineRule="exact"/>
        <w:ind w:firstLine="560"/>
        <w:rPr>
          <w:rFonts w:ascii="仿宋_GB2312" w:hAnsi="宋体" w:eastAsia="仿宋"/>
          <w:sz w:val="32"/>
          <w:szCs w:val="28"/>
        </w:rPr>
      </w:pPr>
      <w:r>
        <w:rPr>
          <w:rFonts w:hint="eastAsia" w:ascii="仿宋_GB2312" w:hAnsi="宋体" w:eastAsia="仿宋"/>
          <w:sz w:val="32"/>
          <w:szCs w:val="28"/>
        </w:rPr>
        <w:t>通过数据采集、归纳、分析等方法对本项目绩效进行客观评价，最终评分为80.37分。其中，预算编制类指标权重10分，实得8.35分，得分率为83.45%；预算执行类指标权重20分，实得16.40分，得分率为82.00%；综合管理类指标权重40分，实得30.98分，得分率为77.44%；整体效益类指标权重30分，实得24.67分，得分率为82.23%。</w:t>
      </w:r>
    </w:p>
    <w:p>
      <w:pPr>
        <w:spacing w:line="560" w:lineRule="exact"/>
        <w:ind w:firstLine="560"/>
        <w:rPr>
          <w:rFonts w:hint="eastAsia" w:ascii="仿宋_GB2312" w:hAnsi="宋体" w:eastAsia="仿宋" w:cs="仿宋_GB2312"/>
          <w:bCs/>
          <w:sz w:val="32"/>
          <w:lang w:bidi="ar"/>
        </w:rPr>
      </w:pPr>
      <w:r>
        <w:rPr>
          <w:rFonts w:hint="eastAsia" w:ascii="仿宋_GB2312" w:hAnsi="宋体" w:eastAsia="仿宋" w:cs="仿宋_GB2312"/>
          <w:sz w:val="32"/>
          <w:szCs w:val="28"/>
          <w:lang w:bidi="ar"/>
        </w:rPr>
        <w:t>具体得分情况如下：</w:t>
      </w:r>
    </w:p>
    <w:p>
      <w:pPr>
        <w:spacing w:line="560" w:lineRule="exact"/>
        <w:jc w:val="center"/>
        <w:rPr>
          <w:rFonts w:ascii="仿宋_GB2312" w:hAnsi="宋体" w:eastAsia="仿宋" w:cs="仿宋_GB2312"/>
          <w:bCs/>
          <w:sz w:val="32"/>
          <w:lang w:bidi="ar"/>
        </w:rPr>
      </w:pPr>
      <w:r>
        <w:rPr>
          <w:rFonts w:hint="eastAsia" w:ascii="仿宋_GB2312" w:hAnsi="宋体" w:eastAsia="仿宋" w:cs="仿宋_GB2312"/>
          <w:bCs/>
          <w:sz w:val="32"/>
          <w:lang w:bidi="ar"/>
        </w:rPr>
        <w:t>部门整体支出评分结果汇总表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1962"/>
        <w:gridCol w:w="1962"/>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54" w:type="dxa"/>
            <w:shd w:val="clear" w:color="auto" w:fill="D7D7D7"/>
            <w:vAlign w:val="center"/>
          </w:tcPr>
          <w:p>
            <w:pPr>
              <w:spacing w:line="560" w:lineRule="exact"/>
              <w:ind w:firstLine="422"/>
              <w:jc w:val="center"/>
              <w:rPr>
                <w:rFonts w:ascii="仿宋_GB2312" w:hAnsi="宋体" w:eastAsia="仿宋"/>
                <w:bCs/>
                <w:sz w:val="32"/>
              </w:rPr>
            </w:pPr>
            <w:r>
              <w:rPr>
                <w:rFonts w:ascii="仿宋_GB2312" w:hAnsi="宋体" w:eastAsia="仿宋"/>
                <w:bCs/>
                <w:sz w:val="32"/>
              </w:rPr>
              <w:t>指标</w:t>
            </w:r>
          </w:p>
        </w:tc>
        <w:tc>
          <w:tcPr>
            <w:tcW w:w="1962" w:type="dxa"/>
            <w:shd w:val="clear" w:color="auto" w:fill="D7D7D7"/>
            <w:vAlign w:val="center"/>
          </w:tcPr>
          <w:p>
            <w:pPr>
              <w:spacing w:line="560" w:lineRule="exact"/>
              <w:jc w:val="center"/>
              <w:rPr>
                <w:rFonts w:ascii="仿宋_GB2312" w:hAnsi="宋体" w:eastAsia="仿宋"/>
                <w:bCs/>
                <w:sz w:val="32"/>
              </w:rPr>
            </w:pPr>
            <w:r>
              <w:rPr>
                <w:rFonts w:ascii="仿宋_GB2312" w:hAnsi="宋体" w:eastAsia="仿宋"/>
                <w:bCs/>
                <w:sz w:val="32"/>
              </w:rPr>
              <w:t>权重</w:t>
            </w:r>
          </w:p>
        </w:tc>
        <w:tc>
          <w:tcPr>
            <w:tcW w:w="1962" w:type="dxa"/>
            <w:shd w:val="clear" w:color="auto" w:fill="D7D7D7"/>
            <w:vAlign w:val="center"/>
          </w:tcPr>
          <w:p>
            <w:pPr>
              <w:spacing w:line="560" w:lineRule="exact"/>
              <w:jc w:val="center"/>
              <w:rPr>
                <w:rFonts w:ascii="仿宋_GB2312" w:hAnsi="宋体" w:eastAsia="仿宋"/>
                <w:bCs/>
                <w:sz w:val="32"/>
              </w:rPr>
            </w:pPr>
            <w:r>
              <w:rPr>
                <w:rFonts w:ascii="仿宋_GB2312" w:hAnsi="宋体" w:eastAsia="仿宋"/>
                <w:bCs/>
                <w:sz w:val="32"/>
              </w:rPr>
              <w:t>得分</w:t>
            </w:r>
          </w:p>
        </w:tc>
        <w:tc>
          <w:tcPr>
            <w:tcW w:w="1962" w:type="dxa"/>
            <w:shd w:val="clear" w:color="auto" w:fill="D7D7D7"/>
            <w:vAlign w:val="center"/>
          </w:tcPr>
          <w:p>
            <w:pPr>
              <w:spacing w:line="560" w:lineRule="exact"/>
              <w:jc w:val="center"/>
              <w:rPr>
                <w:rFonts w:ascii="仿宋_GB2312" w:hAnsi="宋体" w:eastAsia="仿宋"/>
                <w:bCs/>
                <w:sz w:val="32"/>
              </w:rPr>
            </w:pPr>
            <w:r>
              <w:rPr>
                <w:rFonts w:ascii="仿宋_GB2312" w:hAnsi="宋体" w:eastAsia="仿宋"/>
                <w:bCs/>
                <w:sz w:val="32"/>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54" w:type="dxa"/>
            <w:shd w:val="clear" w:color="auto" w:fill="auto"/>
          </w:tcPr>
          <w:p>
            <w:pPr>
              <w:spacing w:line="560" w:lineRule="exact"/>
              <w:jc w:val="center"/>
              <w:rPr>
                <w:rFonts w:ascii="仿宋_GB2312" w:hAnsi="宋体" w:eastAsia="仿宋"/>
                <w:sz w:val="32"/>
              </w:rPr>
            </w:pPr>
            <w:r>
              <w:rPr>
                <w:rFonts w:ascii="仿宋_GB2312" w:hAnsi="宋体" w:eastAsia="仿宋"/>
                <w:sz w:val="32"/>
              </w:rPr>
              <w:t>预算编制</w:t>
            </w:r>
          </w:p>
        </w:tc>
        <w:tc>
          <w:tcPr>
            <w:tcW w:w="1962" w:type="dxa"/>
            <w:shd w:val="clear" w:color="auto" w:fill="auto"/>
            <w:vAlign w:val="center"/>
          </w:tcPr>
          <w:p>
            <w:pPr>
              <w:spacing w:line="560" w:lineRule="exact"/>
              <w:ind w:firstLine="420"/>
              <w:jc w:val="center"/>
              <w:rPr>
                <w:rFonts w:ascii="仿宋_GB2312" w:hAnsi="宋体" w:eastAsia="仿宋"/>
                <w:sz w:val="32"/>
              </w:rPr>
            </w:pPr>
            <w:r>
              <w:rPr>
                <w:rFonts w:ascii="仿宋_GB2312" w:hAnsi="宋体" w:eastAsia="仿宋"/>
                <w:sz w:val="32"/>
              </w:rPr>
              <w:t>10.00</w:t>
            </w:r>
          </w:p>
        </w:tc>
        <w:tc>
          <w:tcPr>
            <w:tcW w:w="1962"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8.35</w:t>
            </w:r>
          </w:p>
        </w:tc>
        <w:tc>
          <w:tcPr>
            <w:tcW w:w="1962"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83.45%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54" w:type="dxa"/>
            <w:shd w:val="clear" w:color="auto" w:fill="auto"/>
          </w:tcPr>
          <w:p>
            <w:pPr>
              <w:spacing w:line="560" w:lineRule="exact"/>
              <w:jc w:val="center"/>
              <w:rPr>
                <w:rFonts w:ascii="仿宋_GB2312" w:hAnsi="宋体" w:eastAsia="仿宋"/>
                <w:sz w:val="32"/>
              </w:rPr>
            </w:pPr>
            <w:r>
              <w:rPr>
                <w:rFonts w:ascii="仿宋_GB2312" w:hAnsi="宋体" w:eastAsia="仿宋"/>
                <w:sz w:val="32"/>
              </w:rPr>
              <w:t>预算执行</w:t>
            </w:r>
          </w:p>
        </w:tc>
        <w:tc>
          <w:tcPr>
            <w:tcW w:w="1962" w:type="dxa"/>
            <w:shd w:val="clear" w:color="auto" w:fill="auto"/>
            <w:vAlign w:val="center"/>
          </w:tcPr>
          <w:p>
            <w:pPr>
              <w:spacing w:line="560" w:lineRule="exact"/>
              <w:ind w:firstLine="420"/>
              <w:jc w:val="center"/>
              <w:rPr>
                <w:rFonts w:ascii="仿宋_GB2312" w:hAnsi="宋体" w:eastAsia="仿宋"/>
                <w:sz w:val="32"/>
              </w:rPr>
            </w:pPr>
            <w:r>
              <w:rPr>
                <w:rFonts w:ascii="仿宋_GB2312" w:hAnsi="宋体" w:eastAsia="仿宋"/>
                <w:sz w:val="32"/>
              </w:rPr>
              <w:t>20.00</w:t>
            </w:r>
          </w:p>
        </w:tc>
        <w:tc>
          <w:tcPr>
            <w:tcW w:w="1962"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16.40</w:t>
            </w:r>
          </w:p>
        </w:tc>
        <w:tc>
          <w:tcPr>
            <w:tcW w:w="1962"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54" w:type="dxa"/>
            <w:shd w:val="clear" w:color="auto" w:fill="auto"/>
          </w:tcPr>
          <w:p>
            <w:pPr>
              <w:spacing w:line="560" w:lineRule="exact"/>
              <w:jc w:val="center"/>
              <w:rPr>
                <w:rFonts w:ascii="仿宋_GB2312" w:hAnsi="宋体" w:eastAsia="仿宋"/>
                <w:sz w:val="32"/>
              </w:rPr>
            </w:pPr>
            <w:r>
              <w:rPr>
                <w:rFonts w:ascii="仿宋_GB2312" w:hAnsi="宋体" w:eastAsia="仿宋"/>
                <w:sz w:val="32"/>
              </w:rPr>
              <w:t>综合管理</w:t>
            </w:r>
          </w:p>
        </w:tc>
        <w:tc>
          <w:tcPr>
            <w:tcW w:w="1962" w:type="dxa"/>
            <w:shd w:val="clear" w:color="auto" w:fill="auto"/>
            <w:vAlign w:val="center"/>
          </w:tcPr>
          <w:p>
            <w:pPr>
              <w:spacing w:line="560" w:lineRule="exact"/>
              <w:ind w:firstLine="420"/>
              <w:jc w:val="center"/>
              <w:rPr>
                <w:rFonts w:ascii="仿宋_GB2312" w:hAnsi="宋体" w:eastAsia="仿宋"/>
                <w:sz w:val="32"/>
              </w:rPr>
            </w:pPr>
            <w:r>
              <w:rPr>
                <w:rFonts w:ascii="仿宋_GB2312" w:hAnsi="宋体" w:eastAsia="仿宋"/>
                <w:sz w:val="32"/>
              </w:rPr>
              <w:t>40.00</w:t>
            </w:r>
          </w:p>
        </w:tc>
        <w:tc>
          <w:tcPr>
            <w:tcW w:w="1962"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30.98</w:t>
            </w:r>
          </w:p>
        </w:tc>
        <w:tc>
          <w:tcPr>
            <w:tcW w:w="1962"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77.44%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54" w:type="dxa"/>
            <w:shd w:val="clear" w:color="auto" w:fill="auto"/>
          </w:tcPr>
          <w:p>
            <w:pPr>
              <w:spacing w:line="560" w:lineRule="exact"/>
              <w:jc w:val="center"/>
              <w:rPr>
                <w:rFonts w:ascii="仿宋_GB2312" w:hAnsi="宋体" w:eastAsia="仿宋"/>
                <w:sz w:val="32"/>
              </w:rPr>
            </w:pPr>
            <w:r>
              <w:rPr>
                <w:rFonts w:ascii="仿宋_GB2312" w:hAnsi="宋体" w:eastAsia="仿宋"/>
                <w:sz w:val="32"/>
              </w:rPr>
              <w:t>整体效益</w:t>
            </w:r>
          </w:p>
        </w:tc>
        <w:tc>
          <w:tcPr>
            <w:tcW w:w="1962" w:type="dxa"/>
            <w:shd w:val="clear" w:color="auto" w:fill="auto"/>
            <w:vAlign w:val="center"/>
          </w:tcPr>
          <w:p>
            <w:pPr>
              <w:spacing w:line="560" w:lineRule="exact"/>
              <w:ind w:firstLine="420"/>
              <w:jc w:val="center"/>
              <w:rPr>
                <w:rFonts w:ascii="仿宋_GB2312" w:hAnsi="宋体" w:eastAsia="仿宋"/>
                <w:sz w:val="32"/>
              </w:rPr>
            </w:pPr>
            <w:r>
              <w:rPr>
                <w:rFonts w:ascii="仿宋_GB2312" w:hAnsi="宋体" w:eastAsia="仿宋"/>
                <w:sz w:val="32"/>
              </w:rPr>
              <w:t>30.00</w:t>
            </w:r>
          </w:p>
        </w:tc>
        <w:tc>
          <w:tcPr>
            <w:tcW w:w="1962"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24.67</w:t>
            </w:r>
          </w:p>
        </w:tc>
        <w:tc>
          <w:tcPr>
            <w:tcW w:w="1962"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54" w:type="dxa"/>
            <w:shd w:val="clear" w:color="auto" w:fill="BEBEBE"/>
            <w:vAlign w:val="center"/>
          </w:tcPr>
          <w:p>
            <w:pPr>
              <w:spacing w:line="560" w:lineRule="exact"/>
              <w:ind w:firstLine="422"/>
              <w:jc w:val="center"/>
              <w:rPr>
                <w:rFonts w:ascii="仿宋_GB2312" w:hAnsi="宋体" w:eastAsia="仿宋"/>
                <w:bCs/>
                <w:sz w:val="32"/>
              </w:rPr>
            </w:pPr>
            <w:r>
              <w:rPr>
                <w:rFonts w:ascii="仿宋_GB2312" w:hAnsi="宋体" w:eastAsia="仿宋"/>
                <w:bCs/>
                <w:sz w:val="32"/>
              </w:rPr>
              <w:t>合计</w:t>
            </w:r>
          </w:p>
        </w:tc>
        <w:tc>
          <w:tcPr>
            <w:tcW w:w="1962" w:type="dxa"/>
            <w:shd w:val="clear" w:color="auto" w:fill="BEBEBE"/>
            <w:vAlign w:val="center"/>
          </w:tcPr>
          <w:p>
            <w:pPr>
              <w:spacing w:line="560" w:lineRule="exact"/>
              <w:ind w:firstLine="422"/>
              <w:jc w:val="center"/>
              <w:rPr>
                <w:rFonts w:ascii="仿宋_GB2312" w:hAnsi="宋体" w:eastAsia="仿宋"/>
                <w:bCs/>
                <w:sz w:val="32"/>
              </w:rPr>
            </w:pPr>
            <w:r>
              <w:rPr>
                <w:rFonts w:ascii="仿宋_GB2312" w:hAnsi="宋体" w:eastAsia="仿宋"/>
                <w:bCs/>
                <w:sz w:val="32"/>
              </w:rPr>
              <w:t>100.00</w:t>
            </w:r>
          </w:p>
        </w:tc>
        <w:tc>
          <w:tcPr>
            <w:tcW w:w="1962" w:type="dxa"/>
            <w:shd w:val="clear" w:color="auto" w:fill="BEBEBE"/>
            <w:vAlign w:val="center"/>
          </w:tcPr>
          <w:p>
            <w:pPr>
              <w:spacing w:line="560" w:lineRule="exact"/>
              <w:jc w:val="center"/>
              <w:rPr>
                <w:rFonts w:ascii="仿宋_GB2312" w:hAnsi="宋体" w:eastAsia="仿宋"/>
                <w:bCs/>
                <w:sz w:val="32"/>
              </w:rPr>
            </w:pPr>
            <w:r>
              <w:rPr>
                <w:rFonts w:ascii="仿宋_GB2312" w:hAnsi="宋体" w:eastAsia="仿宋"/>
                <w:bCs/>
                <w:sz w:val="32"/>
              </w:rPr>
              <w:t>80.37</w:t>
            </w:r>
          </w:p>
        </w:tc>
        <w:tc>
          <w:tcPr>
            <w:tcW w:w="1962" w:type="dxa"/>
            <w:shd w:val="clear" w:color="auto" w:fill="BEBEBE"/>
            <w:vAlign w:val="center"/>
          </w:tcPr>
          <w:p>
            <w:pPr>
              <w:spacing w:line="560" w:lineRule="exact"/>
              <w:jc w:val="center"/>
              <w:rPr>
                <w:rFonts w:ascii="仿宋_GB2312" w:hAnsi="宋体" w:eastAsia="仿宋"/>
                <w:bCs/>
                <w:sz w:val="32"/>
              </w:rPr>
            </w:pPr>
            <w:r>
              <w:rPr>
                <w:rFonts w:ascii="仿宋_GB2312" w:hAnsi="宋体" w:eastAsia="仿宋"/>
                <w:bCs/>
                <w:sz w:val="32"/>
              </w:rPr>
              <w:t>80.37%</w:t>
            </w:r>
          </w:p>
        </w:tc>
      </w:tr>
    </w:tbl>
    <w:p>
      <w:pPr>
        <w:spacing w:line="560" w:lineRule="exact"/>
        <w:ind w:firstLine="643"/>
        <w:rPr>
          <w:rFonts w:ascii="楷体_GB2312" w:hAnsi="楷体_GB2312" w:eastAsia="仿宋" w:cs="楷体_GB2312"/>
          <w:bCs/>
          <w:sz w:val="32"/>
          <w:szCs w:val="32"/>
          <w:lang w:bidi="ar"/>
        </w:rPr>
      </w:pPr>
    </w:p>
    <w:p>
      <w:pPr>
        <w:spacing w:line="560" w:lineRule="exact"/>
        <w:ind w:firstLine="643"/>
        <w:rPr>
          <w:rFonts w:hint="eastAsia" w:ascii="楷体_GB2312" w:hAnsi="楷体_GB2312" w:eastAsia="仿宋" w:cs="楷体_GB2312"/>
          <w:bCs/>
          <w:sz w:val="32"/>
          <w:szCs w:val="32"/>
          <w:lang w:bidi="ar"/>
        </w:rPr>
      </w:pPr>
      <w:r>
        <w:rPr>
          <w:rFonts w:ascii="楷体_GB2312" w:hAnsi="楷体_GB2312" w:eastAsia="仿宋" w:cs="楷体_GB2312"/>
          <w:bCs/>
          <w:sz w:val="32"/>
          <w:szCs w:val="32"/>
          <w:lang w:bidi="ar"/>
        </w:rPr>
        <w:t>3</w:t>
      </w:r>
      <w:r>
        <w:rPr>
          <w:rFonts w:hint="eastAsia" w:ascii="楷体_GB2312" w:hAnsi="楷体_GB2312" w:eastAsia="仿宋" w:cs="楷体_GB2312"/>
          <w:bCs/>
          <w:sz w:val="32"/>
          <w:szCs w:val="32"/>
          <w:lang w:bidi="ar"/>
        </w:rPr>
        <w:t>、财政政策</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通过数据采集、归纳、分析、问卷调查等方法对本项目绩效进行客观评价，最终评分为8</w:t>
      </w:r>
      <w:r>
        <w:rPr>
          <w:rFonts w:ascii="仿宋_GB2312" w:hAnsi="宋体" w:eastAsia="仿宋" w:cs="仿宋_GB2312"/>
          <w:sz w:val="32"/>
          <w:szCs w:val="28"/>
          <w:lang w:bidi="ar"/>
        </w:rPr>
        <w:t>8.23</w:t>
      </w:r>
      <w:r>
        <w:rPr>
          <w:rFonts w:hint="eastAsia" w:ascii="仿宋_GB2312" w:hAnsi="宋体" w:eastAsia="仿宋" w:cs="仿宋_GB2312"/>
          <w:sz w:val="32"/>
          <w:szCs w:val="28"/>
          <w:lang w:bidi="ar"/>
        </w:rPr>
        <w:t>。其中，经济性指标权重20分，实得2</w:t>
      </w:r>
      <w:r>
        <w:rPr>
          <w:rFonts w:ascii="仿宋_GB2312" w:hAnsi="宋体" w:eastAsia="仿宋" w:cs="仿宋_GB2312"/>
          <w:sz w:val="32"/>
          <w:szCs w:val="28"/>
          <w:lang w:bidi="ar"/>
        </w:rPr>
        <w:t>0</w:t>
      </w:r>
      <w:r>
        <w:rPr>
          <w:rFonts w:hint="eastAsia" w:ascii="仿宋_GB2312" w:hAnsi="宋体" w:eastAsia="仿宋" w:cs="仿宋_GB2312"/>
          <w:sz w:val="32"/>
          <w:szCs w:val="28"/>
          <w:lang w:bidi="ar"/>
        </w:rPr>
        <w:t>分，得分率为</w:t>
      </w:r>
      <w:r>
        <w:rPr>
          <w:rFonts w:ascii="仿宋_GB2312" w:hAnsi="宋体" w:eastAsia="仿宋" w:cs="仿宋_GB2312"/>
          <w:sz w:val="32"/>
          <w:szCs w:val="28"/>
          <w:lang w:bidi="ar"/>
        </w:rPr>
        <w:t>100.00</w:t>
      </w:r>
      <w:r>
        <w:rPr>
          <w:rFonts w:hint="eastAsia" w:ascii="仿宋_GB2312" w:hAnsi="宋体" w:eastAsia="仿宋" w:cs="仿宋_GB2312"/>
          <w:sz w:val="32"/>
          <w:szCs w:val="28"/>
          <w:lang w:bidi="ar"/>
        </w:rPr>
        <w:t>%；</w:t>
      </w:r>
      <w:bookmarkStart w:id="1" w:name="_Hlk57727474"/>
      <w:r>
        <w:rPr>
          <w:rFonts w:hint="eastAsia" w:ascii="仿宋_GB2312" w:hAnsi="宋体" w:eastAsia="仿宋" w:cs="仿宋_GB2312"/>
          <w:sz w:val="32"/>
          <w:szCs w:val="28"/>
          <w:lang w:bidi="ar"/>
        </w:rPr>
        <w:t>效率性指标权重</w:t>
      </w:r>
      <w:r>
        <w:rPr>
          <w:rFonts w:ascii="仿宋_GB2312" w:hAnsi="宋体" w:eastAsia="仿宋" w:cs="仿宋_GB2312"/>
          <w:sz w:val="32"/>
          <w:szCs w:val="28"/>
          <w:lang w:bidi="ar"/>
        </w:rPr>
        <w:t>30</w:t>
      </w:r>
      <w:r>
        <w:rPr>
          <w:rFonts w:hint="eastAsia" w:ascii="仿宋_GB2312" w:hAnsi="宋体" w:eastAsia="仿宋" w:cs="仿宋_GB2312"/>
          <w:sz w:val="32"/>
          <w:szCs w:val="28"/>
          <w:lang w:bidi="ar"/>
        </w:rPr>
        <w:t>分，实得</w:t>
      </w:r>
      <w:r>
        <w:rPr>
          <w:rFonts w:ascii="仿宋_GB2312" w:hAnsi="宋体" w:eastAsia="仿宋" w:cs="仿宋_GB2312"/>
          <w:sz w:val="32"/>
          <w:szCs w:val="28"/>
          <w:lang w:bidi="ar"/>
        </w:rPr>
        <w:t>22.16</w:t>
      </w:r>
      <w:r>
        <w:rPr>
          <w:rFonts w:hint="eastAsia" w:ascii="仿宋_GB2312" w:hAnsi="宋体" w:eastAsia="仿宋" w:cs="仿宋_GB2312"/>
          <w:sz w:val="32"/>
          <w:szCs w:val="28"/>
          <w:lang w:bidi="ar"/>
        </w:rPr>
        <w:t>分，得分率为</w:t>
      </w:r>
      <w:r>
        <w:rPr>
          <w:rFonts w:ascii="仿宋_GB2312" w:hAnsi="宋体" w:eastAsia="仿宋" w:cs="仿宋_GB2312"/>
          <w:sz w:val="32"/>
          <w:szCs w:val="28"/>
          <w:lang w:bidi="ar"/>
        </w:rPr>
        <w:t>73.87</w:t>
      </w:r>
      <w:r>
        <w:rPr>
          <w:rFonts w:hint="eastAsia" w:ascii="仿宋_GB2312" w:hAnsi="宋体" w:eastAsia="仿宋" w:cs="仿宋_GB2312"/>
          <w:sz w:val="32"/>
          <w:szCs w:val="28"/>
          <w:lang w:bidi="ar"/>
        </w:rPr>
        <w:t>%；</w:t>
      </w:r>
      <w:bookmarkEnd w:id="1"/>
      <w:r>
        <w:rPr>
          <w:rFonts w:hint="eastAsia" w:ascii="仿宋_GB2312" w:hAnsi="宋体" w:eastAsia="仿宋" w:cs="仿宋_GB2312"/>
          <w:sz w:val="32"/>
          <w:szCs w:val="28"/>
          <w:lang w:bidi="ar"/>
        </w:rPr>
        <w:t>效益性指标权重</w:t>
      </w:r>
      <w:r>
        <w:rPr>
          <w:rFonts w:ascii="仿宋_GB2312" w:hAnsi="宋体" w:eastAsia="仿宋" w:cs="仿宋_GB2312"/>
          <w:sz w:val="32"/>
          <w:szCs w:val="28"/>
          <w:lang w:bidi="ar"/>
        </w:rPr>
        <w:t>25</w:t>
      </w:r>
      <w:r>
        <w:rPr>
          <w:rFonts w:hint="eastAsia" w:ascii="仿宋_GB2312" w:hAnsi="宋体" w:eastAsia="仿宋" w:cs="仿宋_GB2312"/>
          <w:sz w:val="32"/>
          <w:szCs w:val="28"/>
          <w:lang w:bidi="ar"/>
        </w:rPr>
        <w:t>分，实得2</w:t>
      </w:r>
      <w:r>
        <w:rPr>
          <w:rFonts w:ascii="仿宋_GB2312" w:hAnsi="宋体" w:eastAsia="仿宋" w:cs="仿宋_GB2312"/>
          <w:sz w:val="32"/>
          <w:szCs w:val="28"/>
          <w:lang w:bidi="ar"/>
        </w:rPr>
        <w:t>1.67</w:t>
      </w:r>
      <w:r>
        <w:rPr>
          <w:rFonts w:hint="eastAsia" w:ascii="仿宋_GB2312" w:hAnsi="宋体" w:eastAsia="仿宋" w:cs="仿宋_GB2312"/>
          <w:sz w:val="32"/>
          <w:szCs w:val="28"/>
          <w:lang w:bidi="ar"/>
        </w:rPr>
        <w:t>分，得分率为</w:t>
      </w:r>
      <w:r>
        <w:rPr>
          <w:rFonts w:ascii="仿宋_GB2312" w:hAnsi="宋体" w:eastAsia="仿宋" w:cs="仿宋_GB2312"/>
          <w:sz w:val="32"/>
          <w:szCs w:val="28"/>
          <w:lang w:bidi="ar"/>
        </w:rPr>
        <w:t>86.68</w:t>
      </w:r>
      <w:r>
        <w:rPr>
          <w:rFonts w:hint="eastAsia" w:ascii="仿宋_GB2312" w:hAnsi="宋体" w:eastAsia="仿宋" w:cs="仿宋_GB2312"/>
          <w:sz w:val="32"/>
          <w:szCs w:val="28"/>
          <w:lang w:bidi="ar"/>
        </w:rPr>
        <w:t>%；公平性指标权重</w:t>
      </w:r>
      <w:r>
        <w:rPr>
          <w:rFonts w:ascii="仿宋_GB2312" w:hAnsi="宋体" w:eastAsia="仿宋" w:cs="仿宋_GB2312"/>
          <w:sz w:val="32"/>
          <w:szCs w:val="28"/>
          <w:lang w:bidi="ar"/>
        </w:rPr>
        <w:t>10</w:t>
      </w:r>
      <w:r>
        <w:rPr>
          <w:rFonts w:hint="eastAsia" w:ascii="仿宋_GB2312" w:hAnsi="宋体" w:eastAsia="仿宋" w:cs="仿宋_GB2312"/>
          <w:sz w:val="32"/>
          <w:szCs w:val="28"/>
          <w:lang w:bidi="ar"/>
        </w:rPr>
        <w:t>分，实得</w:t>
      </w:r>
      <w:r>
        <w:rPr>
          <w:rFonts w:ascii="仿宋_GB2312" w:hAnsi="宋体" w:eastAsia="仿宋" w:cs="仿宋_GB2312"/>
          <w:sz w:val="32"/>
          <w:szCs w:val="28"/>
          <w:lang w:bidi="ar"/>
        </w:rPr>
        <w:t>9.40</w:t>
      </w:r>
      <w:r>
        <w:rPr>
          <w:rFonts w:hint="eastAsia" w:ascii="仿宋_GB2312" w:hAnsi="宋体" w:eastAsia="仿宋" w:cs="仿宋_GB2312"/>
          <w:sz w:val="32"/>
          <w:szCs w:val="28"/>
          <w:lang w:bidi="ar"/>
        </w:rPr>
        <w:t>分，得分率为</w:t>
      </w:r>
      <w:r>
        <w:rPr>
          <w:rFonts w:ascii="仿宋_GB2312" w:hAnsi="宋体" w:eastAsia="仿宋" w:cs="仿宋_GB2312"/>
          <w:sz w:val="32"/>
          <w:szCs w:val="28"/>
          <w:lang w:bidi="ar"/>
        </w:rPr>
        <w:t>94.00</w:t>
      </w:r>
      <w:r>
        <w:rPr>
          <w:rFonts w:hint="eastAsia" w:ascii="仿宋_GB2312" w:hAnsi="宋体" w:eastAsia="仿宋" w:cs="仿宋_GB2312"/>
          <w:sz w:val="32"/>
          <w:szCs w:val="28"/>
          <w:lang w:bidi="ar"/>
        </w:rPr>
        <w:t>%；可持续性指标权重</w:t>
      </w:r>
      <w:r>
        <w:rPr>
          <w:rFonts w:ascii="仿宋_GB2312" w:hAnsi="宋体" w:eastAsia="仿宋" w:cs="仿宋_GB2312"/>
          <w:sz w:val="32"/>
          <w:szCs w:val="28"/>
          <w:lang w:bidi="ar"/>
        </w:rPr>
        <w:t>15.00</w:t>
      </w:r>
      <w:r>
        <w:rPr>
          <w:rFonts w:hint="eastAsia" w:ascii="仿宋_GB2312" w:hAnsi="宋体" w:eastAsia="仿宋" w:cs="仿宋_GB2312"/>
          <w:sz w:val="32"/>
          <w:szCs w:val="28"/>
          <w:lang w:bidi="ar"/>
        </w:rPr>
        <w:t>分，实得</w:t>
      </w:r>
      <w:r>
        <w:rPr>
          <w:rFonts w:ascii="仿宋_GB2312" w:hAnsi="宋体" w:eastAsia="仿宋" w:cs="仿宋_GB2312"/>
          <w:sz w:val="32"/>
          <w:szCs w:val="28"/>
          <w:lang w:bidi="ar"/>
        </w:rPr>
        <w:t>15.00</w:t>
      </w:r>
      <w:r>
        <w:rPr>
          <w:rFonts w:hint="eastAsia" w:ascii="仿宋_GB2312" w:hAnsi="宋体" w:eastAsia="仿宋" w:cs="仿宋_GB2312"/>
          <w:sz w:val="32"/>
          <w:szCs w:val="28"/>
          <w:lang w:bidi="ar"/>
        </w:rPr>
        <w:t>分，得分率为</w:t>
      </w:r>
      <w:r>
        <w:rPr>
          <w:rFonts w:ascii="仿宋_GB2312" w:hAnsi="宋体" w:eastAsia="仿宋" w:cs="仿宋_GB2312"/>
          <w:sz w:val="32"/>
          <w:szCs w:val="28"/>
          <w:lang w:bidi="ar"/>
        </w:rPr>
        <w:t>100.00</w:t>
      </w:r>
      <w:r>
        <w:rPr>
          <w:rFonts w:hint="eastAsia" w:ascii="仿宋_GB2312" w:hAnsi="宋体" w:eastAsia="仿宋" w:cs="仿宋_GB2312"/>
          <w:sz w:val="32"/>
          <w:szCs w:val="28"/>
          <w:lang w:bidi="ar"/>
        </w:rPr>
        <w:t>%。</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具体得分情况如下：</w:t>
      </w:r>
    </w:p>
    <w:p>
      <w:pPr>
        <w:spacing w:line="560" w:lineRule="exact"/>
        <w:jc w:val="center"/>
        <w:rPr>
          <w:rFonts w:ascii="仿宋_GB2312" w:hAnsi="宋体" w:eastAsia="仿宋" w:cs="仿宋_GB2312"/>
          <w:bCs/>
          <w:sz w:val="32"/>
          <w:lang w:bidi="ar"/>
        </w:rPr>
      </w:pPr>
      <w:r>
        <w:rPr>
          <w:rFonts w:hint="eastAsia" w:ascii="仿宋_GB2312" w:hAnsi="宋体" w:eastAsia="仿宋" w:cs="仿宋_GB2312"/>
          <w:bCs/>
          <w:sz w:val="32"/>
          <w:lang w:bidi="ar"/>
        </w:rPr>
        <w:t>表3 项目支出评分结果汇总表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144"/>
        <w:gridCol w:w="2144"/>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D7D7D7"/>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指标</w:t>
            </w:r>
          </w:p>
        </w:tc>
        <w:tc>
          <w:tcPr>
            <w:tcW w:w="1191" w:type="pct"/>
            <w:shd w:val="clear" w:color="auto" w:fill="D7D7D7"/>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权重</w:t>
            </w:r>
          </w:p>
        </w:tc>
        <w:tc>
          <w:tcPr>
            <w:tcW w:w="1191" w:type="pct"/>
            <w:shd w:val="clear" w:color="auto" w:fill="D7D7D7"/>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得分</w:t>
            </w:r>
          </w:p>
        </w:tc>
        <w:tc>
          <w:tcPr>
            <w:tcW w:w="1191" w:type="pct"/>
            <w:shd w:val="clear" w:color="auto" w:fill="D7D7D7"/>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经济性</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20.00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效率性</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30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22.16</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73.87%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效益性</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25</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21.67</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86.68%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公平性</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9.40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可持续性</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15</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15.00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合计</w:t>
            </w:r>
          </w:p>
        </w:tc>
        <w:tc>
          <w:tcPr>
            <w:tcW w:w="1191" w:type="pct"/>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100.00</w:t>
            </w:r>
          </w:p>
        </w:tc>
        <w:tc>
          <w:tcPr>
            <w:tcW w:w="1191" w:type="pct"/>
            <w:shd w:val="clear" w:color="auto" w:fill="BEBEBE"/>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88.23</w:t>
            </w:r>
          </w:p>
        </w:tc>
        <w:tc>
          <w:tcPr>
            <w:tcW w:w="1191" w:type="pct"/>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88.23%</w:t>
            </w:r>
          </w:p>
        </w:tc>
      </w:tr>
    </w:tbl>
    <w:p>
      <w:pPr>
        <w:tabs>
          <w:tab w:val="center" w:pos="4405"/>
        </w:tabs>
        <w:overflowPunct w:val="0"/>
        <w:spacing w:line="560" w:lineRule="exact"/>
        <w:rPr>
          <w:rFonts w:hint="eastAsia" w:ascii="黑体" w:hAnsi="黑体" w:eastAsia="仿宋" w:cs="黑体"/>
          <w:b/>
          <w:bCs/>
          <w:sz w:val="32"/>
          <w:szCs w:val="30"/>
        </w:rPr>
      </w:pPr>
    </w:p>
    <w:p>
      <w:pPr>
        <w:tabs>
          <w:tab w:val="center" w:pos="4405"/>
        </w:tabs>
        <w:overflowPunct w:val="0"/>
        <w:spacing w:line="560" w:lineRule="exact"/>
        <w:ind w:firstLine="315" w:firstLineChars="98"/>
        <w:rPr>
          <w:rFonts w:hint="eastAsia" w:ascii="黑体" w:hAnsi="黑体" w:eastAsia="仿宋" w:cs="黑体"/>
          <w:b/>
          <w:bCs/>
          <w:sz w:val="32"/>
          <w:szCs w:val="30"/>
        </w:rPr>
      </w:pPr>
      <w:r>
        <w:rPr>
          <w:rFonts w:hint="eastAsia" w:ascii="黑体" w:hAnsi="黑体" w:eastAsia="仿宋" w:cs="黑体"/>
          <w:b/>
          <w:bCs/>
          <w:sz w:val="32"/>
          <w:szCs w:val="30"/>
        </w:rPr>
        <w:t>（三）存在的问题及建议</w:t>
      </w:r>
    </w:p>
    <w:p>
      <w:pPr>
        <w:spacing w:after="172" w:line="560" w:lineRule="exact"/>
        <w:ind w:firstLine="643"/>
        <w:rPr>
          <w:rFonts w:ascii="楷体_GB2312" w:hAnsi="楷体_GB2312" w:eastAsia="仿宋" w:cs="楷体_GB2312"/>
          <w:bCs/>
          <w:sz w:val="32"/>
          <w:szCs w:val="32"/>
          <w:lang w:bidi="ar"/>
        </w:rPr>
      </w:pPr>
      <w:r>
        <w:rPr>
          <w:rFonts w:hint="eastAsia" w:ascii="楷体_GB2312" w:hAnsi="楷体_GB2312" w:eastAsia="仿宋" w:cs="楷体_GB2312"/>
          <w:bCs/>
          <w:sz w:val="32"/>
          <w:szCs w:val="32"/>
          <w:lang w:bidi="ar"/>
        </w:rPr>
        <w:t>1、项目支出</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（1）挤占专项资金</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涉及项目：马尔康市公用事业管理局2018年第四批新增地方政府债券资金（2018年新型城镇化建设），其他项目误使用该项目资金16</w:t>
      </w:r>
      <w:r>
        <w:rPr>
          <w:rFonts w:ascii="仿宋_GB2312" w:hAnsi="宋体" w:eastAsia="仿宋" w:cs="仿宋_GB2312"/>
          <w:sz w:val="32"/>
          <w:szCs w:val="28"/>
          <w:lang w:bidi="ar"/>
        </w:rPr>
        <w:t>.</w:t>
      </w:r>
      <w:r>
        <w:rPr>
          <w:rFonts w:hint="eastAsia" w:ascii="仿宋_GB2312" w:hAnsi="宋体" w:eastAsia="仿宋" w:cs="仿宋_GB2312"/>
          <w:sz w:val="32"/>
          <w:szCs w:val="28"/>
          <w:lang w:bidi="ar"/>
        </w:rPr>
        <w:t>91万元。</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（2）未按照招标文件或中标通知书规定时间签订合同、在中标通知书发出之前签订合同</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市住建局城市设计项目、马尔康市教育局采购第四小学会议室办公设备及学生生活设备项目、马尔康市公用事业管理局2018年第四批新增地方政府债券资金（2018年新型城镇化建设）项目、梭磨乡乡村振兴资金-梭磨乡毛木初村圈舍建设工程。</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（3）未按照招投标核准意见规定招标</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涉及项目：市交通局跨河大桥项目、马尔康市教育局向木尔宗乡中心校教师周转宿舍建设项目。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（4）实际开工时间早于监理开工令发出时间</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涉及项目：市交通局党坝乡地拉秋村跨河大桥项目。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（5）项目未按预期进度完工</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涉及项目：阿底村防洪堤综合治理工程、马尔康市融媒体中心建设建设项目。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（6）合同签订不规范，如：合同签订时间在项目实施之后、合同内容前后矛盾、合同签订时间晚于项目开始日期、</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市自然资源局地质灾害综合防治体系建设避险搬迁安置项目、中共马尔康市委员会宣传部市融媒体中心建设项目、马尔康市教育局向木尔宗乡中心校教师周转宿舍建设项目、马尔康市住建局城市设计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（7）合同在采购完成后签订</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涉及项目：中共马尔康市委员会宣传部2019年第八届嘉绒锅庄文化旅游节项目。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（8）项目验收手续不全</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涉及项目：中共马尔康市委员会宣传部第八届加绒锅庄文化旅游节项目、马尔康市公用事业管理局2018年第四批新增地方政府债券资金（2018年新型城镇化建设）项目。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（9）项目完工后未及时正常运营，项目效果一般</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涉及项目：马尔康嘉绒投资有限责任公司松岗天街配套基础设施建设项目。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0</w:t>
      </w:r>
      <w:r>
        <w:rPr>
          <w:rFonts w:hint="eastAsia" w:ascii="仿宋_GB2312" w:hAnsi="宋体" w:eastAsia="仿宋" w:cs="仿宋_GB2312"/>
          <w:bCs/>
          <w:sz w:val="32"/>
          <w:szCs w:val="28"/>
          <w:lang w:bidi="ar"/>
        </w:rPr>
        <w:t>）项目投资履行变更程序滞后</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涉及项目：马尔康嘉绒投资公司松岗天街配套基础设施建设项目。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1</w:t>
      </w:r>
      <w:r>
        <w:rPr>
          <w:rFonts w:hint="eastAsia" w:ascii="仿宋_GB2312" w:hAnsi="宋体" w:eastAsia="仿宋" w:cs="仿宋_GB2312"/>
          <w:bCs/>
          <w:sz w:val="32"/>
          <w:szCs w:val="28"/>
          <w:lang w:bidi="ar"/>
        </w:rPr>
        <w:t>）审批签字手续不全</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涉及项目：住建局阿底村防洪堤项目、中共马尔康市委员会宣传部第八届嘉绒锅庄文化旅游节项目、马尔康嘉绒投资公司松岗柯盘天街配套基础设施建设及景区打造项目。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2</w:t>
      </w:r>
      <w:r>
        <w:rPr>
          <w:rFonts w:hint="eastAsia" w:ascii="仿宋_GB2312" w:hAnsi="宋体" w:eastAsia="仿宋" w:cs="仿宋_GB2312"/>
          <w:bCs/>
          <w:sz w:val="32"/>
          <w:szCs w:val="28"/>
          <w:lang w:bidi="ar"/>
        </w:rPr>
        <w:t>）项目报销发票抬头非本单位、发票未盖章</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涉及项目：中共马尔康市委员会宣传部第八届嘉绒锅庄文化旅游节项目。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3</w:t>
      </w:r>
      <w:r>
        <w:rPr>
          <w:rFonts w:hint="eastAsia" w:ascii="仿宋_GB2312" w:hAnsi="宋体" w:eastAsia="仿宋" w:cs="仿宋_GB2312"/>
          <w:bCs/>
          <w:sz w:val="32"/>
          <w:szCs w:val="28"/>
          <w:lang w:bidi="ar"/>
        </w:rPr>
        <w:t>）未按合同约定扣工程质保金</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涉及项目：梭磨乡人民政府2019年乡村振兴资金-毛木初村村容村貌提升工程。</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4</w:t>
      </w:r>
      <w:r>
        <w:rPr>
          <w:rFonts w:hint="eastAsia" w:ascii="仿宋_GB2312" w:hAnsi="宋体" w:eastAsia="仿宋" w:cs="仿宋_GB2312"/>
          <w:bCs/>
          <w:sz w:val="32"/>
          <w:szCs w:val="28"/>
          <w:lang w:bidi="ar"/>
        </w:rPr>
        <w:t>）项目完成质量不达标</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涉及项目：市林草局重要道路绿化及城区绿化提升项目。</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5</w:t>
      </w:r>
      <w:r>
        <w:rPr>
          <w:rFonts w:hint="eastAsia" w:ascii="仿宋_GB2312" w:hAnsi="宋体" w:eastAsia="仿宋" w:cs="仿宋_GB2312"/>
          <w:bCs/>
          <w:sz w:val="32"/>
          <w:szCs w:val="28"/>
          <w:lang w:bidi="ar"/>
        </w:rPr>
        <w:t>）项目资金分配未体现资金性质，分配不合理</w:t>
      </w:r>
    </w:p>
    <w:p>
      <w:pPr>
        <w:spacing w:line="560" w:lineRule="exact"/>
        <w:ind w:firstLine="560"/>
        <w:rPr>
          <w:rFonts w:hint="eastAsia" w:ascii="仿宋_GB2312" w:hAnsi="宋体" w:eastAsia="仿宋" w:cs="仿宋_GB2312"/>
          <w:sz w:val="32"/>
          <w:szCs w:val="28"/>
          <w:lang w:bidi="ar"/>
        </w:rPr>
      </w:pPr>
      <w:bookmarkStart w:id="2" w:name="_Hlk57668364"/>
      <w:r>
        <w:rPr>
          <w:rFonts w:hint="eastAsia" w:ascii="仿宋_GB2312" w:hAnsi="宋体" w:eastAsia="仿宋" w:cs="仿宋_GB2312"/>
          <w:sz w:val="32"/>
          <w:szCs w:val="28"/>
          <w:lang w:bidi="ar"/>
        </w:rPr>
        <w:t>涉及项目：市林草局重要道路绿化及城区绿化提升项目。</w:t>
      </w:r>
    </w:p>
    <w:bookmarkEnd w:id="2"/>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w:t>
      </w:r>
      <w:r>
        <w:rPr>
          <w:rFonts w:ascii="仿宋_GB2312" w:hAnsi="宋体" w:eastAsia="仿宋" w:cs="仿宋_GB2312"/>
          <w:bCs/>
          <w:sz w:val="32"/>
          <w:szCs w:val="28"/>
          <w:lang w:bidi="ar"/>
        </w:rPr>
        <w:t>16</w:t>
      </w:r>
      <w:r>
        <w:rPr>
          <w:rFonts w:hint="eastAsia" w:ascii="仿宋_GB2312" w:hAnsi="宋体" w:eastAsia="仿宋" w:cs="仿宋_GB2312"/>
          <w:bCs/>
          <w:sz w:val="32"/>
          <w:szCs w:val="28"/>
          <w:lang w:bidi="ar"/>
        </w:rPr>
        <w:t>）项目完工验收无对工程量的验收，无法核实完工工程量与实施方案批复内容相符</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涉及项目：乡村振兴项目。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7</w:t>
      </w:r>
      <w:r>
        <w:rPr>
          <w:rFonts w:hint="eastAsia" w:ascii="仿宋_GB2312" w:hAnsi="宋体" w:eastAsia="仿宋" w:cs="仿宋_GB2312"/>
          <w:bCs/>
          <w:sz w:val="32"/>
          <w:szCs w:val="28"/>
          <w:lang w:bidi="ar"/>
        </w:rPr>
        <w:t>）未进行可行性论证</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涉及项目：市交通局党坝乡地拉秋村跨河大桥、梭磨乡人民政府乡村振兴项目-毛木初村污水管网改造项目。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8</w:t>
      </w:r>
      <w:r>
        <w:rPr>
          <w:rFonts w:hint="eastAsia" w:ascii="仿宋_GB2312" w:hAnsi="宋体" w:eastAsia="仿宋" w:cs="仿宋_GB2312"/>
          <w:bCs/>
          <w:sz w:val="32"/>
          <w:szCs w:val="28"/>
          <w:lang w:bidi="ar"/>
        </w:rPr>
        <w:t>）项目实施前未设置绩效目标</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松岗天街配套基础设施建设项目、马尔康市融媒体中心建设建设项目、2019年革命老区转移支付项目、市文体旅局松岗镇松岗村旅游综合服务设施项目、松岗柯盘天街景区标识标牌制作和安装项目、市发改局粮食低温库项目、市公服中心夜景照明工程、马尔康市公用事业管理局2018年第四批新增地方政府债券资金（2018年新型城镇化建设）项目、市住建局城市设计项目、市林草局重要道路绿化及城区绿化提升项目、乡村振兴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9</w:t>
      </w:r>
      <w:r>
        <w:rPr>
          <w:rFonts w:hint="eastAsia" w:ascii="仿宋_GB2312" w:hAnsi="宋体" w:eastAsia="仿宋" w:cs="仿宋_GB2312"/>
          <w:bCs/>
          <w:sz w:val="32"/>
          <w:szCs w:val="28"/>
          <w:lang w:bidi="ar"/>
        </w:rPr>
        <w:t>）项目实施进度缓慢，资金使用不及时</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市自然资源局2019年地质灾害综合防治体系建设项目、、卓克基人民政府2019年革命老区转移支付项目、松岗柯盘天街景区标识标牌制作和安装项目、市交通局彩票公益金项目、市农牧局草原防灭火项目、市公安局看守拘留所建设项目、市发改局粮食低温储备库建设项目、马尔康市教育局木尔宗乡中心校教师周转房建设项目、市住建局城市设计项目、马尔康市人民医院热水系统（太阳能）项目、松岗天街配套基础设施建设项目、乡村振兴项目-马尔康市松岗村、直波村生活污水处理厂及配套管网建设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（2</w:t>
      </w:r>
      <w:r>
        <w:rPr>
          <w:rFonts w:ascii="仿宋_GB2312" w:hAnsi="宋体" w:eastAsia="仿宋" w:cs="仿宋_GB2312"/>
          <w:bCs/>
          <w:sz w:val="32"/>
          <w:szCs w:val="28"/>
          <w:lang w:bidi="ar"/>
        </w:rPr>
        <w:t>0</w:t>
      </w:r>
      <w:r>
        <w:rPr>
          <w:rFonts w:hint="eastAsia" w:ascii="仿宋_GB2312" w:hAnsi="宋体" w:eastAsia="仿宋" w:cs="仿宋_GB2312"/>
          <w:bCs/>
          <w:sz w:val="32"/>
          <w:szCs w:val="28"/>
          <w:lang w:bidi="ar"/>
        </w:rPr>
        <w:t>）违规将施工单位质保金转入单位开设账户</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涉及项目：市文体旅局松岗柯盘天街景区标识标牌制作和安装项目。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(2</w:t>
      </w:r>
      <w:r>
        <w:rPr>
          <w:rFonts w:ascii="仿宋_GB2312" w:hAnsi="宋体" w:eastAsia="仿宋" w:cs="仿宋_GB2312"/>
          <w:bCs/>
          <w:sz w:val="32"/>
          <w:szCs w:val="28"/>
          <w:lang w:bidi="ar"/>
        </w:rPr>
        <w:t>1</w:t>
      </w:r>
      <w:r>
        <w:rPr>
          <w:rFonts w:hint="eastAsia" w:ascii="仿宋_GB2312" w:hAnsi="宋体" w:eastAsia="仿宋" w:cs="仿宋_GB2312"/>
          <w:bCs/>
          <w:sz w:val="32"/>
          <w:szCs w:val="28"/>
          <w:lang w:bidi="ar"/>
        </w:rPr>
        <w:t>)项目资料保管不善</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涉及项目：市文体旅局松岗镇松岗村旅游综合服务设施项目-松岗村村容村貌提升及文化创意打造采购项目。</w:t>
      </w:r>
    </w:p>
    <w:p>
      <w:pPr>
        <w:spacing w:after="172" w:line="560" w:lineRule="exact"/>
        <w:ind w:firstLine="643"/>
        <w:rPr>
          <w:rFonts w:hint="eastAsia" w:ascii="楷体_GB2312" w:hAnsi="楷体_GB2312" w:eastAsia="仿宋" w:cs="楷体_GB2312"/>
          <w:bCs/>
          <w:sz w:val="32"/>
          <w:szCs w:val="32"/>
          <w:lang w:bidi="ar"/>
        </w:rPr>
      </w:pPr>
      <w:r>
        <w:rPr>
          <w:rFonts w:hint="eastAsia" w:ascii="楷体_GB2312" w:hAnsi="楷体_GB2312" w:eastAsia="仿宋" w:cs="楷体_GB2312"/>
          <w:bCs/>
          <w:sz w:val="32"/>
          <w:szCs w:val="32"/>
          <w:lang w:bidi="ar"/>
        </w:rPr>
        <w:t>2、部门整体支出</w:t>
      </w:r>
    </w:p>
    <w:p>
      <w:pPr>
        <w:spacing w:after="172" w:line="560" w:lineRule="exact"/>
        <w:ind w:firstLine="643"/>
        <w:rPr>
          <w:rFonts w:ascii="楷体_GB2312" w:hAnsi="楷体_GB2312" w:eastAsia="仿宋" w:cs="楷体_GB2312"/>
          <w:bCs/>
          <w:sz w:val="32"/>
          <w:szCs w:val="32"/>
          <w:lang w:bidi="ar"/>
        </w:rPr>
      </w:pPr>
      <w:r>
        <w:rPr>
          <w:rFonts w:hint="eastAsia" w:ascii="仿宋_GB2312" w:hAnsi="仿宋_GB2312" w:eastAsia="仿宋" w:cs="仿宋_GB2312"/>
          <w:color w:val="auto"/>
          <w:sz w:val="32"/>
          <w:szCs w:val="28"/>
        </w:rPr>
        <w:t>——预算编制不准确</w:t>
      </w:r>
    </w:p>
    <w:p>
      <w:pPr>
        <w:spacing w:line="560" w:lineRule="exact"/>
        <w:ind w:firstLine="562"/>
        <w:rPr>
          <w:rFonts w:ascii="仿宋_GB2312" w:hAnsi="宋体" w:eastAsia="仿宋" w:cs="仿宋_GB2312"/>
          <w:sz w:val="32"/>
          <w:szCs w:val="28"/>
          <w:lang w:bidi="ar"/>
        </w:rPr>
      </w:pPr>
      <w:r>
        <w:rPr>
          <w:rFonts w:hint="eastAsia" w:ascii="仿宋_GB2312" w:hAnsi="宋体" w:eastAsia="仿宋" w:cs="宋体"/>
          <w:bCs/>
          <w:sz w:val="32"/>
          <w:szCs w:val="28"/>
          <w:shd w:val="clear" w:color="auto" w:fill="FFFFFF"/>
        </w:rPr>
        <w:t>涉及部门：</w:t>
      </w:r>
      <w:r>
        <w:rPr>
          <w:rFonts w:hint="eastAsia" w:ascii="仿宋_GB2312" w:hAnsi="宋体" w:eastAsia="仿宋" w:cs="仿宋_GB2312"/>
          <w:sz w:val="32"/>
          <w:szCs w:val="28"/>
          <w:lang w:bidi="ar"/>
        </w:rPr>
        <w:t>马尔康市人民法院、马尔康市生态环境局、马尔康市经信局、马尔康市住房和城乡建设局、马尔康市卫生和健康局、马尔康市林业和草原局、马尔康市松岗镇人民政府、马尔康市人民检察院</w:t>
      </w: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bCs/>
          <w:sz w:val="32"/>
          <w:szCs w:val="28"/>
          <w:lang w:bidi="ar"/>
        </w:rPr>
        <w:t>我们的意见和建议：</w:t>
      </w:r>
      <w:r>
        <w:rPr>
          <w:rFonts w:hint="eastAsia" w:ascii="仿宋_GB2312" w:hAnsi="宋体" w:eastAsia="仿宋" w:cs="仿宋_GB2312"/>
          <w:sz w:val="32"/>
          <w:szCs w:val="28"/>
          <w:lang w:bidi="ar"/>
        </w:rPr>
        <w:t>建议被评价单位强化预算约束、建立节约意识、从严从紧编制预算、实事求是、精打细算、合理安排资金。</w:t>
      </w:r>
    </w:p>
    <w:p>
      <w:pPr>
        <w:spacing w:line="560" w:lineRule="exact"/>
        <w:ind w:firstLine="562"/>
        <w:rPr>
          <w:rFonts w:ascii="仿宋_GB2312" w:hAnsi="宋体" w:eastAsia="仿宋" w:cs="仿宋_GB2312"/>
          <w:sz w:val="32"/>
          <w:szCs w:val="28"/>
          <w:lang w:bidi="ar"/>
        </w:rPr>
      </w:pPr>
      <w:r>
        <w:rPr>
          <w:rFonts w:hint="eastAsia" w:ascii="仿宋_GB2312" w:hAnsi="仿宋_GB2312" w:eastAsia="仿宋" w:cs="仿宋_GB2312"/>
          <w:color w:val="auto"/>
          <w:sz w:val="32"/>
          <w:szCs w:val="28"/>
        </w:rPr>
        <w:t>——三公经费超预算</w:t>
      </w:r>
    </w:p>
    <w:p>
      <w:pPr>
        <w:spacing w:line="560" w:lineRule="exact"/>
        <w:ind w:firstLine="562"/>
        <w:rPr>
          <w:rFonts w:ascii="仿宋_GB2312" w:hAnsi="宋体" w:eastAsia="仿宋" w:cs="仿宋_GB2312"/>
          <w:sz w:val="32"/>
          <w:szCs w:val="28"/>
          <w:lang w:bidi="ar"/>
        </w:rPr>
      </w:pPr>
      <w:r>
        <w:rPr>
          <w:rFonts w:hint="eastAsia" w:ascii="仿宋_GB2312" w:hAnsi="宋体" w:eastAsia="仿宋" w:cs="宋体"/>
          <w:bCs/>
          <w:sz w:val="32"/>
          <w:szCs w:val="28"/>
          <w:shd w:val="clear" w:color="auto" w:fill="FFFFFF"/>
        </w:rPr>
        <w:t>涉及部门：</w:t>
      </w:r>
      <w:r>
        <w:rPr>
          <w:rFonts w:hint="eastAsia" w:ascii="仿宋_GB2312" w:hAnsi="宋体" w:eastAsia="仿宋" w:cs="仿宋_GB2312"/>
          <w:sz w:val="32"/>
          <w:szCs w:val="28"/>
          <w:lang w:bidi="ar"/>
        </w:rPr>
        <w:t>马尔康市自然资源局、马尔康市经济商务和信息化局、马尔康市公共服务中心</w:t>
      </w: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bCs/>
          <w:sz w:val="32"/>
          <w:szCs w:val="28"/>
          <w:lang w:bidi="ar"/>
        </w:rPr>
        <w:t>我们的意见和建议：</w:t>
      </w:r>
      <w:r>
        <w:rPr>
          <w:rFonts w:hint="eastAsia" w:ascii="仿宋_GB2312" w:hAnsi="宋体" w:eastAsia="仿宋" w:cs="仿宋_GB2312"/>
          <w:sz w:val="32"/>
          <w:szCs w:val="28"/>
          <w:lang w:bidi="ar"/>
        </w:rPr>
        <w:t>被评价单位应严格执行“三公经费”预算；加强财务人员坚持原则的意识，对不符合规定的支出坚决不予报销。</w:t>
      </w:r>
    </w:p>
    <w:p>
      <w:pPr>
        <w:spacing w:line="560" w:lineRule="exact"/>
        <w:ind w:firstLine="562"/>
        <w:rPr>
          <w:rFonts w:hint="eastAsia" w:ascii="仿宋_GB2312" w:hAnsi="宋体" w:eastAsia="仿宋" w:cs="仿宋_GB2312"/>
          <w:sz w:val="32"/>
          <w:szCs w:val="28"/>
          <w:lang w:bidi="ar"/>
        </w:rPr>
      </w:pPr>
      <w:r>
        <w:rPr>
          <w:rFonts w:hint="eastAsia" w:ascii="仿宋_GB2312" w:hAnsi="仿宋_GB2312" w:eastAsia="仿宋" w:cs="仿宋_GB2312"/>
          <w:color w:val="auto"/>
          <w:sz w:val="32"/>
          <w:szCs w:val="28"/>
        </w:rPr>
        <w:t>——账簿数据与资产报表数据不符</w:t>
      </w:r>
    </w:p>
    <w:p>
      <w:pPr>
        <w:spacing w:line="560" w:lineRule="exact"/>
        <w:ind w:firstLine="562"/>
        <w:rPr>
          <w:rFonts w:ascii="仿宋_GB2312" w:hAnsi="宋体" w:eastAsia="仿宋" w:cs="仿宋_GB2312"/>
          <w:sz w:val="32"/>
          <w:szCs w:val="28"/>
          <w:lang w:bidi="ar"/>
        </w:rPr>
      </w:pPr>
      <w:r>
        <w:rPr>
          <w:rFonts w:hint="eastAsia" w:ascii="仿宋_GB2312" w:hAnsi="宋体" w:eastAsia="仿宋" w:cs="宋体"/>
          <w:bCs/>
          <w:sz w:val="32"/>
          <w:szCs w:val="28"/>
          <w:shd w:val="clear" w:color="auto" w:fill="FFFFFF"/>
        </w:rPr>
        <w:t>涉及部门：</w:t>
      </w:r>
      <w:r>
        <w:rPr>
          <w:rFonts w:hint="eastAsia" w:ascii="仿宋_GB2312" w:hAnsi="宋体" w:eastAsia="仿宋" w:cs="仿宋_GB2312"/>
          <w:sz w:val="32"/>
          <w:szCs w:val="28"/>
          <w:lang w:bidi="ar"/>
        </w:rPr>
        <w:t>马尔康市人民法院、马尔康市人民检察院、马尔康市应急管理局、马尔康市卫生健康局、马尔康市林业和草原局、马尔康市松岗镇人民政府</w:t>
      </w: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bCs/>
          <w:sz w:val="32"/>
          <w:szCs w:val="28"/>
          <w:lang w:bidi="ar"/>
        </w:rPr>
        <w:t>我们的意见和建议：</w:t>
      </w:r>
      <w:r>
        <w:rPr>
          <w:rFonts w:hint="eastAsia" w:ascii="仿宋_GB2312" w:hAnsi="宋体" w:eastAsia="仿宋" w:cs="仿宋_GB2312"/>
          <w:sz w:val="32"/>
          <w:szCs w:val="28"/>
          <w:lang w:bidi="ar"/>
        </w:rPr>
        <w:t>建议被评价单位将未登记入会计账簿的固定资产及时入账，确保账实相符。</w:t>
      </w:r>
    </w:p>
    <w:p>
      <w:pPr>
        <w:spacing w:line="560" w:lineRule="exact"/>
        <w:ind w:firstLine="562"/>
        <w:rPr>
          <w:rFonts w:hint="eastAsia" w:ascii="仿宋_GB2312" w:hAnsi="宋体" w:eastAsia="仿宋" w:cs="仿宋_GB2312"/>
          <w:sz w:val="32"/>
          <w:szCs w:val="28"/>
          <w:lang w:bidi="ar"/>
        </w:rPr>
      </w:pPr>
      <w:r>
        <w:rPr>
          <w:rFonts w:hint="eastAsia" w:ascii="仿宋_GB2312" w:hAnsi="仿宋_GB2312" w:eastAsia="仿宋" w:cs="仿宋_GB2312"/>
          <w:color w:val="auto"/>
          <w:sz w:val="32"/>
          <w:szCs w:val="28"/>
        </w:rPr>
        <w:t>——部门整体绩效目标未按照规定制定，要素未完善/绩效目标指标不完整</w:t>
      </w:r>
    </w:p>
    <w:p>
      <w:pPr>
        <w:spacing w:line="560" w:lineRule="exact"/>
        <w:ind w:firstLine="562"/>
        <w:rPr>
          <w:rFonts w:ascii="仿宋_GB2312" w:hAnsi="宋体" w:eastAsia="仿宋" w:cs="仿宋_GB2312"/>
          <w:sz w:val="32"/>
          <w:szCs w:val="28"/>
          <w:lang w:bidi="ar"/>
        </w:rPr>
      </w:pPr>
      <w:r>
        <w:rPr>
          <w:rFonts w:hint="eastAsia" w:ascii="仿宋_GB2312" w:hAnsi="宋体" w:eastAsia="仿宋" w:cs="宋体"/>
          <w:bCs/>
          <w:sz w:val="32"/>
          <w:szCs w:val="28"/>
          <w:shd w:val="clear" w:color="auto" w:fill="FFFFFF"/>
        </w:rPr>
        <w:t>涉及部门：</w:t>
      </w:r>
      <w:r>
        <w:rPr>
          <w:rFonts w:hint="eastAsia" w:ascii="仿宋_GB2312" w:hAnsi="宋体" w:eastAsia="仿宋" w:cs="仿宋_GB2312"/>
          <w:sz w:val="32"/>
          <w:szCs w:val="28"/>
          <w:lang w:bidi="ar"/>
        </w:rPr>
        <w:t>马尔康市住房和城乡建设局、马尔康市人民检察院、马尔康市应急管理局、马尔康市松岗镇人民政府、马尔康市机关事务管理局、马尔康市公务服务中心、马尔康市卫生健康局、马尔康市林业和草原局</w:t>
      </w:r>
    </w:p>
    <w:p>
      <w:pPr>
        <w:spacing w:line="560" w:lineRule="exact"/>
        <w:ind w:firstLine="562"/>
        <w:rPr>
          <w:rFonts w:ascii="仿宋_GB2312" w:hAnsi="宋体" w:eastAsia="仿宋" w:cs="仿宋_GB2312"/>
          <w:sz w:val="32"/>
          <w:szCs w:val="28"/>
          <w:lang w:bidi="ar"/>
        </w:rPr>
      </w:pPr>
      <w:r>
        <w:rPr>
          <w:rFonts w:hint="eastAsia" w:ascii="仿宋_GB2312" w:hAnsi="宋体" w:eastAsia="仿宋" w:cs="仿宋_GB2312"/>
          <w:bCs/>
          <w:sz w:val="32"/>
          <w:szCs w:val="28"/>
          <w:lang w:bidi="ar"/>
        </w:rPr>
        <w:t>我们的意见和建议：</w:t>
      </w:r>
      <w:r>
        <w:rPr>
          <w:rFonts w:hint="eastAsia" w:ascii="仿宋_GB2312" w:hAnsi="宋体" w:eastAsia="仿宋" w:cs="仿宋_GB2312"/>
          <w:sz w:val="32"/>
          <w:szCs w:val="28"/>
          <w:lang w:bidi="ar"/>
        </w:rPr>
        <w:t>建议被评价单位及时将本单位</w:t>
      </w:r>
      <w:r>
        <w:rPr>
          <w:rFonts w:ascii="仿宋_GB2312" w:hAnsi="宋体" w:eastAsia="仿宋" w:cs="仿宋_GB2312"/>
          <w:sz w:val="32"/>
          <w:szCs w:val="28"/>
          <w:lang w:bidi="ar"/>
        </w:rPr>
        <w:t>行政</w:t>
      </w:r>
      <w:r>
        <w:rPr>
          <w:rFonts w:hint="eastAsia" w:ascii="仿宋_GB2312" w:hAnsi="宋体" w:eastAsia="仿宋" w:cs="仿宋_GB2312"/>
          <w:sz w:val="32"/>
          <w:szCs w:val="28"/>
          <w:lang w:bidi="ar"/>
        </w:rPr>
        <w:t>事业</w:t>
      </w:r>
      <w:r>
        <w:rPr>
          <w:rFonts w:ascii="仿宋_GB2312" w:hAnsi="宋体" w:eastAsia="仿宋" w:cs="仿宋_GB2312"/>
          <w:sz w:val="32"/>
          <w:szCs w:val="28"/>
          <w:lang w:bidi="ar"/>
        </w:rPr>
        <w:t>单位资产报表</w:t>
      </w:r>
      <w:r>
        <w:rPr>
          <w:rFonts w:hint="eastAsia" w:ascii="仿宋_GB2312" w:hAnsi="宋体" w:eastAsia="仿宋" w:cs="仿宋_GB2312"/>
          <w:sz w:val="32"/>
          <w:szCs w:val="28"/>
          <w:lang w:bidi="ar"/>
        </w:rPr>
        <w:t>上报至财政。</w:t>
      </w:r>
    </w:p>
    <w:p>
      <w:pPr>
        <w:spacing w:line="560" w:lineRule="exact"/>
        <w:ind w:firstLine="560"/>
        <w:rPr>
          <w:rFonts w:ascii="仿宋_GB2312" w:hAnsi="仿宋_GB2312" w:eastAsia="仿宋" w:cs="仿宋_GB2312"/>
          <w:bCs/>
          <w:sz w:val="32"/>
          <w:szCs w:val="28"/>
        </w:rPr>
      </w:pPr>
      <w:r>
        <w:rPr>
          <w:rFonts w:hint="eastAsia" w:ascii="仿宋_GB2312" w:hAnsi="宋体" w:eastAsia="仿宋" w:cs="仿宋_GB2312"/>
          <w:sz w:val="32"/>
          <w:szCs w:val="28"/>
          <w:lang w:bidi="ar"/>
        </w:rPr>
        <w:t>——</w:t>
      </w:r>
      <w:r>
        <w:rPr>
          <w:rFonts w:hint="eastAsia" w:ascii="仿宋_GB2312" w:hAnsi="仿宋_GB2312" w:eastAsia="仿宋" w:cs="仿宋_GB2312"/>
          <w:bCs/>
          <w:sz w:val="32"/>
          <w:szCs w:val="28"/>
        </w:rPr>
        <w:t>部门整体预算公开不完整、不准确</w:t>
      </w:r>
    </w:p>
    <w:p>
      <w:pPr>
        <w:spacing w:line="560" w:lineRule="exact"/>
        <w:ind w:firstLine="562"/>
        <w:rPr>
          <w:rFonts w:ascii="仿宋_GB2312" w:hAnsi="宋体" w:eastAsia="仿宋" w:cs="仿宋_GB2312"/>
          <w:sz w:val="32"/>
          <w:szCs w:val="28"/>
          <w:lang w:bidi="ar"/>
        </w:rPr>
      </w:pPr>
      <w:r>
        <w:rPr>
          <w:rFonts w:hint="eastAsia" w:ascii="仿宋_GB2312" w:hAnsi="宋体" w:eastAsia="仿宋" w:cs="宋体"/>
          <w:bCs/>
          <w:sz w:val="32"/>
          <w:szCs w:val="28"/>
          <w:shd w:val="clear" w:color="auto" w:fill="FFFFFF"/>
        </w:rPr>
        <w:t>涉及部门：</w:t>
      </w:r>
      <w:r>
        <w:rPr>
          <w:rFonts w:hint="eastAsia" w:ascii="仿宋_GB2312" w:hAnsi="宋体" w:eastAsia="仿宋" w:cs="仿宋_GB2312"/>
          <w:sz w:val="32"/>
          <w:szCs w:val="28"/>
          <w:lang w:bidi="ar"/>
        </w:rPr>
        <w:t>马尔康市卫生健康局、马尔康市自然资源局</w:t>
      </w: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bCs/>
          <w:sz w:val="32"/>
          <w:szCs w:val="28"/>
          <w:lang w:bidi="ar"/>
        </w:rPr>
        <w:t>我们的意见和建议：</w:t>
      </w:r>
      <w:r>
        <w:rPr>
          <w:rFonts w:hint="eastAsia" w:ascii="仿宋_GB2312" w:hAnsi="宋体" w:eastAsia="仿宋" w:cs="仿宋_GB2312"/>
          <w:sz w:val="32"/>
          <w:szCs w:val="28"/>
          <w:lang w:bidi="ar"/>
        </w:rPr>
        <w:t>建议被评价单位严格按照</w:t>
      </w:r>
      <w:r>
        <w:rPr>
          <w:rFonts w:ascii="仿宋_GB2312" w:hAnsi="宋体" w:eastAsia="仿宋" w:cs="仿宋_GB2312"/>
          <w:sz w:val="32"/>
          <w:szCs w:val="28"/>
          <w:lang w:bidi="ar"/>
        </w:rPr>
        <w:t>《中华人民共和国预算法》</w:t>
      </w:r>
      <w:r>
        <w:rPr>
          <w:rFonts w:hint="eastAsia" w:ascii="仿宋_GB2312" w:hAnsi="宋体" w:eastAsia="仿宋" w:cs="仿宋_GB2312"/>
          <w:sz w:val="32"/>
          <w:szCs w:val="28"/>
          <w:lang w:bidi="ar"/>
        </w:rPr>
        <w:t>的要求公开预算信息。</w:t>
      </w:r>
    </w:p>
    <w:p>
      <w:pPr>
        <w:pStyle w:val="2"/>
        <w:spacing w:before="156" w:after="156" w:line="560" w:lineRule="exact"/>
        <w:ind w:firstLine="640"/>
        <w:rPr>
          <w:rFonts w:hint="eastAsia" w:eastAsia="仿宋"/>
          <w:b w:val="0"/>
          <w:sz w:val="32"/>
          <w:szCs w:val="30"/>
        </w:rPr>
      </w:pPr>
      <w:r>
        <w:rPr>
          <w:rFonts w:hint="eastAsia" w:ascii="仿宋_GB2312" w:hAnsi="仿宋_GB2312" w:eastAsia="仿宋" w:cs="仿宋_GB2312"/>
          <w:b w:val="0"/>
          <w:sz w:val="32"/>
          <w:szCs w:val="28"/>
        </w:rPr>
        <w:t>——</w:t>
      </w:r>
      <w:r>
        <w:rPr>
          <w:rFonts w:hint="eastAsia" w:eastAsia="仿宋"/>
          <w:b w:val="0"/>
          <w:sz w:val="32"/>
          <w:szCs w:val="30"/>
        </w:rPr>
        <w:t>其他需要说明的情况</w:t>
      </w:r>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（1）政府采购未履行</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涉及部门：马尔康市融媒体中心</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（2）业务流程制度不完善</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涉及部门：马尔康市融媒体中心</w:t>
      </w: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我们的意见和建议：建议被评价单位按照部门职能及时制定业务流程相关规章制度，进一步规范业务流程管理。</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（3）资产管理——</w:t>
      </w:r>
      <w:r>
        <w:rPr>
          <w:rFonts w:hint="eastAsia" w:ascii="仿宋_GB2312" w:hAnsi="宋体" w:eastAsia="仿宋" w:cs="仿宋_GB2312"/>
          <w:sz w:val="32"/>
          <w:szCs w:val="28"/>
          <w:lang w:bidi="ar"/>
        </w:rPr>
        <w:t>物资采购未经签字验收</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涉及部门：马尔康市融媒体中心、马尔康市公共服务中心、马尔康市人民检察院、马尔康市卫生健康局</w:t>
      </w: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我们的意见和建议：建议被评价单位完善验收手续，保证帐物相符，防止盲目采购，避免物资短缺和流失。</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（4）出差审批签字手续滞后/不规范</w:t>
      </w:r>
    </w:p>
    <w:p>
      <w:pPr>
        <w:spacing w:line="560" w:lineRule="exact"/>
        <w:ind w:firstLine="560"/>
        <w:rPr>
          <w:rFonts w:hint="eastAsia" w:ascii="仿宋_GB2312" w:hAnsi="仿宋_GB2312" w:eastAsia="仿宋" w:cs="仿宋_GB2312"/>
          <w:bCs/>
          <w:sz w:val="32"/>
          <w:szCs w:val="28"/>
        </w:rPr>
      </w:pPr>
      <w:r>
        <w:rPr>
          <w:rFonts w:hint="eastAsia" w:ascii="仿宋_GB2312" w:hAnsi="宋体" w:eastAsia="仿宋" w:cs="仿宋_GB2312"/>
          <w:sz w:val="32"/>
          <w:szCs w:val="28"/>
          <w:lang w:bidi="ar"/>
        </w:rPr>
        <w:t>涉及部门：</w:t>
      </w:r>
      <w:r>
        <w:rPr>
          <w:rFonts w:hint="eastAsia" w:ascii="仿宋_GB2312" w:hAnsi="仿宋_GB2312" w:eastAsia="仿宋" w:cs="仿宋_GB2312"/>
          <w:bCs/>
          <w:sz w:val="32"/>
          <w:szCs w:val="28"/>
        </w:rPr>
        <w:t>马尔康市人民法院、马尔康市自然资源局、马尔康市融媒体中心、马尔康市卫生健康局、马尔康市生态环境局</w:t>
      </w:r>
    </w:p>
    <w:p>
      <w:pPr>
        <w:spacing w:line="560" w:lineRule="exact"/>
        <w:ind w:firstLine="562"/>
        <w:rPr>
          <w:rFonts w:ascii="仿宋_GB2312" w:hAnsi="仿宋_GB2312" w:eastAsia="仿宋" w:cs="仿宋_GB2312"/>
          <w:bCs/>
          <w:sz w:val="32"/>
          <w:szCs w:val="28"/>
        </w:rPr>
      </w:pPr>
      <w:r>
        <w:rPr>
          <w:rFonts w:hint="eastAsia" w:ascii="仿宋_GB2312" w:hAnsi="宋体" w:eastAsia="仿宋" w:cs="仿宋_GB2312"/>
          <w:sz w:val="32"/>
          <w:szCs w:val="28"/>
          <w:lang w:bidi="ar"/>
        </w:rPr>
        <w:t>我们的意见和建议：建议被评价单位从严出差审批，</w:t>
      </w:r>
      <w:r>
        <w:rPr>
          <w:rFonts w:hint="eastAsia" w:ascii="仿宋_GB2312" w:hAnsi="仿宋_GB2312" w:eastAsia="仿宋" w:cs="仿宋_GB2312"/>
          <w:bCs/>
          <w:sz w:val="32"/>
          <w:szCs w:val="28"/>
        </w:rPr>
        <w:t>严格先审批、后出差的报批程序），从严控制出差人数和天数。</w:t>
      </w:r>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（5）</w:t>
      </w:r>
      <w:r>
        <w:rPr>
          <w:rFonts w:ascii="仿宋_GB2312" w:hAnsi="仿宋_GB2312" w:eastAsia="仿宋" w:cs="仿宋_GB2312"/>
          <w:bCs/>
          <w:sz w:val="32"/>
          <w:szCs w:val="28"/>
        </w:rPr>
        <w:t>公务接待不规范</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涉及部门：马尔康市人民法院、马尔康市公共服务中心、马尔康市应急管理局、马尔康市卫生健康局、马尔康市水务局、马尔康市松岗镇人民政府</w:t>
      </w:r>
    </w:p>
    <w:p>
      <w:pPr>
        <w:spacing w:line="560" w:lineRule="exact"/>
        <w:ind w:firstLine="562"/>
        <w:rPr>
          <w:rFonts w:ascii="仿宋_GB2312" w:hAnsi="宋体" w:eastAsia="仿宋" w:cs="仿宋_GB2312"/>
          <w:sz w:val="32"/>
          <w:szCs w:val="28"/>
          <w:lang w:bidi="ar"/>
        </w:rPr>
      </w:pPr>
      <w:r>
        <w:rPr>
          <w:rFonts w:hint="eastAsia" w:ascii="仿宋_GB2312" w:hAnsi="宋体" w:eastAsia="仿宋" w:cs="仿宋_GB2312"/>
          <w:sz w:val="32"/>
          <w:szCs w:val="28"/>
          <w:lang w:bidi="ar"/>
        </w:rPr>
        <w:t>我们的意见和建议：建议被评价单位按规定标准用餐并支付费用；严格实行“三单”审核入账制度。</w:t>
      </w:r>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（6）发票时间晚于实际支付日期</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涉及部门：马尔康市公共服务中心</w:t>
      </w:r>
    </w:p>
    <w:p>
      <w:pPr>
        <w:spacing w:line="560" w:lineRule="exact"/>
        <w:ind w:firstLine="562"/>
        <w:rPr>
          <w:rFonts w:ascii="仿宋_GB2312" w:hAnsi="仿宋_GB2312" w:eastAsia="仿宋" w:cs="仿宋_GB2312"/>
          <w:bCs/>
          <w:sz w:val="32"/>
          <w:szCs w:val="28"/>
        </w:rPr>
      </w:pPr>
      <w:r>
        <w:rPr>
          <w:rFonts w:hint="eastAsia" w:ascii="仿宋_GB2312" w:hAnsi="宋体" w:eastAsia="仿宋" w:cs="仿宋_GB2312"/>
          <w:sz w:val="32"/>
          <w:szCs w:val="28"/>
          <w:lang w:bidi="ar"/>
        </w:rPr>
        <w:t>我们的意见和建议：</w:t>
      </w:r>
      <w:r>
        <w:rPr>
          <w:rFonts w:hint="eastAsia" w:ascii="仿宋_GB2312" w:hAnsi="仿宋_GB2312" w:eastAsia="仿宋" w:cs="仿宋_GB2312"/>
          <w:bCs/>
          <w:sz w:val="32"/>
          <w:szCs w:val="28"/>
        </w:rPr>
        <w:t>建议被评价单位加强对原始凭证审核和监督，对记载不准确、不完整的原始凭证，予以退回，要求经办人员更正、补充。</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（7）未与供应商签订合同、供应商选择方式无记录的情况</w:t>
      </w:r>
    </w:p>
    <w:p>
      <w:pPr>
        <w:spacing w:line="560" w:lineRule="exact"/>
        <w:ind w:firstLine="562"/>
        <w:rPr>
          <w:rFonts w:ascii="仿宋_GB2312" w:hAnsi="仿宋_GB2312" w:eastAsia="仿宋" w:cs="仿宋_GB2312"/>
          <w:bCs/>
          <w:sz w:val="32"/>
          <w:szCs w:val="28"/>
        </w:rPr>
      </w:pPr>
      <w:r>
        <w:rPr>
          <w:rFonts w:hint="eastAsia" w:ascii="仿宋_GB2312" w:hAnsi="宋体" w:eastAsia="仿宋" w:cs="仿宋_GB2312"/>
          <w:sz w:val="32"/>
          <w:szCs w:val="28"/>
          <w:lang w:bidi="ar"/>
        </w:rPr>
        <w:t>涉及部门：马尔康市公共服务中心</w:t>
      </w:r>
    </w:p>
    <w:p>
      <w:pPr>
        <w:spacing w:line="560" w:lineRule="exact"/>
        <w:ind w:firstLine="562"/>
        <w:rPr>
          <w:rFonts w:ascii="仿宋_GB2312" w:hAnsi="宋体" w:eastAsia="仿宋" w:cs="仿宋_GB2312"/>
          <w:sz w:val="32"/>
          <w:szCs w:val="28"/>
          <w:lang w:bidi="ar"/>
        </w:rPr>
      </w:pPr>
      <w:r>
        <w:rPr>
          <w:rFonts w:hint="eastAsia" w:ascii="仿宋_GB2312" w:hAnsi="宋体" w:eastAsia="仿宋" w:cs="仿宋_GB2312"/>
          <w:sz w:val="32"/>
          <w:szCs w:val="28"/>
          <w:lang w:bidi="ar"/>
        </w:rPr>
        <w:t>我们的意见和建议：</w:t>
      </w:r>
      <w:r>
        <w:rPr>
          <w:rFonts w:hint="eastAsia" w:ascii="仿宋_GB2312" w:hAnsi="仿宋_GB2312" w:eastAsia="仿宋" w:cs="仿宋_GB2312"/>
          <w:bCs/>
          <w:sz w:val="32"/>
          <w:szCs w:val="28"/>
        </w:rPr>
        <w:t>建议被评价单位的</w:t>
      </w:r>
      <w:r>
        <w:rPr>
          <w:rFonts w:hint="eastAsia" w:ascii="仿宋_GB2312" w:hAnsi="宋体" w:eastAsia="仿宋" w:cs="仿宋_GB2312"/>
          <w:sz w:val="32"/>
          <w:szCs w:val="28"/>
          <w:lang w:bidi="ar"/>
        </w:rPr>
        <w:t>支出应当签订相关合同或协议。</w:t>
      </w:r>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（8）签订合同清单金额与实际结算金额不一致</w:t>
      </w:r>
    </w:p>
    <w:p>
      <w:pPr>
        <w:spacing w:line="560" w:lineRule="exact"/>
        <w:ind w:firstLine="562"/>
        <w:rPr>
          <w:rFonts w:ascii="仿宋_GB2312" w:hAnsi="仿宋_GB2312" w:eastAsia="仿宋" w:cs="仿宋_GB2312"/>
          <w:bCs/>
          <w:sz w:val="32"/>
          <w:szCs w:val="28"/>
        </w:rPr>
      </w:pPr>
      <w:r>
        <w:rPr>
          <w:rFonts w:hint="eastAsia" w:ascii="仿宋_GB2312" w:hAnsi="宋体" w:eastAsia="仿宋" w:cs="仿宋_GB2312"/>
          <w:sz w:val="32"/>
          <w:szCs w:val="28"/>
          <w:lang w:bidi="ar"/>
        </w:rPr>
        <w:t>涉及部门</w:t>
      </w:r>
      <w:r>
        <w:rPr>
          <w:rFonts w:hint="eastAsia" w:ascii="仿宋_GB2312" w:hAnsi="仿宋_GB2312" w:eastAsia="仿宋" w:cs="仿宋_GB2312"/>
          <w:bCs/>
          <w:sz w:val="32"/>
          <w:szCs w:val="28"/>
        </w:rPr>
        <w:t>：马尔康市应急管理局</w:t>
      </w: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我们的意见和建议：</w:t>
      </w:r>
      <w:r>
        <w:rPr>
          <w:rFonts w:hint="eastAsia" w:ascii="仿宋_GB2312" w:hAnsi="仿宋_GB2312" w:eastAsia="仿宋" w:cs="仿宋_GB2312"/>
          <w:bCs/>
          <w:sz w:val="32"/>
          <w:szCs w:val="28"/>
        </w:rPr>
        <w:t>建议被评价单位严格按照合同约定进行结算，加强审核，对金额不符的票据不予报销。</w:t>
      </w:r>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（9）审核不严，多报销费用</w:t>
      </w:r>
    </w:p>
    <w:p>
      <w:pPr>
        <w:spacing w:line="560" w:lineRule="exact"/>
        <w:ind w:firstLine="562"/>
        <w:rPr>
          <w:rFonts w:ascii="仿宋_GB2312" w:hAnsi="仿宋_GB2312" w:eastAsia="仿宋" w:cs="仿宋_GB2312"/>
          <w:bCs/>
          <w:sz w:val="32"/>
          <w:szCs w:val="28"/>
        </w:rPr>
      </w:pPr>
      <w:r>
        <w:rPr>
          <w:rFonts w:hint="eastAsia" w:ascii="仿宋_GB2312" w:hAnsi="宋体" w:eastAsia="仿宋" w:cs="仿宋_GB2312"/>
          <w:sz w:val="32"/>
          <w:szCs w:val="28"/>
          <w:lang w:bidi="ar"/>
        </w:rPr>
        <w:t>涉及部门</w:t>
      </w:r>
      <w:r>
        <w:rPr>
          <w:rFonts w:hint="eastAsia" w:ascii="仿宋_GB2312" w:hAnsi="仿宋_GB2312" w:eastAsia="仿宋" w:cs="仿宋_GB2312"/>
          <w:bCs/>
          <w:sz w:val="32"/>
          <w:szCs w:val="28"/>
        </w:rPr>
        <w:t>：马尔康市应急管理局、马尔康市林业和草原局</w:t>
      </w: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我们的意见和建议：</w:t>
      </w:r>
      <w:r>
        <w:rPr>
          <w:rFonts w:hint="eastAsia" w:ascii="仿宋_GB2312" w:hAnsi="仿宋_GB2312" w:eastAsia="仿宋" w:cs="仿宋_GB2312"/>
          <w:bCs/>
          <w:sz w:val="32"/>
          <w:szCs w:val="28"/>
        </w:rPr>
        <w:t>建议被评价单位严格按照合同约定进行结算，加强审核，对金额不符的票据不予报销。</w:t>
      </w:r>
    </w:p>
    <w:p>
      <w:pPr>
        <w:spacing w:line="560" w:lineRule="exact"/>
        <w:ind w:firstLine="562"/>
        <w:rPr>
          <w:rFonts w:ascii="楷体" w:hAnsi="楷体" w:eastAsia="仿宋"/>
          <w:sz w:val="32"/>
          <w:szCs w:val="28"/>
        </w:rPr>
      </w:pPr>
      <w:r>
        <w:rPr>
          <w:rFonts w:hint="eastAsia" w:ascii="仿宋_GB2312" w:hAnsi="仿宋_GB2312" w:eastAsia="仿宋" w:cs="仿宋_GB2312"/>
          <w:bCs/>
          <w:sz w:val="32"/>
          <w:szCs w:val="28"/>
        </w:rPr>
        <w:t>（1</w:t>
      </w:r>
      <w:r>
        <w:rPr>
          <w:rFonts w:ascii="仿宋_GB2312" w:hAnsi="仿宋_GB2312" w:eastAsia="仿宋" w:cs="仿宋_GB2312"/>
          <w:bCs/>
          <w:sz w:val="32"/>
          <w:szCs w:val="28"/>
        </w:rPr>
        <w:t>0</w:t>
      </w:r>
      <w:r>
        <w:rPr>
          <w:rFonts w:hint="eastAsia" w:ascii="仿宋_GB2312" w:hAnsi="仿宋_GB2312" w:eastAsia="仿宋" w:cs="仿宋_GB2312"/>
          <w:bCs/>
          <w:sz w:val="32"/>
          <w:szCs w:val="28"/>
        </w:rPr>
        <w:t>）未按款项性质列支费用</w:t>
      </w:r>
    </w:p>
    <w:p>
      <w:pPr>
        <w:spacing w:line="560" w:lineRule="exact"/>
        <w:ind w:firstLine="562"/>
        <w:rPr>
          <w:rFonts w:ascii="仿宋_GB2312" w:hAnsi="仿宋_GB2312" w:eastAsia="仿宋" w:cs="仿宋_GB2312"/>
          <w:bCs/>
          <w:sz w:val="32"/>
          <w:szCs w:val="28"/>
        </w:rPr>
      </w:pPr>
      <w:r>
        <w:rPr>
          <w:rFonts w:hint="eastAsia" w:ascii="仿宋_GB2312" w:hAnsi="宋体" w:eastAsia="仿宋" w:cs="仿宋_GB2312"/>
          <w:sz w:val="32"/>
          <w:szCs w:val="28"/>
          <w:lang w:bidi="ar"/>
        </w:rPr>
        <w:t>涉及部门</w:t>
      </w:r>
      <w:r>
        <w:rPr>
          <w:rFonts w:hint="eastAsia" w:ascii="仿宋_GB2312" w:hAnsi="仿宋_GB2312" w:eastAsia="仿宋" w:cs="仿宋_GB2312"/>
          <w:bCs/>
          <w:sz w:val="32"/>
          <w:szCs w:val="28"/>
        </w:rPr>
        <w:t>：马尔康市应急管理局</w:t>
      </w:r>
    </w:p>
    <w:p>
      <w:pPr>
        <w:spacing w:line="560" w:lineRule="exact"/>
        <w:ind w:firstLine="562"/>
        <w:rPr>
          <w:rFonts w:ascii="仿宋_GB2312" w:hAnsi="仿宋_GB2312" w:eastAsia="仿宋" w:cs="仿宋_GB2312"/>
          <w:bCs/>
          <w:sz w:val="32"/>
          <w:szCs w:val="28"/>
        </w:rPr>
      </w:pPr>
      <w:r>
        <w:rPr>
          <w:rFonts w:hint="eastAsia" w:ascii="仿宋_GB2312" w:hAnsi="宋体" w:eastAsia="仿宋" w:cs="仿宋_GB2312"/>
          <w:sz w:val="32"/>
          <w:szCs w:val="28"/>
          <w:lang w:bidi="ar"/>
        </w:rPr>
        <w:t>我们的意见和建议：</w:t>
      </w:r>
      <w:r>
        <w:rPr>
          <w:rFonts w:hint="eastAsia" w:ascii="仿宋_GB2312" w:hAnsi="仿宋_GB2312" w:eastAsia="仿宋" w:cs="仿宋_GB2312"/>
          <w:bCs/>
          <w:sz w:val="32"/>
          <w:szCs w:val="28"/>
        </w:rPr>
        <w:t>建议被评价单位会计人员应当对原始凭证进行审核和监督，按照规定列支费用。</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（1</w:t>
      </w:r>
      <w:r>
        <w:rPr>
          <w:rFonts w:ascii="仿宋_GB2312" w:hAnsi="仿宋_GB2312" w:eastAsia="仿宋" w:cs="仿宋_GB2312"/>
          <w:bCs/>
          <w:sz w:val="32"/>
          <w:szCs w:val="28"/>
        </w:rPr>
        <w:t>1</w:t>
      </w:r>
      <w:r>
        <w:rPr>
          <w:rFonts w:hint="eastAsia" w:ascii="仿宋_GB2312" w:hAnsi="仿宋_GB2312" w:eastAsia="仿宋" w:cs="仿宋_GB2312"/>
          <w:bCs/>
          <w:sz w:val="32"/>
          <w:szCs w:val="28"/>
        </w:rPr>
        <w:t>）报销签字不齐全/财务审签制度执行不到位</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涉及部门：马尔康市水务局、马尔康市卫生健康局、马尔康市林业和草原局</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我们的意见和建议：建议被评价单位会计人员应当对原始凭证进行审核和监督，按照规定报销费用。</w:t>
      </w:r>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（1</w:t>
      </w:r>
      <w:r>
        <w:rPr>
          <w:rFonts w:ascii="仿宋_GB2312" w:hAnsi="仿宋_GB2312" w:eastAsia="仿宋" w:cs="仿宋_GB2312"/>
          <w:bCs/>
          <w:sz w:val="32"/>
          <w:szCs w:val="28"/>
        </w:rPr>
        <w:t>2</w:t>
      </w:r>
      <w:r>
        <w:rPr>
          <w:rFonts w:hint="eastAsia" w:ascii="仿宋_GB2312" w:hAnsi="仿宋_GB2312" w:eastAsia="仿宋" w:cs="仿宋_GB2312"/>
          <w:bCs/>
          <w:sz w:val="32"/>
          <w:szCs w:val="28"/>
        </w:rPr>
        <w:t>）三家公司参与比选询价，其中两家公司存在关联方关系</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涉及部门：马尔康市经信局</w:t>
      </w:r>
    </w:p>
    <w:p>
      <w:pPr>
        <w:spacing w:line="560" w:lineRule="exact"/>
        <w:ind w:firstLine="562"/>
        <w:rPr>
          <w:rFonts w:ascii="仿宋_GB2312" w:hAnsi="仿宋_GB2312" w:eastAsia="仿宋" w:cs="仿宋_GB2312"/>
          <w:bCs/>
          <w:color w:val="FF0000"/>
          <w:sz w:val="32"/>
          <w:szCs w:val="28"/>
        </w:rPr>
      </w:pPr>
      <w:r>
        <w:rPr>
          <w:rFonts w:hint="eastAsia" w:ascii="仿宋_GB2312" w:hAnsi="仿宋_GB2312" w:eastAsia="仿宋" w:cs="仿宋_GB2312"/>
          <w:bCs/>
          <w:sz w:val="32"/>
          <w:szCs w:val="28"/>
        </w:rPr>
        <w:t>我们的意见和建议：建议被评价单位严格按照规定程序比选询价，加强对供应商资格的审查</w:t>
      </w:r>
      <w:r>
        <w:rPr>
          <w:rFonts w:hint="eastAsia" w:ascii="仿宋_GB2312" w:hAnsi="仿宋_GB2312" w:eastAsia="仿宋" w:cs="仿宋_GB2312"/>
          <w:bCs/>
          <w:color w:val="FF0000"/>
          <w:sz w:val="32"/>
          <w:szCs w:val="28"/>
        </w:rPr>
        <w:t>。</w:t>
      </w:r>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（1</w:t>
      </w:r>
      <w:r>
        <w:rPr>
          <w:rFonts w:ascii="仿宋_GB2312" w:hAnsi="仿宋_GB2312" w:eastAsia="仿宋" w:cs="仿宋_GB2312"/>
          <w:bCs/>
          <w:sz w:val="32"/>
          <w:szCs w:val="28"/>
        </w:rPr>
        <w:t>3</w:t>
      </w:r>
      <w:r>
        <w:rPr>
          <w:rFonts w:hint="eastAsia" w:ascii="仿宋_GB2312" w:hAnsi="仿宋_GB2312" w:eastAsia="仿宋" w:cs="仿宋_GB2312"/>
          <w:bCs/>
          <w:sz w:val="32"/>
          <w:szCs w:val="28"/>
        </w:rPr>
        <w:t>）比选程序不规范</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涉及部门：马尔康市应急管理局</w:t>
      </w:r>
    </w:p>
    <w:p>
      <w:pPr>
        <w:spacing w:line="560" w:lineRule="exact"/>
        <w:ind w:firstLine="562"/>
        <w:rPr>
          <w:rFonts w:ascii="仿宋_GB2312" w:hAnsi="仿宋_GB2312" w:eastAsia="仿宋" w:cs="仿宋_GB2312"/>
          <w:bCs/>
          <w:color w:val="FF0000"/>
          <w:sz w:val="32"/>
          <w:szCs w:val="28"/>
        </w:rPr>
      </w:pPr>
      <w:r>
        <w:rPr>
          <w:rFonts w:hint="eastAsia" w:ascii="仿宋_GB2312" w:hAnsi="仿宋_GB2312" w:eastAsia="仿宋" w:cs="仿宋_GB2312"/>
          <w:bCs/>
          <w:sz w:val="32"/>
          <w:szCs w:val="28"/>
        </w:rPr>
        <w:t>我们的意见和建议：建议被评价单位从严政府采购程序，对采购合规性进行把关。</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（1</w:t>
      </w:r>
      <w:r>
        <w:rPr>
          <w:rFonts w:ascii="仿宋_GB2312" w:hAnsi="仿宋_GB2312" w:eastAsia="仿宋" w:cs="仿宋_GB2312"/>
          <w:bCs/>
          <w:sz w:val="32"/>
          <w:szCs w:val="28"/>
        </w:rPr>
        <w:t>4</w:t>
      </w:r>
      <w:r>
        <w:rPr>
          <w:rFonts w:hint="eastAsia" w:ascii="仿宋_GB2312" w:hAnsi="仿宋_GB2312" w:eastAsia="仿宋" w:cs="仿宋_GB2312"/>
          <w:bCs/>
          <w:sz w:val="32"/>
          <w:szCs w:val="28"/>
        </w:rPr>
        <w:t>）收费许可证已过期，未及时更换</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涉及部门：马尔康市应急管理局</w:t>
      </w:r>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我们的意见和建议：建议被评价单位加强管理，及时办理换证手续。</w:t>
      </w:r>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（1</w:t>
      </w:r>
      <w:r>
        <w:rPr>
          <w:rFonts w:ascii="仿宋_GB2312" w:hAnsi="仿宋_GB2312" w:eastAsia="仿宋" w:cs="仿宋_GB2312"/>
          <w:bCs/>
          <w:sz w:val="32"/>
          <w:szCs w:val="28"/>
        </w:rPr>
        <w:t>5</w:t>
      </w:r>
      <w:r>
        <w:rPr>
          <w:rFonts w:hint="eastAsia" w:ascii="仿宋_GB2312" w:hAnsi="仿宋_GB2312" w:eastAsia="仿宋" w:cs="仿宋_GB2312"/>
          <w:bCs/>
          <w:sz w:val="32"/>
          <w:szCs w:val="28"/>
        </w:rPr>
        <w:t>）物资发放未附领取附件</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涉及部门：马尔康市应急管理局</w:t>
      </w:r>
    </w:p>
    <w:p>
      <w:pPr>
        <w:spacing w:line="560" w:lineRule="exact"/>
        <w:ind w:firstLine="562"/>
        <w:rPr>
          <w:rFonts w:ascii="仿宋_GB2312" w:hAnsi="仿宋_GB2312" w:eastAsia="仿宋" w:cs="仿宋_GB2312"/>
          <w:bCs/>
          <w:sz w:val="32"/>
          <w:szCs w:val="28"/>
        </w:rPr>
      </w:pPr>
    </w:p>
    <w:p>
      <w:pPr>
        <w:spacing w:after="172" w:line="560" w:lineRule="exact"/>
        <w:ind w:firstLine="643"/>
        <w:rPr>
          <w:rFonts w:ascii="楷体_GB2312" w:hAnsi="楷体_GB2312" w:eastAsia="仿宋" w:cs="楷体_GB2312"/>
          <w:b/>
          <w:bCs/>
          <w:sz w:val="32"/>
          <w:szCs w:val="32"/>
          <w:lang w:bidi="ar"/>
        </w:rPr>
      </w:pPr>
      <w:r>
        <w:rPr>
          <w:rFonts w:hint="eastAsia" w:ascii="楷体_GB2312" w:hAnsi="楷体_GB2312" w:eastAsia="仿宋" w:cs="楷体_GB2312"/>
          <w:b/>
          <w:bCs/>
          <w:sz w:val="32"/>
          <w:szCs w:val="32"/>
          <w:lang w:bidi="ar"/>
        </w:rPr>
        <w:t>（四）财政政策</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1、项目在乡（镇）人民政府审批之前已实施</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涉及项目：2019年基层组织活动和公共服务运行项目日部乡、草登乡、党坝乡、脚木足乡。</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2、项目实施审批签字手续不全</w:t>
      </w:r>
    </w:p>
    <w:p>
      <w:pPr>
        <w:spacing w:line="560" w:lineRule="exact"/>
        <w:ind w:firstLine="560"/>
        <w:rPr>
          <w:rFonts w:ascii="仿宋_GB2312" w:hAnsi="宋体" w:eastAsia="仿宋" w:cs="仿宋_GB2312"/>
          <w:sz w:val="32"/>
          <w:szCs w:val="28"/>
          <w:lang w:bidi="ar"/>
        </w:rPr>
      </w:pPr>
      <w:bookmarkStart w:id="3" w:name="_Hlk57728120"/>
      <w:r>
        <w:rPr>
          <w:rFonts w:hint="eastAsia" w:ascii="仿宋_GB2312" w:hAnsi="宋体" w:eastAsia="仿宋" w:cs="仿宋_GB2312"/>
          <w:sz w:val="32"/>
          <w:szCs w:val="28"/>
          <w:lang w:bidi="ar"/>
        </w:rPr>
        <w:t>涉及项目：2019年基层组织活动和公共服务运行项目</w:t>
      </w:r>
      <w:bookmarkEnd w:id="3"/>
      <w:r>
        <w:rPr>
          <w:rFonts w:hint="eastAsia" w:ascii="仿宋_GB2312" w:hAnsi="宋体" w:eastAsia="仿宋" w:cs="仿宋_GB2312"/>
          <w:sz w:val="32"/>
          <w:szCs w:val="28"/>
          <w:lang w:bidi="ar"/>
        </w:rPr>
        <w:t>草登乡、脚木足乡、梭磨乡人民政府。</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3、村民意见汇总表和签字人数不一致</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涉及项目：2019年基层组织活动和公共服务运行项目党坝乡、马尔康镇。</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4、未按规定公示评标报告</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涉及项目：2019年基层组织活动和公共服务运行项目沙尔宗镇、松岗镇。</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5、项目在中标之前已开始实施</w:t>
      </w:r>
    </w:p>
    <w:p>
      <w:pPr>
        <w:spacing w:line="560" w:lineRule="exact"/>
        <w:ind w:firstLine="560"/>
        <w:rPr>
          <w:rFonts w:ascii="仿宋_GB2312" w:hAnsi="宋体" w:eastAsia="仿宋" w:cs="仿宋_GB2312"/>
          <w:sz w:val="32"/>
          <w:szCs w:val="28"/>
          <w:lang w:bidi="ar"/>
        </w:rPr>
      </w:pPr>
      <w:bookmarkStart w:id="4" w:name="_Hlk57728338"/>
      <w:r>
        <w:rPr>
          <w:rFonts w:hint="eastAsia" w:ascii="仿宋_GB2312" w:hAnsi="宋体" w:eastAsia="仿宋" w:cs="仿宋_GB2312"/>
          <w:sz w:val="32"/>
          <w:szCs w:val="28"/>
          <w:lang w:bidi="ar"/>
        </w:rPr>
        <w:t>涉及项目：2019年基层组织活动和公共服务运行项目</w:t>
      </w:r>
      <w:bookmarkEnd w:id="4"/>
      <w:r>
        <w:rPr>
          <w:rFonts w:hint="eastAsia" w:ascii="仿宋_GB2312" w:hAnsi="宋体" w:eastAsia="仿宋" w:cs="仿宋_GB2312"/>
          <w:sz w:val="32"/>
          <w:szCs w:val="28"/>
          <w:lang w:bidi="ar"/>
        </w:rPr>
        <w:t>日部乡、松岗镇。</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6、理财小组、质量监督小组人员签字不符</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涉及项目：2019年基层组织活动和公共服务运行项目康山乡、龙尔甲乡。</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7、中标通知书填写不规范，如未填写中标金额、未填写发出时间</w:t>
      </w:r>
    </w:p>
    <w:p>
      <w:pPr>
        <w:spacing w:line="560" w:lineRule="exact"/>
        <w:ind w:firstLine="560"/>
        <w:rPr>
          <w:rFonts w:ascii="仿宋_GB2312" w:hAnsi="宋体" w:eastAsia="仿宋" w:cs="仿宋_GB2312"/>
          <w:sz w:val="32"/>
          <w:szCs w:val="28"/>
          <w:lang w:bidi="ar"/>
        </w:rPr>
      </w:pPr>
      <w:bookmarkStart w:id="5" w:name="_Hlk57728472"/>
      <w:r>
        <w:rPr>
          <w:rFonts w:hint="eastAsia" w:ascii="仿宋_GB2312" w:hAnsi="宋体" w:eastAsia="仿宋" w:cs="仿宋_GB2312"/>
          <w:sz w:val="32"/>
          <w:szCs w:val="28"/>
          <w:lang w:bidi="ar"/>
        </w:rPr>
        <w:t>涉及项目：2019年基层组织活动和公共服务运行项目</w:t>
      </w:r>
      <w:bookmarkEnd w:id="5"/>
      <w:r>
        <w:rPr>
          <w:rFonts w:hint="eastAsia" w:ascii="仿宋_GB2312" w:hAnsi="宋体" w:eastAsia="仿宋" w:cs="仿宋_GB2312"/>
          <w:sz w:val="32"/>
          <w:szCs w:val="28"/>
          <w:lang w:bidi="ar"/>
        </w:rPr>
        <w:t>草登乡、松岗镇。</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8、公示不规范</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涉及项目：2019年基层组织活动和公共服务运行项目龙尔甲乡、木尔宗乡。各乡镇均存在公示时未写明公示期间，公示结束后未出具公示结果无异议的公示结果的情况。</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9、项目执行进度缓慢，资金未及时使用</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涉及项目：2019年州级财政专项扶贫资金项目、2019年财政林业改革发展资金。</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0</w:t>
      </w:r>
      <w:r>
        <w:rPr>
          <w:rFonts w:hint="eastAsia" w:ascii="仿宋_GB2312" w:hAnsi="宋体" w:eastAsia="仿宋" w:cs="仿宋_GB2312"/>
          <w:bCs/>
          <w:sz w:val="32"/>
          <w:szCs w:val="28"/>
          <w:lang w:bidi="ar"/>
        </w:rPr>
        <w:t>、项目实施前未设置项目预期绩效目标或设置不明朗，指标未量化</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涉及项目：2019年州级财政专项扶贫资金项目、2019年州级农资补贴资金项目、2019年城乡居民养老保险、2019年财政林业改革发展资金。</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1</w:t>
      </w:r>
      <w:r>
        <w:rPr>
          <w:rFonts w:hint="eastAsia" w:ascii="仿宋_GB2312" w:hAnsi="宋体" w:eastAsia="仿宋" w:cs="仿宋_GB2312"/>
          <w:bCs/>
          <w:sz w:val="32"/>
          <w:szCs w:val="28"/>
          <w:lang w:bidi="ar"/>
        </w:rPr>
        <w:t>、项目未进行验收</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涉及项目：2019年州级财政专项扶贫资金项目。</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2</w:t>
      </w:r>
      <w:r>
        <w:rPr>
          <w:rFonts w:hint="eastAsia" w:ascii="仿宋_GB2312" w:hAnsi="宋体" w:eastAsia="仿宋" w:cs="仿宋_GB2312"/>
          <w:bCs/>
          <w:sz w:val="32"/>
          <w:szCs w:val="28"/>
          <w:lang w:bidi="ar"/>
        </w:rPr>
        <w:t>、未按照资金使用用途使用</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涉及项目：2019年州级财政专项扶贫资金项目（2019年度州级财政专项扶贫资金用于归垫2017年扶贫保资金）、2019年州级农资补贴资金项目。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3</w:t>
      </w:r>
      <w:r>
        <w:rPr>
          <w:rFonts w:hint="eastAsia" w:ascii="仿宋_GB2312" w:hAnsi="宋体" w:eastAsia="仿宋" w:cs="仿宋_GB2312"/>
          <w:bCs/>
          <w:sz w:val="32"/>
          <w:szCs w:val="28"/>
          <w:lang w:bidi="ar"/>
        </w:rPr>
        <w:t>、项目资金预算不够合理，资金的使用用途不够明确</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涉及项目：2019年财政林业改革发展资金。</w:t>
      </w:r>
    </w:p>
    <w:p>
      <w:pPr>
        <w:spacing w:line="560" w:lineRule="exact"/>
        <w:ind w:firstLine="643" w:firstLineChars="200"/>
        <w:rPr>
          <w:rFonts w:hint="eastAsia" w:ascii="仿宋" w:hAnsi="仿宋" w:eastAsia="仿宋"/>
          <w:b/>
          <w:sz w:val="32"/>
          <w:szCs w:val="32"/>
        </w:rPr>
      </w:pP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五</w:t>
      </w:r>
      <w:r>
        <w:rPr>
          <w:rFonts w:ascii="仿宋" w:hAnsi="仿宋" w:eastAsia="仿宋"/>
          <w:b/>
          <w:sz w:val="32"/>
          <w:szCs w:val="32"/>
        </w:rPr>
        <w:t>、下一步工作安排</w:t>
      </w:r>
    </w:p>
    <w:p>
      <w:pPr>
        <w:spacing w:line="560" w:lineRule="exact"/>
        <w:ind w:firstLine="640" w:firstLineChars="200"/>
        <w:rPr>
          <w:rFonts w:ascii="仿宋" w:hAnsi="仿宋" w:eastAsia="仿宋"/>
          <w:sz w:val="32"/>
          <w:szCs w:val="32"/>
        </w:rPr>
      </w:pPr>
      <w:r>
        <w:rPr>
          <w:rFonts w:ascii="仿宋" w:hAnsi="仿宋" w:eastAsia="仿宋"/>
          <w:sz w:val="32"/>
          <w:szCs w:val="32"/>
        </w:rPr>
        <w:t>(一)全面夯实预算绩效管理基础。2021年逐步构建全方位预算绩效管理格局，建立全过程预算绩效管理链条，完善全覆盖预算绩效管理体系。继续完善绩效评价项目库，实施项目库动态监管，加快信息系统建设，创建综合管理平台，建立绩效评价工作联系机制，有序规范高效管理评价人员队伍、提高评价工作效率</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二)进一步加强绩效目标管理。依据国家相关政策、财政支出方向和重点、部门职能及事业发展规划等预算部门提出的绩效目标进行审核，包括绩效目标与部门职能的相关性、绩效目标的实现所采取措施的可行性、实现绩效目标所 需资金的合理性等。定期采集绩效运行信息并汇总分析，对绩效目标运行情况进行跟踪管理和督促检查，纠偏扬长，促进绩效目标的顺利实现。</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(三)全面促进绩效深度融入预算。2021年，</w:t>
      </w:r>
      <w:r>
        <w:rPr>
          <w:rFonts w:hint="eastAsia" w:ascii="仿宋" w:hAnsi="仿宋" w:eastAsia="仿宋"/>
          <w:sz w:val="32"/>
          <w:szCs w:val="32"/>
        </w:rPr>
        <w:t>市财政</w:t>
      </w:r>
      <w:r>
        <w:rPr>
          <w:rFonts w:ascii="仿宋" w:hAnsi="仿宋" w:eastAsia="仿宋"/>
          <w:sz w:val="32"/>
          <w:szCs w:val="32"/>
        </w:rPr>
        <w:t>将从事前预算绩效评估、事中预算绩效监控、事后预算绩效评价、预算绩效目标管理和预算绩效结果应用，促进绩效深度融入预算，继续做深做实绩效目标、积极开展绩效监控、深度拓展绩效评价、严格实施结果应用。</w:t>
      </w:r>
    </w:p>
    <w:p>
      <w:pPr>
        <w:spacing w:line="560" w:lineRule="exact"/>
        <w:ind w:firstLine="640" w:firstLineChars="200"/>
        <w:rPr>
          <w:rFonts w:ascii="仿宋" w:hAnsi="仿宋" w:eastAsia="仿宋"/>
          <w:sz w:val="32"/>
          <w:szCs w:val="32"/>
        </w:rPr>
      </w:pPr>
      <w:r>
        <w:rPr>
          <w:rFonts w:ascii="仿宋" w:hAnsi="仿宋" w:eastAsia="仿宋"/>
          <w:sz w:val="32"/>
          <w:szCs w:val="32"/>
        </w:rPr>
        <w:t>(四)继续完善绩效评价结果运用。运用绩效评价结果是绩效管理落到实处、取得实效的关键，也是全部工作的落脚点，一是建立绩效数据管理制度，在财政系统和部门之间实现数据共享。二是建立绩效评价结果与预算安排挂钩机 制，切实强化绩效评价结果应用，严格预算挂钩，将绩效评 价结果作为预算安排的重要依据。 三是建立绩效评价激励。预算绩效管理工作考评结果予以公开和通报，进一步增强部门的责任感和紧迫感。不断完善绩效评价结果的反馈和运用机制，绩效评价结果纳入县(市)党委政府目标考核范畴，以建立绩效问责机制。</w:t>
      </w:r>
      <w:r>
        <w:rPr>
          <w:rFonts w:ascii="仿宋" w:hAnsi="仿宋" w:eastAsia="仿宋"/>
          <w:sz w:val="32"/>
          <w:szCs w:val="32"/>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0</wp:posOffset>
                </wp:positionV>
                <wp:extent cx="1905" cy="1905"/>
                <wp:effectExtent l="0" t="0" r="0" b="0"/>
                <wp:wrapNone/>
                <wp:docPr id="128" name="矩形 128"/>
                <wp:cNvGraphicFramePr/>
                <a:graphic xmlns:a="http://schemas.openxmlformats.org/drawingml/2006/main">
                  <a:graphicData uri="http://schemas.microsoft.com/office/word/2010/wordprocessingShape">
                    <wps:wsp>
                      <wps:cNvSpPr>
                        <a:spLocks noChangeArrowheads="1"/>
                      </wps:cNvSpPr>
                      <wps:spPr bwMode="auto">
                        <a:xfrm>
                          <a:off x="0" y="0"/>
                          <a:ext cx="1905" cy="190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0pt;height:0.15pt;width:0.15pt;mso-position-horizontal-relative:page;mso-position-vertical-relative:page;z-index:251659264;mso-width-relative:page;mso-height-relative:page;" fillcolor="#000000" filled="t" stroked="f" coordsize="21600,21600" o:allowincell="f" o:gfxdata="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ST+ANAAAAD/AAAADwAAAAAAAAABACAA&#10;AAAiAAAAZHJzL2Rvd25yZXYueG1sUEsBAhQAFAAAAAgAh07iQAnRw1gVAgAAJQQAAA4AAAAAAAAA&#10;AQAgAAAAHwEAAGRycy9lMm9Eb2MueG1sUEsFBgAAAAAGAAYAWQEAAKYFAAAAAA==&#10;">
                <v:fill on="t" focussize="0,0"/>
                <v:stroke on="f"/>
                <v:imagedata o:title=""/>
                <o:lock v:ext="edit" aspectratio="f"/>
              </v:rect>
            </w:pict>
          </mc:Fallback>
        </mc:AlternateContent>
      </w: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p>
    <w:p>
      <w:pPr>
        <w:pStyle w:val="5"/>
        <w:spacing w:after="0" w:line="560" w:lineRule="exact"/>
        <w:ind w:left="0" w:firstLine="0" w:firstLineChars="0"/>
        <w:jc w:val="center"/>
        <w:rPr>
          <w:rFonts w:hint="eastAsia" w:eastAsia="仿宋"/>
          <w:bCs/>
          <w:sz w:val="32"/>
          <w:szCs w:val="36"/>
        </w:rPr>
      </w:pPr>
    </w:p>
    <w:p>
      <w:pPr>
        <w:pStyle w:val="5"/>
        <w:spacing w:after="0" w:line="560" w:lineRule="exact"/>
        <w:ind w:left="0" w:firstLine="0" w:firstLineChars="0"/>
        <w:jc w:val="center"/>
        <w:rPr>
          <w:rFonts w:eastAsia="仿宋"/>
          <w:b/>
          <w:bCs/>
          <w:sz w:val="52"/>
          <w:szCs w:val="36"/>
        </w:rPr>
      </w:pPr>
      <w:r>
        <w:rPr>
          <w:rFonts w:eastAsia="仿宋"/>
          <w:b/>
          <w:bCs/>
          <w:sz w:val="52"/>
          <w:szCs w:val="36"/>
        </w:rPr>
        <w:t>马尔康市2020年财政支出项目</w:t>
      </w:r>
    </w:p>
    <w:p>
      <w:pPr>
        <w:pStyle w:val="5"/>
        <w:spacing w:after="0" w:line="560" w:lineRule="exact"/>
        <w:ind w:left="0" w:firstLine="0" w:firstLineChars="0"/>
        <w:jc w:val="center"/>
        <w:rPr>
          <w:rFonts w:hint="eastAsia" w:eastAsia="仿宋"/>
          <w:b/>
          <w:bCs/>
          <w:sz w:val="52"/>
          <w:szCs w:val="36"/>
        </w:rPr>
      </w:pPr>
      <w:r>
        <w:rPr>
          <w:rFonts w:eastAsia="仿宋"/>
          <w:b/>
          <w:bCs/>
          <w:sz w:val="52"/>
          <w:szCs w:val="36"/>
        </w:rPr>
        <w:t>绩效评价报告</w:t>
      </w:r>
    </w:p>
    <w:p>
      <w:pPr>
        <w:rPr>
          <w:b/>
          <w:sz w:val="36"/>
        </w:rPr>
      </w:pPr>
    </w:p>
    <w:p>
      <w:pPr>
        <w:spacing w:line="560" w:lineRule="exact"/>
        <w:ind w:firstLine="480"/>
        <w:rPr>
          <w:rFonts w:hint="eastAsia" w:eastAsia="仿宋"/>
          <w:b/>
          <w:sz w:val="52"/>
        </w:rPr>
      </w:pPr>
    </w:p>
    <w:p>
      <w:pPr>
        <w:spacing w:line="560" w:lineRule="exact"/>
        <w:ind w:firstLine="560"/>
        <w:rPr>
          <w:rFonts w:hint="eastAsia" w:ascii="仿宋_GB2312" w:hAnsi="宋体" w:eastAsia="仿宋" w:cs="宋体"/>
          <w:sz w:val="32"/>
          <w:szCs w:val="28"/>
          <w:shd w:val="clear" w:color="auto" w:fill="FFFFFF"/>
        </w:rPr>
      </w:pPr>
      <w:r>
        <w:rPr>
          <w:rFonts w:hint="eastAsia" w:ascii="仿宋_GB2312" w:hAnsi="宋体" w:eastAsia="仿宋" w:cs="宋体"/>
          <w:sz w:val="32"/>
          <w:szCs w:val="28"/>
          <w:shd w:val="clear" w:color="auto" w:fill="FFFFFF"/>
        </w:rPr>
        <w:t>为贯彻落实马尔康市财政局《马尔康市财政局关于开展2020年财政支出绩效评价工作的通知》（马尔财〔2020〕290号）、《阿坝州人民政府办公室关于进一步加强绩效预算管理工作的通知》（阿府办函〔2016〕71号）等文件的要求，马尔康市财政局委托四川融策会计师事务所有限公司，以第三方社会评价机构身份，承担马尔康市20</w:t>
      </w:r>
      <w:r>
        <w:rPr>
          <w:rFonts w:ascii="仿宋_GB2312" w:hAnsi="宋体" w:eastAsia="仿宋" w:cs="宋体"/>
          <w:sz w:val="32"/>
          <w:szCs w:val="28"/>
          <w:shd w:val="clear" w:color="auto" w:fill="FFFFFF"/>
        </w:rPr>
        <w:t>20</w:t>
      </w:r>
      <w:r>
        <w:rPr>
          <w:rFonts w:hint="eastAsia" w:ascii="仿宋_GB2312" w:hAnsi="宋体" w:eastAsia="仿宋" w:cs="宋体"/>
          <w:sz w:val="32"/>
          <w:szCs w:val="28"/>
          <w:shd w:val="clear" w:color="auto" w:fill="FFFFFF"/>
        </w:rPr>
        <w:t>年财政支出项目绩效评价工作。</w:t>
      </w:r>
    </w:p>
    <w:p>
      <w:pPr>
        <w:spacing w:line="560" w:lineRule="exact"/>
        <w:ind w:firstLine="560"/>
        <w:rPr>
          <w:rFonts w:ascii="仿宋_GB2312" w:hAnsi="宋体" w:eastAsia="仿宋" w:cs="宋体"/>
          <w:sz w:val="32"/>
          <w:szCs w:val="28"/>
          <w:shd w:val="clear" w:color="auto" w:fill="FFFFFF"/>
        </w:rPr>
      </w:pPr>
      <w:r>
        <w:rPr>
          <w:rFonts w:hint="eastAsia" w:ascii="仿宋_GB2312" w:hAnsi="宋体" w:eastAsia="仿宋" w:cs="宋体"/>
          <w:sz w:val="32"/>
          <w:szCs w:val="28"/>
          <w:shd w:val="clear" w:color="auto" w:fill="FFFFFF"/>
        </w:rPr>
        <w:t>本次绩效评价共包含2</w:t>
      </w:r>
      <w:r>
        <w:rPr>
          <w:rFonts w:ascii="仿宋_GB2312" w:hAnsi="宋体" w:eastAsia="仿宋" w:cs="宋体"/>
          <w:sz w:val="32"/>
          <w:szCs w:val="28"/>
          <w:shd w:val="clear" w:color="auto" w:fill="FFFFFF"/>
        </w:rPr>
        <w:t>3</w:t>
      </w:r>
      <w:r>
        <w:rPr>
          <w:rFonts w:hint="eastAsia" w:ascii="仿宋_GB2312" w:hAnsi="宋体" w:eastAsia="仿宋" w:cs="宋体"/>
          <w:sz w:val="32"/>
          <w:szCs w:val="28"/>
          <w:shd w:val="clear" w:color="auto" w:fill="FFFFFF"/>
        </w:rPr>
        <w:t>个项目支出、</w:t>
      </w:r>
      <w:r>
        <w:rPr>
          <w:rFonts w:ascii="仿宋_GB2312" w:hAnsi="宋体" w:eastAsia="仿宋" w:cs="宋体"/>
          <w:sz w:val="32"/>
          <w:szCs w:val="28"/>
          <w:shd w:val="clear" w:color="auto" w:fill="FFFFFF"/>
        </w:rPr>
        <w:t>5</w:t>
      </w:r>
      <w:r>
        <w:rPr>
          <w:rFonts w:hint="eastAsia" w:ascii="仿宋_GB2312" w:hAnsi="宋体" w:eastAsia="仿宋" w:cs="宋体"/>
          <w:sz w:val="32"/>
          <w:szCs w:val="28"/>
          <w:shd w:val="clear" w:color="auto" w:fill="FFFFFF"/>
        </w:rPr>
        <w:t>个财政政策和1</w:t>
      </w:r>
      <w:r>
        <w:rPr>
          <w:rFonts w:ascii="仿宋_GB2312" w:hAnsi="宋体" w:eastAsia="仿宋" w:cs="宋体"/>
          <w:sz w:val="32"/>
          <w:szCs w:val="28"/>
          <w:shd w:val="clear" w:color="auto" w:fill="FFFFFF"/>
        </w:rPr>
        <w:t>3</w:t>
      </w:r>
      <w:r>
        <w:rPr>
          <w:rFonts w:hint="eastAsia" w:ascii="仿宋_GB2312" w:hAnsi="宋体" w:eastAsia="仿宋" w:cs="宋体"/>
          <w:sz w:val="32"/>
          <w:szCs w:val="28"/>
          <w:shd w:val="clear" w:color="auto" w:fill="FFFFFF"/>
        </w:rPr>
        <w:t>个部门整体支出，涉及被评价单位</w:t>
      </w:r>
      <w:r>
        <w:rPr>
          <w:rFonts w:ascii="仿宋_GB2312" w:hAnsi="宋体" w:eastAsia="仿宋" w:cs="宋体"/>
          <w:sz w:val="32"/>
          <w:szCs w:val="28"/>
          <w:shd w:val="clear" w:color="auto" w:fill="FFFFFF"/>
        </w:rPr>
        <w:t>46</w:t>
      </w:r>
      <w:r>
        <w:rPr>
          <w:rFonts w:hint="eastAsia" w:ascii="仿宋_GB2312" w:hAnsi="宋体" w:eastAsia="仿宋" w:cs="宋体"/>
          <w:sz w:val="32"/>
          <w:szCs w:val="28"/>
          <w:shd w:val="clear" w:color="auto" w:fill="FFFFFF"/>
        </w:rPr>
        <w:t>个，评价组遵循独立性、公正性、专业性的执业原则，出具本次绩效评价总报告。评价情况如下：</w:t>
      </w:r>
    </w:p>
    <w:p>
      <w:pPr>
        <w:pStyle w:val="2"/>
        <w:spacing w:before="156" w:after="156" w:line="560" w:lineRule="exact"/>
        <w:ind w:firstLine="640"/>
        <w:rPr>
          <w:rFonts w:hint="eastAsia" w:eastAsia="仿宋"/>
          <w:b w:val="0"/>
          <w:sz w:val="32"/>
          <w:szCs w:val="30"/>
        </w:rPr>
      </w:pPr>
      <w:bookmarkStart w:id="6" w:name="_Toc19175"/>
      <w:bookmarkStart w:id="7" w:name="_Toc29275"/>
      <w:r>
        <w:rPr>
          <w:rFonts w:hint="eastAsia" w:eastAsia="仿宋"/>
          <w:b w:val="0"/>
          <w:sz w:val="32"/>
          <w:szCs w:val="30"/>
        </w:rPr>
        <w:t>一、</w:t>
      </w:r>
      <w:r>
        <w:rPr>
          <w:rFonts w:eastAsia="仿宋"/>
          <w:b w:val="0"/>
          <w:sz w:val="32"/>
          <w:szCs w:val="30"/>
        </w:rPr>
        <w:t>评价工作</w:t>
      </w:r>
      <w:r>
        <w:rPr>
          <w:rFonts w:hint="eastAsia" w:eastAsia="仿宋"/>
          <w:b w:val="0"/>
          <w:sz w:val="32"/>
          <w:szCs w:val="30"/>
        </w:rPr>
        <w:t>开展及项目</w:t>
      </w:r>
      <w:r>
        <w:rPr>
          <w:rFonts w:eastAsia="仿宋"/>
          <w:b w:val="0"/>
          <w:sz w:val="32"/>
          <w:szCs w:val="30"/>
        </w:rPr>
        <w:t>情况</w:t>
      </w:r>
      <w:bookmarkEnd w:id="6"/>
      <w:bookmarkEnd w:id="7"/>
    </w:p>
    <w:p>
      <w:pPr>
        <w:pStyle w:val="40"/>
        <w:spacing w:before="156" w:after="156" w:line="560" w:lineRule="exact"/>
        <w:ind w:firstLine="640"/>
        <w:rPr>
          <w:rFonts w:hint="eastAsia" w:eastAsia="仿宋"/>
          <w:b w:val="0"/>
          <w:color w:val="auto"/>
          <w:sz w:val="32"/>
        </w:rPr>
      </w:pPr>
      <w:bookmarkStart w:id="8" w:name="_Toc23124"/>
      <w:bookmarkStart w:id="9" w:name="_Toc32374"/>
      <w:r>
        <w:rPr>
          <w:rFonts w:hint="eastAsia" w:eastAsia="仿宋"/>
          <w:b w:val="0"/>
          <w:color w:val="auto"/>
          <w:sz w:val="32"/>
        </w:rPr>
        <w:t>（一）评价目的</w:t>
      </w:r>
      <w:bookmarkEnd w:id="8"/>
      <w:bookmarkEnd w:id="9"/>
    </w:p>
    <w:p>
      <w:pPr>
        <w:spacing w:line="560" w:lineRule="exact"/>
        <w:ind w:firstLine="560"/>
        <w:rPr>
          <w:rFonts w:hint="eastAsia" w:ascii="仿宋_GB2312" w:hAnsi="宋体" w:eastAsia="仿宋" w:cs="宋体"/>
          <w:sz w:val="32"/>
          <w:szCs w:val="28"/>
          <w:shd w:val="clear" w:color="auto" w:fill="FFFFFF"/>
          <w:lang w:val="zh-CN"/>
        </w:rPr>
      </w:pPr>
      <w:r>
        <w:rPr>
          <w:rFonts w:hint="eastAsia" w:ascii="仿宋_GB2312" w:hAnsi="宋体" w:eastAsia="仿宋" w:cs="宋体"/>
          <w:sz w:val="32"/>
          <w:szCs w:val="28"/>
          <w:shd w:val="clear" w:color="auto" w:fill="FFFFFF"/>
          <w:lang w:val="zh-CN"/>
        </w:rPr>
        <w:t>按照项目决策、管理、</w:t>
      </w:r>
      <w:r>
        <w:rPr>
          <w:rFonts w:hint="eastAsia" w:ascii="仿宋_GB2312" w:hAnsi="宋体" w:eastAsia="仿宋" w:cs="宋体"/>
          <w:sz w:val="32"/>
          <w:szCs w:val="28"/>
          <w:shd w:val="clear" w:color="auto" w:fill="FFFFFF"/>
        </w:rPr>
        <w:t>效果</w:t>
      </w:r>
      <w:r>
        <w:rPr>
          <w:rFonts w:hint="eastAsia" w:ascii="仿宋_GB2312" w:hAnsi="宋体" w:eastAsia="仿宋" w:cs="宋体"/>
          <w:sz w:val="32"/>
          <w:szCs w:val="28"/>
          <w:shd w:val="clear" w:color="auto" w:fill="FFFFFF"/>
          <w:lang w:val="zh-CN"/>
        </w:rPr>
        <w:t>三类指标，对资金支出行为过程及其效果进行综合评价和判断，评价资金使用的科学性、合理性和有效性，分析存在的问题，提出完善资金管理和项目管理的制度机制、调整支出结构相关建议，为年度预算编制提供参考依据，促进提高资金使用绩效。</w:t>
      </w:r>
    </w:p>
    <w:p>
      <w:pPr>
        <w:pStyle w:val="39"/>
        <w:spacing w:before="156" w:after="156" w:line="560" w:lineRule="exact"/>
        <w:ind w:firstLine="640"/>
        <w:rPr>
          <w:rFonts w:eastAsia="仿宋"/>
          <w:b w:val="0"/>
          <w:color w:val="auto"/>
          <w:sz w:val="32"/>
        </w:rPr>
      </w:pPr>
      <w:bookmarkStart w:id="10" w:name="_Toc27756"/>
      <w:bookmarkStart w:id="11" w:name="_Toc17726"/>
      <w:r>
        <w:rPr>
          <w:rFonts w:hint="eastAsia" w:eastAsia="仿宋"/>
          <w:b w:val="0"/>
          <w:color w:val="auto"/>
          <w:sz w:val="32"/>
        </w:rPr>
        <w:t>（二）评价方法</w:t>
      </w:r>
      <w:bookmarkEnd w:id="10"/>
      <w:bookmarkEnd w:id="11"/>
    </w:p>
    <w:p>
      <w:pPr>
        <w:spacing w:line="560" w:lineRule="exact"/>
        <w:ind w:firstLine="560"/>
        <w:rPr>
          <w:rFonts w:eastAsia="仿宋"/>
          <w:sz w:val="32"/>
          <w:highlight w:val="yellow"/>
        </w:rPr>
      </w:pPr>
      <w:r>
        <w:rPr>
          <w:rFonts w:hint="eastAsia" w:ascii="仿宋_GB2312" w:hAnsi="宋体" w:eastAsia="仿宋" w:cs="仿宋_GB2312"/>
          <w:sz w:val="32"/>
          <w:szCs w:val="28"/>
          <w:lang w:bidi="ar"/>
        </w:rPr>
        <w:t>结合被评价项目及部门的实际情况，实施了包括查阅资料、实地察看、现场访谈等评价程序；对于项目实施情况采用目标比较法、历史动态比较法进行分析判断；通过现场勘查、项目资料查阅，提取项目相关数据。</w:t>
      </w:r>
    </w:p>
    <w:p>
      <w:pPr>
        <w:pStyle w:val="39"/>
        <w:spacing w:before="156" w:after="156" w:line="560" w:lineRule="exact"/>
        <w:ind w:firstLine="640"/>
        <w:rPr>
          <w:rFonts w:eastAsia="仿宋"/>
          <w:b w:val="0"/>
          <w:color w:val="auto"/>
          <w:sz w:val="32"/>
        </w:rPr>
      </w:pPr>
      <w:bookmarkStart w:id="12" w:name="_Toc10550"/>
      <w:bookmarkStart w:id="13" w:name="_Toc20747"/>
      <w:r>
        <w:rPr>
          <w:rFonts w:hint="eastAsia" w:eastAsia="仿宋"/>
          <w:b w:val="0"/>
          <w:color w:val="auto"/>
          <w:sz w:val="32"/>
        </w:rPr>
        <w:t>（三）</w:t>
      </w:r>
      <w:r>
        <w:rPr>
          <w:rFonts w:eastAsia="仿宋"/>
          <w:b w:val="0"/>
          <w:color w:val="auto"/>
          <w:sz w:val="32"/>
        </w:rPr>
        <w:t>现场评价抽样选点情况</w:t>
      </w:r>
      <w:bookmarkEnd w:id="12"/>
      <w:bookmarkEnd w:id="13"/>
    </w:p>
    <w:p>
      <w:pPr>
        <w:spacing w:line="560" w:lineRule="exact"/>
        <w:ind w:firstLine="560"/>
        <w:rPr>
          <w:rFonts w:ascii="仿宋_GB2312" w:hAnsi="宋体" w:eastAsia="仿宋" w:cs="仿宋_GB2312"/>
          <w:sz w:val="32"/>
          <w:szCs w:val="28"/>
          <w:lang w:bidi="ar"/>
        </w:rPr>
      </w:pPr>
      <w:r>
        <w:rPr>
          <w:rFonts w:hint="eastAsia" w:ascii="仿宋_GB2312" w:hAnsi="宋体" w:eastAsia="仿宋" w:cs="宋体"/>
          <w:sz w:val="32"/>
          <w:szCs w:val="28"/>
          <w:shd w:val="clear" w:color="auto" w:fill="FFFFFF"/>
        </w:rPr>
        <w:t>本次绩效评价共包含2</w:t>
      </w:r>
      <w:r>
        <w:rPr>
          <w:rFonts w:ascii="仿宋_GB2312" w:hAnsi="宋体" w:eastAsia="仿宋" w:cs="宋体"/>
          <w:sz w:val="32"/>
          <w:szCs w:val="28"/>
          <w:shd w:val="clear" w:color="auto" w:fill="FFFFFF"/>
        </w:rPr>
        <w:t>3</w:t>
      </w:r>
      <w:r>
        <w:rPr>
          <w:rFonts w:hint="eastAsia" w:ascii="仿宋_GB2312" w:hAnsi="宋体" w:eastAsia="仿宋" w:cs="宋体"/>
          <w:sz w:val="32"/>
          <w:szCs w:val="28"/>
          <w:shd w:val="clear" w:color="auto" w:fill="FFFFFF"/>
        </w:rPr>
        <w:t>个项目支出、</w:t>
      </w:r>
      <w:r>
        <w:rPr>
          <w:rFonts w:ascii="仿宋_GB2312" w:hAnsi="宋体" w:eastAsia="仿宋" w:cs="宋体"/>
          <w:sz w:val="32"/>
          <w:szCs w:val="28"/>
          <w:shd w:val="clear" w:color="auto" w:fill="FFFFFF"/>
        </w:rPr>
        <w:t>5</w:t>
      </w:r>
      <w:r>
        <w:rPr>
          <w:rFonts w:hint="eastAsia" w:ascii="仿宋_GB2312" w:hAnsi="宋体" w:eastAsia="仿宋" w:cs="宋体"/>
          <w:sz w:val="32"/>
          <w:szCs w:val="28"/>
          <w:shd w:val="clear" w:color="auto" w:fill="FFFFFF"/>
        </w:rPr>
        <w:t>个财政政策和1</w:t>
      </w:r>
      <w:r>
        <w:rPr>
          <w:rFonts w:ascii="仿宋_GB2312" w:hAnsi="宋体" w:eastAsia="仿宋" w:cs="宋体"/>
          <w:sz w:val="32"/>
          <w:szCs w:val="28"/>
          <w:shd w:val="clear" w:color="auto" w:fill="FFFFFF"/>
        </w:rPr>
        <w:t>3</w:t>
      </w:r>
      <w:r>
        <w:rPr>
          <w:rFonts w:hint="eastAsia" w:ascii="仿宋_GB2312" w:hAnsi="宋体" w:eastAsia="仿宋" w:cs="宋体"/>
          <w:sz w:val="32"/>
          <w:szCs w:val="28"/>
          <w:shd w:val="clear" w:color="auto" w:fill="FFFFFF"/>
        </w:rPr>
        <w:t>个部门整体支出，涉及被评价单位</w:t>
      </w:r>
      <w:r>
        <w:rPr>
          <w:rFonts w:ascii="仿宋_GB2312" w:hAnsi="宋体" w:eastAsia="仿宋" w:cs="宋体"/>
          <w:sz w:val="32"/>
          <w:szCs w:val="28"/>
          <w:shd w:val="clear" w:color="auto" w:fill="FFFFFF"/>
        </w:rPr>
        <w:t>46</w:t>
      </w:r>
      <w:r>
        <w:rPr>
          <w:rFonts w:hint="eastAsia" w:ascii="仿宋_GB2312" w:hAnsi="宋体" w:eastAsia="仿宋" w:cs="宋体"/>
          <w:sz w:val="32"/>
          <w:szCs w:val="28"/>
          <w:shd w:val="clear" w:color="auto" w:fill="FFFFFF"/>
        </w:rPr>
        <w:t>个</w:t>
      </w:r>
      <w:r>
        <w:rPr>
          <w:rFonts w:hint="eastAsia" w:ascii="仿宋_GB2312" w:hAnsi="宋体" w:eastAsia="仿宋" w:cs="仿宋_GB2312"/>
          <w:sz w:val="32"/>
          <w:szCs w:val="28"/>
          <w:lang w:bidi="ar"/>
        </w:rPr>
        <w:t>，选点率100%。</w:t>
      </w:r>
    </w:p>
    <w:p>
      <w:pPr>
        <w:pStyle w:val="2"/>
        <w:spacing w:before="156" w:after="156" w:line="560" w:lineRule="exact"/>
        <w:ind w:firstLine="640"/>
        <w:rPr>
          <w:rFonts w:hint="eastAsia" w:eastAsia="仿宋"/>
          <w:b w:val="0"/>
          <w:sz w:val="32"/>
          <w:szCs w:val="30"/>
        </w:rPr>
      </w:pPr>
      <w:bookmarkStart w:id="14" w:name="_Toc15634"/>
      <w:bookmarkStart w:id="15" w:name="_Toc26859"/>
      <w:r>
        <w:rPr>
          <w:rFonts w:hint="eastAsia" w:eastAsia="仿宋"/>
          <w:b w:val="0"/>
          <w:sz w:val="32"/>
          <w:szCs w:val="30"/>
        </w:rPr>
        <w:t>二、评价结论及绩效分析</w:t>
      </w:r>
      <w:bookmarkEnd w:id="14"/>
      <w:bookmarkEnd w:id="15"/>
    </w:p>
    <w:p>
      <w:pPr>
        <w:pStyle w:val="40"/>
        <w:spacing w:before="156" w:after="156" w:line="560" w:lineRule="exact"/>
        <w:ind w:firstLine="640"/>
        <w:rPr>
          <w:rFonts w:eastAsia="仿宋"/>
          <w:b w:val="0"/>
          <w:color w:val="auto"/>
          <w:sz w:val="32"/>
        </w:rPr>
      </w:pPr>
      <w:bookmarkStart w:id="16" w:name="_Toc30850"/>
      <w:bookmarkStart w:id="17" w:name="_Toc7271"/>
      <w:r>
        <w:rPr>
          <w:rFonts w:hint="eastAsia" w:eastAsia="仿宋"/>
          <w:b w:val="0"/>
          <w:color w:val="auto"/>
          <w:sz w:val="32"/>
        </w:rPr>
        <w:t>（一）评价结论</w:t>
      </w:r>
      <w:bookmarkEnd w:id="16"/>
      <w:bookmarkEnd w:id="17"/>
    </w:p>
    <w:p>
      <w:pPr>
        <w:pStyle w:val="40"/>
        <w:spacing w:before="156" w:after="156" w:line="560" w:lineRule="exact"/>
        <w:ind w:firstLine="640"/>
        <w:rPr>
          <w:rFonts w:eastAsia="仿宋"/>
          <w:b w:val="0"/>
          <w:color w:val="auto"/>
          <w:sz w:val="32"/>
        </w:rPr>
      </w:pPr>
      <w:bookmarkStart w:id="18" w:name="_Toc8216"/>
      <w:bookmarkStart w:id="19" w:name="_Toc18893"/>
      <w:r>
        <w:rPr>
          <w:rFonts w:hint="eastAsia" w:eastAsia="仿宋"/>
          <w:b w:val="0"/>
          <w:color w:val="auto"/>
          <w:sz w:val="32"/>
        </w:rPr>
        <w:t>1、</w:t>
      </w:r>
      <w:bookmarkEnd w:id="18"/>
      <w:r>
        <w:rPr>
          <w:rFonts w:hint="eastAsia" w:eastAsia="仿宋"/>
          <w:b w:val="0"/>
          <w:color w:val="auto"/>
          <w:sz w:val="32"/>
        </w:rPr>
        <w:t>项目支出</w:t>
      </w:r>
      <w:bookmarkEnd w:id="19"/>
    </w:p>
    <w:p>
      <w:pPr>
        <w:spacing w:line="560" w:lineRule="exact"/>
        <w:ind w:firstLine="560"/>
        <w:rPr>
          <w:rFonts w:hint="eastAsia" w:ascii="仿宋_GB2312" w:hAnsi="宋体" w:eastAsia="仿宋" w:cs="仿宋_GB2312"/>
          <w:sz w:val="32"/>
          <w:szCs w:val="28"/>
          <w:lang w:bidi="ar"/>
        </w:rPr>
      </w:pPr>
      <w:r>
        <w:rPr>
          <w:rFonts w:ascii="仿宋_GB2312" w:hAnsi="宋体" w:eastAsia="仿宋" w:cs="仿宋_GB2312"/>
          <w:sz w:val="32"/>
          <w:szCs w:val="28"/>
          <w:lang w:bidi="ar"/>
        </w:rPr>
        <w:t>通过数据采集、归纳、</w:t>
      </w:r>
      <w:r>
        <w:rPr>
          <w:rFonts w:hint="eastAsia" w:ascii="仿宋_GB2312" w:hAnsi="宋体" w:eastAsia="仿宋" w:cs="仿宋_GB2312"/>
          <w:sz w:val="32"/>
          <w:szCs w:val="28"/>
          <w:lang w:bidi="ar"/>
        </w:rPr>
        <w:t>分析、问卷调查等方法对本项目绩效进行客观评价，</w:t>
      </w:r>
      <w:bookmarkStart w:id="20" w:name="_Hlk57726350"/>
      <w:r>
        <w:rPr>
          <w:rFonts w:hint="eastAsia" w:ascii="仿宋_GB2312" w:hAnsi="宋体" w:eastAsia="仿宋" w:cs="仿宋_GB2312"/>
          <w:sz w:val="32"/>
          <w:szCs w:val="28"/>
          <w:lang w:bidi="ar"/>
        </w:rPr>
        <w:t>最终评分为</w:t>
      </w:r>
      <w:r>
        <w:rPr>
          <w:rFonts w:ascii="仿宋_GB2312" w:hAnsi="宋体" w:eastAsia="仿宋" w:cs="仿宋_GB2312"/>
          <w:sz w:val="32"/>
          <w:szCs w:val="28"/>
          <w:lang w:bidi="ar"/>
        </w:rPr>
        <w:t>78.50</w:t>
      </w:r>
      <w:r>
        <w:rPr>
          <w:rFonts w:hint="eastAsia" w:ascii="仿宋_GB2312" w:hAnsi="宋体" w:eastAsia="仿宋" w:cs="仿宋_GB2312"/>
          <w:sz w:val="32"/>
          <w:szCs w:val="28"/>
          <w:lang w:bidi="ar"/>
        </w:rPr>
        <w:t>。其中，项目决策类指标权重20分，实得</w:t>
      </w:r>
      <w:r>
        <w:rPr>
          <w:rFonts w:ascii="仿宋_GB2312" w:hAnsi="宋体" w:eastAsia="仿宋" w:cs="仿宋_GB2312"/>
          <w:sz w:val="32"/>
          <w:szCs w:val="28"/>
          <w:lang w:bidi="ar"/>
        </w:rPr>
        <w:t>13.72</w:t>
      </w:r>
      <w:r>
        <w:rPr>
          <w:rFonts w:hint="eastAsia" w:ascii="仿宋_GB2312" w:hAnsi="宋体" w:eastAsia="仿宋" w:cs="仿宋_GB2312"/>
          <w:sz w:val="32"/>
          <w:szCs w:val="28"/>
          <w:lang w:bidi="ar"/>
        </w:rPr>
        <w:t>分，得分率为</w:t>
      </w:r>
      <w:r>
        <w:rPr>
          <w:rFonts w:ascii="仿宋_GB2312" w:hAnsi="宋体" w:eastAsia="仿宋" w:cs="仿宋_GB2312"/>
          <w:sz w:val="32"/>
          <w:szCs w:val="28"/>
          <w:lang w:bidi="ar"/>
        </w:rPr>
        <w:t>68.60</w:t>
      </w:r>
      <w:r>
        <w:rPr>
          <w:rFonts w:hint="eastAsia" w:ascii="仿宋_GB2312" w:hAnsi="宋体" w:eastAsia="仿宋" w:cs="仿宋_GB2312"/>
          <w:sz w:val="32"/>
          <w:szCs w:val="28"/>
          <w:lang w:bidi="ar"/>
        </w:rPr>
        <w:t>%；项目管理类指标权重10分，实得</w:t>
      </w:r>
      <w:r>
        <w:rPr>
          <w:rFonts w:ascii="仿宋_GB2312" w:hAnsi="宋体" w:eastAsia="仿宋" w:cs="仿宋_GB2312"/>
          <w:sz w:val="32"/>
          <w:szCs w:val="28"/>
          <w:lang w:bidi="ar"/>
        </w:rPr>
        <w:t>7.30</w:t>
      </w:r>
      <w:r>
        <w:rPr>
          <w:rFonts w:hint="eastAsia" w:ascii="仿宋_GB2312" w:hAnsi="宋体" w:eastAsia="仿宋" w:cs="仿宋_GB2312"/>
          <w:sz w:val="32"/>
          <w:szCs w:val="28"/>
          <w:lang w:bidi="ar"/>
        </w:rPr>
        <w:t>分，得分率为</w:t>
      </w:r>
      <w:r>
        <w:rPr>
          <w:rFonts w:ascii="仿宋_GB2312" w:hAnsi="宋体" w:eastAsia="仿宋" w:cs="仿宋_GB2312"/>
          <w:sz w:val="32"/>
          <w:szCs w:val="28"/>
          <w:lang w:bidi="ar"/>
        </w:rPr>
        <w:t>73.00</w:t>
      </w:r>
      <w:r>
        <w:rPr>
          <w:rFonts w:hint="eastAsia" w:ascii="仿宋_GB2312" w:hAnsi="宋体" w:eastAsia="仿宋" w:cs="仿宋_GB2312"/>
          <w:sz w:val="32"/>
          <w:szCs w:val="28"/>
          <w:lang w:bidi="ar"/>
        </w:rPr>
        <w:t>%；项目绩效类指标权重70分，实得</w:t>
      </w:r>
      <w:r>
        <w:rPr>
          <w:rFonts w:ascii="仿宋_GB2312" w:hAnsi="宋体" w:eastAsia="仿宋" w:cs="仿宋_GB2312"/>
          <w:sz w:val="32"/>
          <w:szCs w:val="28"/>
          <w:lang w:bidi="ar"/>
        </w:rPr>
        <w:t>57.48</w:t>
      </w:r>
      <w:r>
        <w:rPr>
          <w:rFonts w:hint="eastAsia" w:ascii="仿宋_GB2312" w:hAnsi="宋体" w:eastAsia="仿宋" w:cs="仿宋_GB2312"/>
          <w:sz w:val="32"/>
          <w:szCs w:val="28"/>
          <w:lang w:bidi="ar"/>
        </w:rPr>
        <w:t>分，得分率为</w:t>
      </w:r>
      <w:r>
        <w:rPr>
          <w:rFonts w:ascii="仿宋_GB2312" w:hAnsi="宋体" w:eastAsia="仿宋" w:cs="仿宋_GB2312"/>
          <w:sz w:val="32"/>
          <w:szCs w:val="28"/>
          <w:lang w:bidi="ar"/>
        </w:rPr>
        <w:t>82.11</w:t>
      </w:r>
      <w:r>
        <w:rPr>
          <w:rFonts w:hint="eastAsia" w:ascii="仿宋_GB2312" w:hAnsi="宋体" w:eastAsia="仿宋" w:cs="仿宋_GB2312"/>
          <w:sz w:val="32"/>
          <w:szCs w:val="28"/>
          <w:lang w:bidi="ar"/>
        </w:rPr>
        <w:t>%。</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具体得分情况如下：</w:t>
      </w:r>
    </w:p>
    <w:p>
      <w:pPr>
        <w:spacing w:line="560" w:lineRule="exact"/>
        <w:jc w:val="center"/>
        <w:rPr>
          <w:rFonts w:ascii="仿宋_GB2312" w:hAnsi="宋体" w:eastAsia="仿宋" w:cs="仿宋_GB2312"/>
          <w:bCs/>
          <w:sz w:val="32"/>
          <w:lang w:bidi="ar"/>
        </w:rPr>
      </w:pPr>
      <w:r>
        <w:rPr>
          <w:rFonts w:hint="eastAsia" w:ascii="仿宋_GB2312" w:hAnsi="宋体" w:eastAsia="仿宋" w:cs="仿宋_GB2312"/>
          <w:bCs/>
          <w:sz w:val="32"/>
          <w:lang w:bidi="ar"/>
        </w:rPr>
        <w:t>表3 项目支出评分结果汇总表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144"/>
        <w:gridCol w:w="2144"/>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D7D7D7"/>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指标</w:t>
            </w:r>
          </w:p>
        </w:tc>
        <w:tc>
          <w:tcPr>
            <w:tcW w:w="1191" w:type="pct"/>
            <w:shd w:val="clear" w:color="auto" w:fill="D7D7D7"/>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权重</w:t>
            </w:r>
          </w:p>
        </w:tc>
        <w:tc>
          <w:tcPr>
            <w:tcW w:w="1191" w:type="pct"/>
            <w:shd w:val="clear" w:color="auto" w:fill="D7D7D7"/>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得分</w:t>
            </w:r>
          </w:p>
        </w:tc>
        <w:tc>
          <w:tcPr>
            <w:tcW w:w="1191" w:type="pct"/>
            <w:shd w:val="clear" w:color="auto" w:fill="D7D7D7"/>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项目决策</w:t>
            </w:r>
          </w:p>
        </w:tc>
        <w:tc>
          <w:tcPr>
            <w:tcW w:w="1191"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20.00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13.72</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68.60%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项目管理</w:t>
            </w:r>
          </w:p>
        </w:tc>
        <w:tc>
          <w:tcPr>
            <w:tcW w:w="1191"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10.00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7.3</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项目效果</w:t>
            </w:r>
          </w:p>
        </w:tc>
        <w:tc>
          <w:tcPr>
            <w:tcW w:w="1191"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70.00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57.48</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合计</w:t>
            </w:r>
          </w:p>
        </w:tc>
        <w:tc>
          <w:tcPr>
            <w:tcW w:w="1191" w:type="pct"/>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100.00</w:t>
            </w:r>
          </w:p>
        </w:tc>
        <w:tc>
          <w:tcPr>
            <w:tcW w:w="1191" w:type="pct"/>
            <w:shd w:val="clear" w:color="auto" w:fill="BEBEBE"/>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78.50</w:t>
            </w:r>
          </w:p>
        </w:tc>
        <w:tc>
          <w:tcPr>
            <w:tcW w:w="1191" w:type="pct"/>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78.50%</w:t>
            </w:r>
          </w:p>
        </w:tc>
      </w:tr>
      <w:bookmarkEnd w:id="20"/>
    </w:tbl>
    <w:p>
      <w:pPr>
        <w:spacing w:line="560" w:lineRule="exact"/>
        <w:ind w:firstLine="643"/>
        <w:rPr>
          <w:rFonts w:hint="eastAsia" w:eastAsia="仿宋"/>
          <w:bCs/>
          <w:sz w:val="32"/>
        </w:rPr>
      </w:pPr>
    </w:p>
    <w:p>
      <w:pPr>
        <w:pStyle w:val="40"/>
        <w:spacing w:before="156" w:after="156" w:line="560" w:lineRule="exact"/>
        <w:ind w:firstLine="640"/>
        <w:rPr>
          <w:rFonts w:hint="eastAsia" w:eastAsia="仿宋"/>
          <w:b w:val="0"/>
          <w:color w:val="auto"/>
          <w:sz w:val="32"/>
        </w:rPr>
      </w:pPr>
      <w:bookmarkStart w:id="21" w:name="_Toc32380"/>
      <w:r>
        <w:rPr>
          <w:rFonts w:hint="eastAsia" w:eastAsia="仿宋"/>
          <w:b w:val="0"/>
          <w:color w:val="auto"/>
          <w:sz w:val="32"/>
        </w:rPr>
        <w:t>2、部门整体支出</w:t>
      </w:r>
      <w:bookmarkEnd w:id="21"/>
    </w:p>
    <w:p>
      <w:pPr>
        <w:spacing w:line="560" w:lineRule="exact"/>
        <w:ind w:firstLine="560"/>
        <w:rPr>
          <w:rFonts w:ascii="仿宋_GB2312" w:hAnsi="宋体" w:eastAsia="仿宋"/>
          <w:sz w:val="32"/>
          <w:szCs w:val="28"/>
        </w:rPr>
      </w:pPr>
      <w:r>
        <w:rPr>
          <w:rFonts w:hint="eastAsia" w:ascii="仿宋_GB2312" w:hAnsi="宋体" w:eastAsia="仿宋"/>
          <w:sz w:val="32"/>
          <w:szCs w:val="28"/>
        </w:rPr>
        <w:t>通过数据采集、归纳、分析等方法对本项目绩效进行客观评价，最终评分为80.37分。其中，预算编制类指标权重10分，实得8.35分，得分率为83.45%；预算执行类指标权重20分，实得16.40分，得分率为82.00%；综合管理类指标权重40分，实得30.98分，得分率为77.44%；整体效益类指标权重30分，实得24.67分，得分率为82.23%。</w:t>
      </w:r>
    </w:p>
    <w:p>
      <w:pPr>
        <w:spacing w:line="560" w:lineRule="exact"/>
        <w:ind w:firstLine="560"/>
        <w:rPr>
          <w:rFonts w:hint="eastAsia" w:ascii="仿宋_GB2312" w:hAnsi="宋体" w:eastAsia="仿宋" w:cs="仿宋_GB2312"/>
          <w:bCs/>
          <w:sz w:val="32"/>
          <w:lang w:bidi="ar"/>
        </w:rPr>
      </w:pPr>
      <w:r>
        <w:rPr>
          <w:rFonts w:hint="eastAsia" w:ascii="仿宋_GB2312" w:hAnsi="宋体" w:eastAsia="仿宋" w:cs="仿宋_GB2312"/>
          <w:sz w:val="32"/>
          <w:szCs w:val="28"/>
          <w:lang w:bidi="ar"/>
        </w:rPr>
        <w:t>具体得分情况如下：</w:t>
      </w:r>
    </w:p>
    <w:p>
      <w:pPr>
        <w:spacing w:line="560" w:lineRule="exact"/>
        <w:jc w:val="center"/>
        <w:rPr>
          <w:rFonts w:ascii="仿宋_GB2312" w:hAnsi="宋体" w:eastAsia="仿宋" w:cs="仿宋_GB2312"/>
          <w:bCs/>
          <w:sz w:val="32"/>
          <w:lang w:bidi="ar"/>
        </w:rPr>
      </w:pPr>
      <w:r>
        <w:rPr>
          <w:rFonts w:hint="eastAsia" w:ascii="仿宋_GB2312" w:hAnsi="宋体" w:eastAsia="仿宋" w:cs="仿宋_GB2312"/>
          <w:bCs/>
          <w:sz w:val="32"/>
          <w:lang w:bidi="ar"/>
        </w:rPr>
        <w:t>部门整体支出评分结果汇总表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144"/>
        <w:gridCol w:w="2144"/>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D7D7D7"/>
            <w:vAlign w:val="center"/>
          </w:tcPr>
          <w:p>
            <w:pPr>
              <w:spacing w:line="560" w:lineRule="exact"/>
              <w:ind w:firstLine="422"/>
              <w:jc w:val="center"/>
              <w:rPr>
                <w:rFonts w:ascii="仿宋_GB2312" w:hAnsi="宋体" w:eastAsia="仿宋"/>
                <w:bCs/>
                <w:sz w:val="32"/>
              </w:rPr>
            </w:pPr>
            <w:r>
              <w:rPr>
                <w:rFonts w:ascii="仿宋_GB2312" w:hAnsi="宋体" w:eastAsia="仿宋"/>
                <w:bCs/>
                <w:sz w:val="32"/>
              </w:rPr>
              <w:t>指标</w:t>
            </w:r>
          </w:p>
        </w:tc>
        <w:tc>
          <w:tcPr>
            <w:tcW w:w="1191" w:type="pct"/>
            <w:shd w:val="clear" w:color="auto" w:fill="D7D7D7"/>
            <w:vAlign w:val="center"/>
          </w:tcPr>
          <w:p>
            <w:pPr>
              <w:spacing w:line="560" w:lineRule="exact"/>
              <w:jc w:val="center"/>
              <w:rPr>
                <w:rFonts w:ascii="仿宋_GB2312" w:hAnsi="宋体" w:eastAsia="仿宋"/>
                <w:bCs/>
                <w:sz w:val="32"/>
              </w:rPr>
            </w:pPr>
            <w:r>
              <w:rPr>
                <w:rFonts w:ascii="仿宋_GB2312" w:hAnsi="宋体" w:eastAsia="仿宋"/>
                <w:bCs/>
                <w:sz w:val="32"/>
              </w:rPr>
              <w:t>权重</w:t>
            </w:r>
          </w:p>
        </w:tc>
        <w:tc>
          <w:tcPr>
            <w:tcW w:w="1191" w:type="pct"/>
            <w:shd w:val="clear" w:color="auto" w:fill="D7D7D7"/>
            <w:vAlign w:val="center"/>
          </w:tcPr>
          <w:p>
            <w:pPr>
              <w:spacing w:line="560" w:lineRule="exact"/>
              <w:jc w:val="center"/>
              <w:rPr>
                <w:rFonts w:ascii="仿宋_GB2312" w:hAnsi="宋体" w:eastAsia="仿宋"/>
                <w:bCs/>
                <w:sz w:val="32"/>
              </w:rPr>
            </w:pPr>
            <w:r>
              <w:rPr>
                <w:rFonts w:ascii="仿宋_GB2312" w:hAnsi="宋体" w:eastAsia="仿宋"/>
                <w:bCs/>
                <w:sz w:val="32"/>
              </w:rPr>
              <w:t>得分</w:t>
            </w:r>
          </w:p>
        </w:tc>
        <w:tc>
          <w:tcPr>
            <w:tcW w:w="1191" w:type="pct"/>
            <w:shd w:val="clear" w:color="auto" w:fill="D7D7D7"/>
            <w:vAlign w:val="center"/>
          </w:tcPr>
          <w:p>
            <w:pPr>
              <w:spacing w:line="560" w:lineRule="exact"/>
              <w:jc w:val="center"/>
              <w:rPr>
                <w:rFonts w:ascii="仿宋_GB2312" w:hAnsi="宋体" w:eastAsia="仿宋"/>
                <w:bCs/>
                <w:sz w:val="32"/>
              </w:rPr>
            </w:pPr>
            <w:r>
              <w:rPr>
                <w:rFonts w:ascii="仿宋_GB2312" w:hAnsi="宋体" w:eastAsia="仿宋"/>
                <w:bCs/>
                <w:sz w:val="32"/>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tcPr>
          <w:p>
            <w:pPr>
              <w:spacing w:line="560" w:lineRule="exact"/>
              <w:jc w:val="center"/>
              <w:rPr>
                <w:rFonts w:ascii="仿宋_GB2312" w:hAnsi="宋体" w:eastAsia="仿宋"/>
                <w:sz w:val="32"/>
              </w:rPr>
            </w:pPr>
            <w:r>
              <w:rPr>
                <w:rFonts w:ascii="仿宋_GB2312" w:hAnsi="宋体" w:eastAsia="仿宋"/>
                <w:sz w:val="32"/>
              </w:rPr>
              <w:t>预算编制</w:t>
            </w:r>
          </w:p>
        </w:tc>
        <w:tc>
          <w:tcPr>
            <w:tcW w:w="1191" w:type="pct"/>
            <w:shd w:val="clear" w:color="auto" w:fill="auto"/>
            <w:vAlign w:val="center"/>
          </w:tcPr>
          <w:p>
            <w:pPr>
              <w:spacing w:line="560" w:lineRule="exact"/>
              <w:ind w:firstLine="420"/>
              <w:jc w:val="center"/>
              <w:rPr>
                <w:rFonts w:ascii="仿宋_GB2312" w:hAnsi="宋体" w:eastAsia="仿宋"/>
                <w:sz w:val="32"/>
              </w:rPr>
            </w:pPr>
            <w:r>
              <w:rPr>
                <w:rFonts w:ascii="仿宋_GB2312" w:hAnsi="宋体" w:eastAsia="仿宋"/>
                <w:sz w:val="32"/>
              </w:rPr>
              <w:t>10.00</w:t>
            </w:r>
          </w:p>
        </w:tc>
        <w:tc>
          <w:tcPr>
            <w:tcW w:w="1191" w:type="pct"/>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8.35</w:t>
            </w:r>
          </w:p>
        </w:tc>
        <w:tc>
          <w:tcPr>
            <w:tcW w:w="1191" w:type="pct"/>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83.45%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tcPr>
          <w:p>
            <w:pPr>
              <w:spacing w:line="560" w:lineRule="exact"/>
              <w:jc w:val="center"/>
              <w:rPr>
                <w:rFonts w:ascii="仿宋_GB2312" w:hAnsi="宋体" w:eastAsia="仿宋"/>
                <w:sz w:val="32"/>
              </w:rPr>
            </w:pPr>
            <w:r>
              <w:rPr>
                <w:rFonts w:ascii="仿宋_GB2312" w:hAnsi="宋体" w:eastAsia="仿宋"/>
                <w:sz w:val="32"/>
              </w:rPr>
              <w:t>预算执行</w:t>
            </w:r>
          </w:p>
        </w:tc>
        <w:tc>
          <w:tcPr>
            <w:tcW w:w="1191" w:type="pct"/>
            <w:shd w:val="clear" w:color="auto" w:fill="auto"/>
            <w:vAlign w:val="center"/>
          </w:tcPr>
          <w:p>
            <w:pPr>
              <w:spacing w:line="560" w:lineRule="exact"/>
              <w:ind w:firstLine="420"/>
              <w:jc w:val="center"/>
              <w:rPr>
                <w:rFonts w:ascii="仿宋_GB2312" w:hAnsi="宋体" w:eastAsia="仿宋"/>
                <w:sz w:val="32"/>
              </w:rPr>
            </w:pPr>
            <w:r>
              <w:rPr>
                <w:rFonts w:ascii="仿宋_GB2312" w:hAnsi="宋体" w:eastAsia="仿宋"/>
                <w:sz w:val="32"/>
              </w:rPr>
              <w:t>20.00</w:t>
            </w:r>
          </w:p>
        </w:tc>
        <w:tc>
          <w:tcPr>
            <w:tcW w:w="1191" w:type="pct"/>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16.40</w:t>
            </w:r>
          </w:p>
        </w:tc>
        <w:tc>
          <w:tcPr>
            <w:tcW w:w="1191" w:type="pct"/>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tcPr>
          <w:p>
            <w:pPr>
              <w:spacing w:line="560" w:lineRule="exact"/>
              <w:jc w:val="center"/>
              <w:rPr>
                <w:rFonts w:ascii="仿宋_GB2312" w:hAnsi="宋体" w:eastAsia="仿宋"/>
                <w:sz w:val="32"/>
              </w:rPr>
            </w:pPr>
            <w:r>
              <w:rPr>
                <w:rFonts w:ascii="仿宋_GB2312" w:hAnsi="宋体" w:eastAsia="仿宋"/>
                <w:sz w:val="32"/>
              </w:rPr>
              <w:t>综合管理</w:t>
            </w:r>
          </w:p>
        </w:tc>
        <w:tc>
          <w:tcPr>
            <w:tcW w:w="1191" w:type="pct"/>
            <w:shd w:val="clear" w:color="auto" w:fill="auto"/>
            <w:vAlign w:val="center"/>
          </w:tcPr>
          <w:p>
            <w:pPr>
              <w:spacing w:line="560" w:lineRule="exact"/>
              <w:ind w:firstLine="420"/>
              <w:jc w:val="center"/>
              <w:rPr>
                <w:rFonts w:ascii="仿宋_GB2312" w:hAnsi="宋体" w:eastAsia="仿宋"/>
                <w:sz w:val="32"/>
              </w:rPr>
            </w:pPr>
            <w:r>
              <w:rPr>
                <w:rFonts w:ascii="仿宋_GB2312" w:hAnsi="宋体" w:eastAsia="仿宋"/>
                <w:sz w:val="32"/>
              </w:rPr>
              <w:t>40.00</w:t>
            </w:r>
          </w:p>
        </w:tc>
        <w:tc>
          <w:tcPr>
            <w:tcW w:w="1191" w:type="pct"/>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30.98</w:t>
            </w:r>
          </w:p>
        </w:tc>
        <w:tc>
          <w:tcPr>
            <w:tcW w:w="1191" w:type="pct"/>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77.44%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tcPr>
          <w:p>
            <w:pPr>
              <w:spacing w:line="560" w:lineRule="exact"/>
              <w:jc w:val="center"/>
              <w:rPr>
                <w:rFonts w:ascii="仿宋_GB2312" w:hAnsi="宋体" w:eastAsia="仿宋"/>
                <w:sz w:val="32"/>
              </w:rPr>
            </w:pPr>
            <w:r>
              <w:rPr>
                <w:rFonts w:ascii="仿宋_GB2312" w:hAnsi="宋体" w:eastAsia="仿宋"/>
                <w:sz w:val="32"/>
              </w:rPr>
              <w:t>整体效益</w:t>
            </w:r>
          </w:p>
        </w:tc>
        <w:tc>
          <w:tcPr>
            <w:tcW w:w="1191" w:type="pct"/>
            <w:shd w:val="clear" w:color="auto" w:fill="auto"/>
            <w:vAlign w:val="center"/>
          </w:tcPr>
          <w:p>
            <w:pPr>
              <w:spacing w:line="560" w:lineRule="exact"/>
              <w:ind w:firstLine="420"/>
              <w:jc w:val="center"/>
              <w:rPr>
                <w:rFonts w:ascii="仿宋_GB2312" w:hAnsi="宋体" w:eastAsia="仿宋"/>
                <w:sz w:val="32"/>
              </w:rPr>
            </w:pPr>
            <w:r>
              <w:rPr>
                <w:rFonts w:ascii="仿宋_GB2312" w:hAnsi="宋体" w:eastAsia="仿宋"/>
                <w:sz w:val="32"/>
              </w:rPr>
              <w:t>30.00</w:t>
            </w:r>
          </w:p>
        </w:tc>
        <w:tc>
          <w:tcPr>
            <w:tcW w:w="1191" w:type="pct"/>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24.67</w:t>
            </w:r>
          </w:p>
        </w:tc>
        <w:tc>
          <w:tcPr>
            <w:tcW w:w="1191" w:type="pct"/>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BEBEBE"/>
            <w:vAlign w:val="center"/>
          </w:tcPr>
          <w:p>
            <w:pPr>
              <w:spacing w:line="560" w:lineRule="exact"/>
              <w:ind w:firstLine="422"/>
              <w:jc w:val="center"/>
              <w:rPr>
                <w:rFonts w:ascii="仿宋_GB2312" w:hAnsi="宋体" w:eastAsia="仿宋"/>
                <w:bCs/>
                <w:sz w:val="32"/>
              </w:rPr>
            </w:pPr>
            <w:r>
              <w:rPr>
                <w:rFonts w:ascii="仿宋_GB2312" w:hAnsi="宋体" w:eastAsia="仿宋"/>
                <w:bCs/>
                <w:sz w:val="32"/>
              </w:rPr>
              <w:t>合计</w:t>
            </w:r>
          </w:p>
        </w:tc>
        <w:tc>
          <w:tcPr>
            <w:tcW w:w="1191" w:type="pct"/>
            <w:shd w:val="clear" w:color="auto" w:fill="BEBEBE"/>
            <w:vAlign w:val="center"/>
          </w:tcPr>
          <w:p>
            <w:pPr>
              <w:spacing w:line="560" w:lineRule="exact"/>
              <w:ind w:firstLine="422"/>
              <w:jc w:val="center"/>
              <w:rPr>
                <w:rFonts w:ascii="仿宋_GB2312" w:hAnsi="宋体" w:eastAsia="仿宋"/>
                <w:bCs/>
                <w:sz w:val="32"/>
              </w:rPr>
            </w:pPr>
            <w:r>
              <w:rPr>
                <w:rFonts w:ascii="仿宋_GB2312" w:hAnsi="宋体" w:eastAsia="仿宋"/>
                <w:bCs/>
                <w:sz w:val="32"/>
              </w:rPr>
              <w:t>100.00</w:t>
            </w:r>
          </w:p>
        </w:tc>
        <w:tc>
          <w:tcPr>
            <w:tcW w:w="1191" w:type="pct"/>
            <w:shd w:val="clear" w:color="auto" w:fill="BEBEBE"/>
            <w:vAlign w:val="center"/>
          </w:tcPr>
          <w:p>
            <w:pPr>
              <w:spacing w:line="560" w:lineRule="exact"/>
              <w:jc w:val="center"/>
              <w:rPr>
                <w:rFonts w:ascii="仿宋_GB2312" w:hAnsi="宋体" w:eastAsia="仿宋"/>
                <w:bCs/>
                <w:sz w:val="32"/>
              </w:rPr>
            </w:pPr>
            <w:r>
              <w:rPr>
                <w:rFonts w:ascii="仿宋_GB2312" w:hAnsi="宋体" w:eastAsia="仿宋"/>
                <w:bCs/>
                <w:sz w:val="32"/>
              </w:rPr>
              <w:t>80.37</w:t>
            </w:r>
          </w:p>
        </w:tc>
        <w:tc>
          <w:tcPr>
            <w:tcW w:w="1191" w:type="pct"/>
            <w:shd w:val="clear" w:color="auto" w:fill="BEBEBE"/>
            <w:vAlign w:val="center"/>
          </w:tcPr>
          <w:p>
            <w:pPr>
              <w:spacing w:line="560" w:lineRule="exact"/>
              <w:jc w:val="center"/>
              <w:rPr>
                <w:rFonts w:ascii="仿宋_GB2312" w:hAnsi="宋体" w:eastAsia="仿宋"/>
                <w:bCs/>
                <w:sz w:val="32"/>
              </w:rPr>
            </w:pPr>
            <w:r>
              <w:rPr>
                <w:rFonts w:ascii="仿宋_GB2312" w:hAnsi="宋体" w:eastAsia="仿宋"/>
                <w:bCs/>
                <w:sz w:val="32"/>
              </w:rPr>
              <w:t>80.37%</w:t>
            </w:r>
          </w:p>
        </w:tc>
      </w:tr>
    </w:tbl>
    <w:p>
      <w:pPr>
        <w:spacing w:line="560" w:lineRule="exact"/>
        <w:ind w:firstLine="643"/>
        <w:rPr>
          <w:rFonts w:hint="eastAsia" w:ascii="楷体_GB2312" w:hAnsi="楷体_GB2312" w:eastAsia="仿宋" w:cs="楷体_GB2312"/>
          <w:bCs/>
          <w:sz w:val="32"/>
          <w:szCs w:val="32"/>
          <w:lang w:bidi="ar"/>
        </w:rPr>
      </w:pPr>
      <w:r>
        <w:rPr>
          <w:rFonts w:ascii="楷体_GB2312" w:hAnsi="楷体_GB2312" w:eastAsia="仿宋" w:cs="楷体_GB2312"/>
          <w:bCs/>
          <w:sz w:val="32"/>
          <w:szCs w:val="32"/>
          <w:lang w:bidi="ar"/>
        </w:rPr>
        <w:t>3</w:t>
      </w:r>
      <w:r>
        <w:rPr>
          <w:rFonts w:hint="eastAsia" w:ascii="楷体_GB2312" w:hAnsi="楷体_GB2312" w:eastAsia="仿宋" w:cs="楷体_GB2312"/>
          <w:bCs/>
          <w:sz w:val="32"/>
          <w:szCs w:val="32"/>
          <w:lang w:bidi="ar"/>
        </w:rPr>
        <w:t>、财政政策</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通过数据采集、归纳、分析、问卷调查等方法对本项目绩效进行客观评价，最终评分为8</w:t>
      </w:r>
      <w:r>
        <w:rPr>
          <w:rFonts w:ascii="仿宋_GB2312" w:hAnsi="宋体" w:eastAsia="仿宋" w:cs="仿宋_GB2312"/>
          <w:sz w:val="32"/>
          <w:szCs w:val="28"/>
          <w:lang w:bidi="ar"/>
        </w:rPr>
        <w:t>8.23</w:t>
      </w:r>
      <w:r>
        <w:rPr>
          <w:rFonts w:hint="eastAsia" w:ascii="仿宋_GB2312" w:hAnsi="宋体" w:eastAsia="仿宋" w:cs="仿宋_GB2312"/>
          <w:sz w:val="32"/>
          <w:szCs w:val="28"/>
          <w:lang w:bidi="ar"/>
        </w:rPr>
        <w:t>。其中，经济性指标权重20分，实得2</w:t>
      </w:r>
      <w:r>
        <w:rPr>
          <w:rFonts w:ascii="仿宋_GB2312" w:hAnsi="宋体" w:eastAsia="仿宋" w:cs="仿宋_GB2312"/>
          <w:sz w:val="32"/>
          <w:szCs w:val="28"/>
          <w:lang w:bidi="ar"/>
        </w:rPr>
        <w:t>0</w:t>
      </w:r>
      <w:r>
        <w:rPr>
          <w:rFonts w:hint="eastAsia" w:ascii="仿宋_GB2312" w:hAnsi="宋体" w:eastAsia="仿宋" w:cs="仿宋_GB2312"/>
          <w:sz w:val="32"/>
          <w:szCs w:val="28"/>
          <w:lang w:bidi="ar"/>
        </w:rPr>
        <w:t>分，得分率为</w:t>
      </w:r>
      <w:r>
        <w:rPr>
          <w:rFonts w:ascii="仿宋_GB2312" w:hAnsi="宋体" w:eastAsia="仿宋" w:cs="仿宋_GB2312"/>
          <w:sz w:val="32"/>
          <w:szCs w:val="28"/>
          <w:lang w:bidi="ar"/>
        </w:rPr>
        <w:t>100.00</w:t>
      </w:r>
      <w:r>
        <w:rPr>
          <w:rFonts w:hint="eastAsia" w:ascii="仿宋_GB2312" w:hAnsi="宋体" w:eastAsia="仿宋" w:cs="仿宋_GB2312"/>
          <w:sz w:val="32"/>
          <w:szCs w:val="28"/>
          <w:lang w:bidi="ar"/>
        </w:rPr>
        <w:t>%；效率性指标权重</w:t>
      </w:r>
      <w:r>
        <w:rPr>
          <w:rFonts w:ascii="仿宋_GB2312" w:hAnsi="宋体" w:eastAsia="仿宋" w:cs="仿宋_GB2312"/>
          <w:sz w:val="32"/>
          <w:szCs w:val="28"/>
          <w:lang w:bidi="ar"/>
        </w:rPr>
        <w:t>30</w:t>
      </w:r>
      <w:r>
        <w:rPr>
          <w:rFonts w:hint="eastAsia" w:ascii="仿宋_GB2312" w:hAnsi="宋体" w:eastAsia="仿宋" w:cs="仿宋_GB2312"/>
          <w:sz w:val="32"/>
          <w:szCs w:val="28"/>
          <w:lang w:bidi="ar"/>
        </w:rPr>
        <w:t>分，实得</w:t>
      </w:r>
      <w:r>
        <w:rPr>
          <w:rFonts w:ascii="仿宋_GB2312" w:hAnsi="宋体" w:eastAsia="仿宋" w:cs="仿宋_GB2312"/>
          <w:sz w:val="32"/>
          <w:szCs w:val="28"/>
          <w:lang w:bidi="ar"/>
        </w:rPr>
        <w:t>22.16</w:t>
      </w:r>
      <w:r>
        <w:rPr>
          <w:rFonts w:hint="eastAsia" w:ascii="仿宋_GB2312" w:hAnsi="宋体" w:eastAsia="仿宋" w:cs="仿宋_GB2312"/>
          <w:sz w:val="32"/>
          <w:szCs w:val="28"/>
          <w:lang w:bidi="ar"/>
        </w:rPr>
        <w:t>分，得分率为</w:t>
      </w:r>
      <w:r>
        <w:rPr>
          <w:rFonts w:ascii="仿宋_GB2312" w:hAnsi="宋体" w:eastAsia="仿宋" w:cs="仿宋_GB2312"/>
          <w:sz w:val="32"/>
          <w:szCs w:val="28"/>
          <w:lang w:bidi="ar"/>
        </w:rPr>
        <w:t>73.87</w:t>
      </w:r>
      <w:r>
        <w:rPr>
          <w:rFonts w:hint="eastAsia" w:ascii="仿宋_GB2312" w:hAnsi="宋体" w:eastAsia="仿宋" w:cs="仿宋_GB2312"/>
          <w:sz w:val="32"/>
          <w:szCs w:val="28"/>
          <w:lang w:bidi="ar"/>
        </w:rPr>
        <w:t>%；效益性指标权重</w:t>
      </w:r>
      <w:r>
        <w:rPr>
          <w:rFonts w:ascii="仿宋_GB2312" w:hAnsi="宋体" w:eastAsia="仿宋" w:cs="仿宋_GB2312"/>
          <w:sz w:val="32"/>
          <w:szCs w:val="28"/>
          <w:lang w:bidi="ar"/>
        </w:rPr>
        <w:t>25</w:t>
      </w:r>
      <w:r>
        <w:rPr>
          <w:rFonts w:hint="eastAsia" w:ascii="仿宋_GB2312" w:hAnsi="宋体" w:eastAsia="仿宋" w:cs="仿宋_GB2312"/>
          <w:sz w:val="32"/>
          <w:szCs w:val="28"/>
          <w:lang w:bidi="ar"/>
        </w:rPr>
        <w:t>分，实得2</w:t>
      </w:r>
      <w:r>
        <w:rPr>
          <w:rFonts w:ascii="仿宋_GB2312" w:hAnsi="宋体" w:eastAsia="仿宋" w:cs="仿宋_GB2312"/>
          <w:sz w:val="32"/>
          <w:szCs w:val="28"/>
          <w:lang w:bidi="ar"/>
        </w:rPr>
        <w:t>1.67</w:t>
      </w:r>
      <w:r>
        <w:rPr>
          <w:rFonts w:hint="eastAsia" w:ascii="仿宋_GB2312" w:hAnsi="宋体" w:eastAsia="仿宋" w:cs="仿宋_GB2312"/>
          <w:sz w:val="32"/>
          <w:szCs w:val="28"/>
          <w:lang w:bidi="ar"/>
        </w:rPr>
        <w:t>分，得分率为</w:t>
      </w:r>
      <w:r>
        <w:rPr>
          <w:rFonts w:ascii="仿宋_GB2312" w:hAnsi="宋体" w:eastAsia="仿宋" w:cs="仿宋_GB2312"/>
          <w:sz w:val="32"/>
          <w:szCs w:val="28"/>
          <w:lang w:bidi="ar"/>
        </w:rPr>
        <w:t>86.68</w:t>
      </w:r>
      <w:r>
        <w:rPr>
          <w:rFonts w:hint="eastAsia" w:ascii="仿宋_GB2312" w:hAnsi="宋体" w:eastAsia="仿宋" w:cs="仿宋_GB2312"/>
          <w:sz w:val="32"/>
          <w:szCs w:val="28"/>
          <w:lang w:bidi="ar"/>
        </w:rPr>
        <w:t>%；公平性指标权重</w:t>
      </w:r>
      <w:r>
        <w:rPr>
          <w:rFonts w:ascii="仿宋_GB2312" w:hAnsi="宋体" w:eastAsia="仿宋" w:cs="仿宋_GB2312"/>
          <w:sz w:val="32"/>
          <w:szCs w:val="28"/>
          <w:lang w:bidi="ar"/>
        </w:rPr>
        <w:t>10</w:t>
      </w:r>
      <w:r>
        <w:rPr>
          <w:rFonts w:hint="eastAsia" w:ascii="仿宋_GB2312" w:hAnsi="宋体" w:eastAsia="仿宋" w:cs="仿宋_GB2312"/>
          <w:sz w:val="32"/>
          <w:szCs w:val="28"/>
          <w:lang w:bidi="ar"/>
        </w:rPr>
        <w:t>分，实得</w:t>
      </w:r>
      <w:r>
        <w:rPr>
          <w:rFonts w:ascii="仿宋_GB2312" w:hAnsi="宋体" w:eastAsia="仿宋" w:cs="仿宋_GB2312"/>
          <w:sz w:val="32"/>
          <w:szCs w:val="28"/>
          <w:lang w:bidi="ar"/>
        </w:rPr>
        <w:t>9.40</w:t>
      </w:r>
      <w:r>
        <w:rPr>
          <w:rFonts w:hint="eastAsia" w:ascii="仿宋_GB2312" w:hAnsi="宋体" w:eastAsia="仿宋" w:cs="仿宋_GB2312"/>
          <w:sz w:val="32"/>
          <w:szCs w:val="28"/>
          <w:lang w:bidi="ar"/>
        </w:rPr>
        <w:t>分，得分率为</w:t>
      </w:r>
      <w:r>
        <w:rPr>
          <w:rFonts w:ascii="仿宋_GB2312" w:hAnsi="宋体" w:eastAsia="仿宋" w:cs="仿宋_GB2312"/>
          <w:sz w:val="32"/>
          <w:szCs w:val="28"/>
          <w:lang w:bidi="ar"/>
        </w:rPr>
        <w:t>94.00</w:t>
      </w:r>
      <w:r>
        <w:rPr>
          <w:rFonts w:hint="eastAsia" w:ascii="仿宋_GB2312" w:hAnsi="宋体" w:eastAsia="仿宋" w:cs="仿宋_GB2312"/>
          <w:sz w:val="32"/>
          <w:szCs w:val="28"/>
          <w:lang w:bidi="ar"/>
        </w:rPr>
        <w:t>%；可持续性指标权重</w:t>
      </w:r>
      <w:r>
        <w:rPr>
          <w:rFonts w:ascii="仿宋_GB2312" w:hAnsi="宋体" w:eastAsia="仿宋" w:cs="仿宋_GB2312"/>
          <w:sz w:val="32"/>
          <w:szCs w:val="28"/>
          <w:lang w:bidi="ar"/>
        </w:rPr>
        <w:t>15.00</w:t>
      </w:r>
      <w:r>
        <w:rPr>
          <w:rFonts w:hint="eastAsia" w:ascii="仿宋_GB2312" w:hAnsi="宋体" w:eastAsia="仿宋" w:cs="仿宋_GB2312"/>
          <w:sz w:val="32"/>
          <w:szCs w:val="28"/>
          <w:lang w:bidi="ar"/>
        </w:rPr>
        <w:t>分，实得</w:t>
      </w:r>
      <w:r>
        <w:rPr>
          <w:rFonts w:ascii="仿宋_GB2312" w:hAnsi="宋体" w:eastAsia="仿宋" w:cs="仿宋_GB2312"/>
          <w:sz w:val="32"/>
          <w:szCs w:val="28"/>
          <w:lang w:bidi="ar"/>
        </w:rPr>
        <w:t>15.00</w:t>
      </w:r>
      <w:r>
        <w:rPr>
          <w:rFonts w:hint="eastAsia" w:ascii="仿宋_GB2312" w:hAnsi="宋体" w:eastAsia="仿宋" w:cs="仿宋_GB2312"/>
          <w:sz w:val="32"/>
          <w:szCs w:val="28"/>
          <w:lang w:bidi="ar"/>
        </w:rPr>
        <w:t>分，得分率为</w:t>
      </w:r>
      <w:r>
        <w:rPr>
          <w:rFonts w:ascii="仿宋_GB2312" w:hAnsi="宋体" w:eastAsia="仿宋" w:cs="仿宋_GB2312"/>
          <w:sz w:val="32"/>
          <w:szCs w:val="28"/>
          <w:lang w:bidi="ar"/>
        </w:rPr>
        <w:t>100.00</w:t>
      </w:r>
      <w:r>
        <w:rPr>
          <w:rFonts w:hint="eastAsia" w:ascii="仿宋_GB2312" w:hAnsi="宋体" w:eastAsia="仿宋" w:cs="仿宋_GB2312"/>
          <w:sz w:val="32"/>
          <w:szCs w:val="28"/>
          <w:lang w:bidi="ar"/>
        </w:rPr>
        <w:t>%。</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具体得分情况如下：</w:t>
      </w:r>
    </w:p>
    <w:p>
      <w:pPr>
        <w:spacing w:line="560" w:lineRule="exact"/>
        <w:jc w:val="center"/>
        <w:rPr>
          <w:rFonts w:ascii="仿宋_GB2312" w:hAnsi="宋体" w:eastAsia="仿宋" w:cs="仿宋_GB2312"/>
          <w:bCs/>
          <w:sz w:val="32"/>
          <w:lang w:bidi="ar"/>
        </w:rPr>
      </w:pPr>
      <w:r>
        <w:rPr>
          <w:rFonts w:hint="eastAsia" w:ascii="仿宋_GB2312" w:hAnsi="宋体" w:eastAsia="仿宋" w:cs="仿宋_GB2312"/>
          <w:bCs/>
          <w:sz w:val="32"/>
          <w:lang w:bidi="ar"/>
        </w:rPr>
        <w:t>表3 财政政策评分结果汇总表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144"/>
        <w:gridCol w:w="2144"/>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D7D7D7"/>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指标</w:t>
            </w:r>
          </w:p>
        </w:tc>
        <w:tc>
          <w:tcPr>
            <w:tcW w:w="1191" w:type="pct"/>
            <w:shd w:val="clear" w:color="auto" w:fill="D7D7D7"/>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权重</w:t>
            </w:r>
          </w:p>
        </w:tc>
        <w:tc>
          <w:tcPr>
            <w:tcW w:w="1191" w:type="pct"/>
            <w:shd w:val="clear" w:color="auto" w:fill="D7D7D7"/>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得分</w:t>
            </w:r>
          </w:p>
        </w:tc>
        <w:tc>
          <w:tcPr>
            <w:tcW w:w="1191" w:type="pct"/>
            <w:shd w:val="clear" w:color="auto" w:fill="D7D7D7"/>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经济性</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20.00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效率性</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30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22.16</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73.87%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效益性</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25</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21.67</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86.68%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公平性</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9.40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可持续性</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15</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15.00</w:t>
            </w:r>
          </w:p>
        </w:tc>
        <w:tc>
          <w:tcPr>
            <w:tcW w:w="1191" w:type="pct"/>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8" w:type="pct"/>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合计</w:t>
            </w:r>
          </w:p>
        </w:tc>
        <w:tc>
          <w:tcPr>
            <w:tcW w:w="1191" w:type="pct"/>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100.00</w:t>
            </w:r>
          </w:p>
        </w:tc>
        <w:tc>
          <w:tcPr>
            <w:tcW w:w="1191" w:type="pct"/>
            <w:shd w:val="clear" w:color="auto" w:fill="BEBEBE"/>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88.23</w:t>
            </w:r>
          </w:p>
        </w:tc>
        <w:tc>
          <w:tcPr>
            <w:tcW w:w="1191" w:type="pct"/>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88.23%</w:t>
            </w:r>
          </w:p>
        </w:tc>
      </w:tr>
    </w:tbl>
    <w:p>
      <w:pPr>
        <w:pStyle w:val="40"/>
        <w:spacing w:before="156" w:after="156" w:line="560" w:lineRule="exact"/>
        <w:ind w:firstLine="640"/>
        <w:rPr>
          <w:rFonts w:hint="eastAsia" w:eastAsia="仿宋"/>
          <w:b w:val="0"/>
          <w:color w:val="auto"/>
          <w:sz w:val="32"/>
        </w:rPr>
      </w:pPr>
      <w:bookmarkStart w:id="22" w:name="_Toc30886"/>
      <w:bookmarkStart w:id="23" w:name="_Toc11389"/>
      <w:r>
        <w:rPr>
          <w:rFonts w:hint="eastAsia" w:eastAsia="仿宋"/>
          <w:b w:val="0"/>
          <w:color w:val="auto"/>
          <w:sz w:val="32"/>
        </w:rPr>
        <w:t>（二）绩效分析</w:t>
      </w:r>
      <w:bookmarkEnd w:id="22"/>
      <w:bookmarkEnd w:id="23"/>
    </w:p>
    <w:p>
      <w:pPr>
        <w:pStyle w:val="40"/>
        <w:spacing w:before="156" w:after="156" w:line="560" w:lineRule="exact"/>
        <w:ind w:firstLine="640"/>
        <w:rPr>
          <w:rFonts w:eastAsia="仿宋"/>
          <w:b w:val="0"/>
          <w:color w:val="auto"/>
          <w:sz w:val="32"/>
        </w:rPr>
      </w:pPr>
      <w:bookmarkStart w:id="24" w:name="_Toc30274"/>
      <w:r>
        <w:rPr>
          <w:rFonts w:hint="eastAsia" w:eastAsia="仿宋"/>
          <w:b w:val="0"/>
          <w:color w:val="auto"/>
          <w:sz w:val="32"/>
        </w:rPr>
        <w:t>1、项目支出</w:t>
      </w:r>
      <w:bookmarkEnd w:id="24"/>
    </w:p>
    <w:p>
      <w:pPr>
        <w:pStyle w:val="40"/>
        <w:spacing w:before="156" w:after="156" w:line="560" w:lineRule="exact"/>
        <w:ind w:firstLine="640"/>
        <w:rPr>
          <w:rFonts w:hint="eastAsia" w:ascii="仿宋_GB2312" w:hAnsi="仿宋_GB2312" w:eastAsia="仿宋" w:cs="仿宋_GB2312"/>
          <w:b w:val="0"/>
          <w:color w:val="auto"/>
          <w:sz w:val="32"/>
          <w:szCs w:val="28"/>
        </w:rPr>
      </w:pPr>
      <w:bookmarkStart w:id="25" w:name="_Toc1496"/>
      <w:bookmarkStart w:id="26" w:name="_Toc13768"/>
      <w:r>
        <w:rPr>
          <w:rFonts w:hint="eastAsia" w:ascii="仿宋_GB2312" w:hAnsi="仿宋_GB2312" w:eastAsia="仿宋" w:cs="仿宋_GB2312"/>
          <w:b w:val="0"/>
          <w:color w:val="auto"/>
          <w:sz w:val="32"/>
          <w:szCs w:val="28"/>
        </w:rPr>
        <w:t>——项目决策分析</w:t>
      </w:r>
      <w:bookmarkEnd w:id="25"/>
      <w:bookmarkEnd w:id="26"/>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该指标</w:t>
      </w:r>
      <w:r>
        <w:rPr>
          <w:rFonts w:ascii="仿宋_GB2312" w:hAnsi="宋体" w:eastAsia="仿宋" w:cs="仿宋_GB2312"/>
          <w:sz w:val="32"/>
          <w:szCs w:val="28"/>
          <w:lang w:bidi="ar"/>
        </w:rPr>
        <w:t>权重为</w:t>
      </w:r>
      <w:r>
        <w:rPr>
          <w:rFonts w:hint="eastAsia" w:ascii="仿宋_GB2312" w:hAnsi="宋体" w:eastAsia="仿宋" w:cs="仿宋_GB2312"/>
          <w:sz w:val="32"/>
          <w:szCs w:val="28"/>
          <w:lang w:bidi="ar"/>
        </w:rPr>
        <w:t>20</w:t>
      </w:r>
      <w:r>
        <w:rPr>
          <w:rFonts w:ascii="仿宋_GB2312" w:hAnsi="宋体" w:eastAsia="仿宋" w:cs="仿宋_GB2312"/>
          <w:sz w:val="32"/>
          <w:szCs w:val="28"/>
          <w:lang w:bidi="ar"/>
        </w:rPr>
        <w:t>分，</w:t>
      </w:r>
      <w:r>
        <w:rPr>
          <w:rFonts w:hint="eastAsia" w:ascii="仿宋_GB2312" w:hAnsi="宋体" w:eastAsia="仿宋" w:cs="仿宋_GB2312"/>
          <w:sz w:val="32"/>
          <w:szCs w:val="28"/>
          <w:lang w:bidi="ar"/>
        </w:rPr>
        <w:t>实得</w:t>
      </w:r>
      <w:r>
        <w:rPr>
          <w:rFonts w:ascii="仿宋_GB2312" w:hAnsi="宋体" w:eastAsia="仿宋" w:cs="仿宋_GB2312"/>
          <w:sz w:val="32"/>
          <w:szCs w:val="28"/>
          <w:lang w:bidi="ar"/>
        </w:rPr>
        <w:t>13.72</w:t>
      </w:r>
      <w:r>
        <w:rPr>
          <w:rFonts w:hint="eastAsia" w:ascii="仿宋_GB2312" w:hAnsi="宋体" w:eastAsia="仿宋" w:cs="仿宋_GB2312"/>
          <w:sz w:val="32"/>
          <w:szCs w:val="28"/>
          <w:lang w:bidi="ar"/>
        </w:rPr>
        <w:t>分，</w:t>
      </w:r>
      <w:r>
        <w:rPr>
          <w:rFonts w:ascii="仿宋_GB2312" w:hAnsi="宋体" w:eastAsia="仿宋" w:cs="仿宋_GB2312"/>
          <w:sz w:val="32"/>
          <w:szCs w:val="28"/>
          <w:lang w:bidi="ar"/>
        </w:rPr>
        <w:t>用于考察项目</w:t>
      </w:r>
      <w:r>
        <w:rPr>
          <w:rFonts w:hint="eastAsia" w:ascii="仿宋_GB2312" w:hAnsi="宋体" w:eastAsia="仿宋" w:cs="仿宋_GB2312"/>
          <w:sz w:val="32"/>
          <w:szCs w:val="28"/>
          <w:lang w:bidi="ar"/>
        </w:rPr>
        <w:t>政策依据是否充分、可行性论证是否充分、目标是否明确、绩效目标设定是否符合实际需求。</w:t>
      </w:r>
    </w:p>
    <w:p>
      <w:pPr>
        <w:spacing w:line="560" w:lineRule="exact"/>
        <w:ind w:firstLine="560"/>
        <w:rPr>
          <w:rFonts w:ascii="仿宋_GB2312" w:hAnsi="宋体" w:eastAsia="仿宋" w:cs="仿宋_GB2312"/>
          <w:sz w:val="32"/>
          <w:szCs w:val="28"/>
          <w:lang w:bidi="ar"/>
        </w:rPr>
      </w:pPr>
      <w:r>
        <w:rPr>
          <w:rFonts w:ascii="仿宋_GB2312" w:hAnsi="宋体" w:eastAsia="仿宋" w:cs="仿宋_GB2312"/>
          <w:sz w:val="32"/>
          <w:szCs w:val="28"/>
          <w:lang w:bidi="ar"/>
        </w:rPr>
        <w:t>具体评价指标和得分情况如下：</w:t>
      </w:r>
    </w:p>
    <w:p>
      <w:pPr>
        <w:spacing w:line="560" w:lineRule="exact"/>
        <w:ind w:firstLine="482"/>
        <w:jc w:val="center"/>
        <w:rPr>
          <w:rFonts w:ascii="仿宋_GB2312" w:hAnsi="宋体" w:eastAsia="仿宋" w:cs="仿宋_GB2312"/>
          <w:bCs/>
          <w:sz w:val="32"/>
          <w:lang w:bidi="ar"/>
        </w:rPr>
      </w:pPr>
      <w:r>
        <w:rPr>
          <w:rFonts w:hint="eastAsia" w:ascii="仿宋_GB2312" w:hAnsi="宋体" w:eastAsia="仿宋" w:cs="仿宋_GB2312"/>
          <w:bCs/>
          <w:sz w:val="32"/>
          <w:lang w:bidi="ar"/>
        </w:rPr>
        <w:t>表5项目决策类指标得分情况汇总表</w:t>
      </w:r>
    </w:p>
    <w:tbl>
      <w:tblPr>
        <w:tblStyle w:val="15"/>
        <w:tblpPr w:leftFromText="180" w:rightFromText="180" w:vertAnchor="text" w:horzAnchor="page" w:tblpXSpec="center" w:tblpY="40"/>
        <w:tblOverlap w:val="never"/>
        <w:tblW w:w="5000"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629"/>
        <w:gridCol w:w="2483"/>
        <w:gridCol w:w="2423"/>
        <w:gridCol w:w="246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blHeader/>
          <w:jc w:val="center"/>
        </w:trPr>
        <w:tc>
          <w:tcPr>
            <w:tcW w:w="905"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bookmarkStart w:id="27" w:name="_Toc30749"/>
            <w:r>
              <w:rPr>
                <w:rFonts w:ascii="仿宋_GB2312" w:hAnsi="宋体" w:eastAsia="仿宋" w:cs="仿宋_GB2312"/>
                <w:bCs/>
                <w:sz w:val="32"/>
                <w:lang w:bidi="ar"/>
              </w:rPr>
              <w:t>指标</w:t>
            </w:r>
          </w:p>
        </w:tc>
        <w:tc>
          <w:tcPr>
            <w:tcW w:w="1379"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权重</w:t>
            </w:r>
          </w:p>
        </w:tc>
        <w:tc>
          <w:tcPr>
            <w:tcW w:w="1346"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w:t>
            </w:r>
          </w:p>
        </w:tc>
        <w:tc>
          <w:tcPr>
            <w:tcW w:w="1370"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905" w:type="pct"/>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项目决策</w:t>
            </w:r>
          </w:p>
        </w:tc>
        <w:tc>
          <w:tcPr>
            <w:tcW w:w="1379"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20.00</w:t>
            </w:r>
          </w:p>
        </w:tc>
        <w:tc>
          <w:tcPr>
            <w:tcW w:w="1346"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13.72</w:t>
            </w:r>
          </w:p>
        </w:tc>
        <w:tc>
          <w:tcPr>
            <w:tcW w:w="1370"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68.60%</w:t>
            </w:r>
          </w:p>
        </w:tc>
      </w:tr>
    </w:tbl>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bCs/>
          <w:sz w:val="32"/>
          <w:szCs w:val="28"/>
          <w:lang w:bidi="ar"/>
        </w:rPr>
        <w:t>科学决策方面：</w:t>
      </w:r>
      <w:r>
        <w:rPr>
          <w:rFonts w:hint="eastAsia" w:ascii="仿宋_GB2312" w:hAnsi="宋体" w:eastAsia="仿宋" w:cs="仿宋_GB2312"/>
          <w:sz w:val="32"/>
          <w:szCs w:val="28"/>
          <w:lang w:bidi="ar"/>
        </w:rPr>
        <w:t>共</w:t>
      </w:r>
      <w:r>
        <w:rPr>
          <w:rFonts w:ascii="仿宋_GB2312" w:hAnsi="宋体" w:eastAsia="仿宋" w:cs="仿宋_GB2312"/>
          <w:sz w:val="32"/>
          <w:szCs w:val="28"/>
          <w:lang w:bidi="ar"/>
        </w:rPr>
        <w:t>12</w:t>
      </w:r>
      <w:r>
        <w:rPr>
          <w:rFonts w:hint="eastAsia" w:ascii="仿宋_GB2312" w:hAnsi="宋体" w:eastAsia="仿宋" w:cs="仿宋_GB2312"/>
          <w:sz w:val="32"/>
          <w:szCs w:val="28"/>
          <w:lang w:bidi="ar"/>
        </w:rPr>
        <w:t>个考核项目决策符合中央、省、州决策部署，符合当前经济社会发展需要且可行性论证充分，规划、管理办法、指导意见等制度健全完善。</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共</w:t>
      </w:r>
      <w:r>
        <w:rPr>
          <w:rFonts w:ascii="仿宋_GB2312" w:hAnsi="宋体" w:eastAsia="仿宋" w:cs="仿宋_GB2312"/>
          <w:sz w:val="32"/>
          <w:szCs w:val="28"/>
          <w:lang w:bidi="ar"/>
        </w:rPr>
        <w:t>11</w:t>
      </w:r>
      <w:r>
        <w:rPr>
          <w:rFonts w:hint="eastAsia" w:ascii="仿宋_GB2312" w:hAnsi="宋体" w:eastAsia="仿宋" w:cs="仿宋_GB2312"/>
          <w:sz w:val="32"/>
          <w:szCs w:val="28"/>
          <w:lang w:bidi="ar"/>
        </w:rPr>
        <w:t>个考核项目未根据本地实际情况制定可行性论证、规划、管理办法、指导意见等制度，如下表：</w:t>
      </w:r>
    </w:p>
    <w:p>
      <w:pPr>
        <w:spacing w:line="560" w:lineRule="exact"/>
        <w:jc w:val="center"/>
        <w:rPr>
          <w:rFonts w:ascii="仿宋_GB2312" w:hAnsi="宋体" w:eastAsia="仿宋" w:cs="仿宋_GB2312"/>
          <w:sz w:val="32"/>
          <w:szCs w:val="28"/>
          <w:lang w:bidi="ar"/>
        </w:rPr>
      </w:pPr>
      <w:r>
        <w:rPr>
          <w:rFonts w:hint="eastAsia" w:ascii="仿宋_GB2312" w:hAnsi="宋体" w:eastAsia="仿宋" w:cs="仿宋_GB2312"/>
          <w:bCs/>
          <w:sz w:val="32"/>
          <w:lang w:bidi="ar"/>
        </w:rPr>
        <w:t>科学决策情况表</w:t>
      </w:r>
    </w:p>
    <w:tbl>
      <w:tblPr>
        <w:tblStyle w:val="15"/>
        <w:tblW w:w="0" w:type="auto"/>
        <w:tblInd w:w="0" w:type="dxa"/>
        <w:tblBorders>
          <w:top w:val="single" w:color="auto" w:sz="8" w:space="0"/>
          <w:left w:val="none" w:color="auto" w:sz="0" w:space="0"/>
          <w:bottom w:val="single" w:color="auto" w:sz="8"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384"/>
        <w:gridCol w:w="7618"/>
      </w:tblGrid>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bCs/>
                <w:sz w:val="32"/>
                <w:lang w:bidi="ar"/>
              </w:rPr>
            </w:pPr>
            <w:bookmarkStart w:id="28" w:name="_Hlk57670609"/>
            <w:r>
              <w:rPr>
                <w:rFonts w:ascii="仿宋_GB2312" w:hAnsi="宋体" w:eastAsia="仿宋" w:cs="仿宋_GB2312"/>
                <w:bCs/>
                <w:sz w:val="32"/>
                <w:lang w:bidi="ar"/>
              </w:rPr>
              <w:t>序号</w:t>
            </w:r>
          </w:p>
        </w:tc>
        <w:tc>
          <w:tcPr>
            <w:tcW w:w="7618" w:type="dxa"/>
            <w:shd w:val="clear" w:color="auto" w:fill="auto"/>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项目名称</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2018年第四批新增地方政府债券资金</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松岗柯盘天街景区标识标牌制作和安装项目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3</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地质灾害综合防治体系建设项目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4</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2019年革命老区转移支付项目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5</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第八届嘉绒锅庄文化旅游节项目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6</w:t>
            </w:r>
          </w:p>
        </w:tc>
        <w:tc>
          <w:tcPr>
            <w:tcW w:w="7618" w:type="dxa"/>
            <w:shd w:val="clear" w:color="auto" w:fill="auto"/>
          </w:tcPr>
          <w:p>
            <w:pPr>
              <w:tabs>
                <w:tab w:val="left" w:pos="2989"/>
              </w:tabs>
              <w:spacing w:line="560" w:lineRule="exact"/>
              <w:rPr>
                <w:rFonts w:ascii="仿宋_GB2312" w:hAnsi="宋体" w:eastAsia="仿宋" w:cs="仿宋_GB2312"/>
                <w:sz w:val="32"/>
                <w:lang w:bidi="ar"/>
              </w:rPr>
            </w:pPr>
            <w:r>
              <w:rPr>
                <w:rFonts w:ascii="仿宋_GB2312" w:hAnsi="宋体" w:eastAsia="仿宋" w:cs="仿宋_GB2312"/>
                <w:sz w:val="32"/>
                <w:lang w:bidi="ar"/>
              </w:rPr>
              <w:t>党坝乡地拉秋村跨河大桥建设项目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7</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松岗村旅游综合服务设施项目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8</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夜景照明工程项目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9</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松岗天街配套基础设施建设项目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10</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2019年乡村振兴项目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11</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重要道路绿化及城区绿化提升项目</w:t>
            </w:r>
          </w:p>
        </w:tc>
      </w:tr>
      <w:bookmarkEnd w:id="28"/>
    </w:tbl>
    <w:p>
      <w:pPr>
        <w:spacing w:line="560" w:lineRule="exact"/>
        <w:jc w:val="center"/>
        <w:rPr>
          <w:rFonts w:hint="eastAsia" w:ascii="仿宋_GB2312" w:hAnsi="宋体" w:eastAsia="仿宋" w:cs="仿宋_GB2312"/>
          <w:sz w:val="32"/>
          <w:lang w:bidi="ar"/>
        </w:rPr>
      </w:pP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bCs/>
          <w:sz w:val="32"/>
          <w:szCs w:val="28"/>
          <w:lang w:bidi="ar"/>
        </w:rPr>
        <w:t>绩效目标方面：</w:t>
      </w:r>
      <w:r>
        <w:rPr>
          <w:rFonts w:hint="eastAsia" w:ascii="仿宋_GB2312" w:hAnsi="宋体" w:eastAsia="仿宋" w:cs="仿宋_GB2312"/>
          <w:sz w:val="32"/>
          <w:szCs w:val="28"/>
          <w:lang w:bidi="ar"/>
        </w:rPr>
        <w:t>共</w:t>
      </w:r>
      <w:r>
        <w:rPr>
          <w:rFonts w:ascii="仿宋_GB2312" w:hAnsi="宋体" w:eastAsia="仿宋" w:cs="仿宋_GB2312"/>
          <w:sz w:val="32"/>
          <w:szCs w:val="28"/>
          <w:lang w:bidi="ar"/>
        </w:rPr>
        <w:t>5</w:t>
      </w:r>
      <w:r>
        <w:rPr>
          <w:rFonts w:hint="eastAsia" w:ascii="仿宋_GB2312" w:hAnsi="宋体" w:eastAsia="仿宋" w:cs="仿宋_GB2312"/>
          <w:sz w:val="32"/>
          <w:szCs w:val="28"/>
          <w:lang w:bidi="ar"/>
        </w:rPr>
        <w:t>个考核项目绩效目标明确，目标设定符合实际需求。</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共</w:t>
      </w:r>
      <w:r>
        <w:rPr>
          <w:rFonts w:ascii="仿宋_GB2312" w:hAnsi="宋体" w:eastAsia="仿宋" w:cs="仿宋_GB2312"/>
          <w:sz w:val="32"/>
          <w:szCs w:val="28"/>
          <w:lang w:bidi="ar"/>
        </w:rPr>
        <w:t>18</w:t>
      </w:r>
      <w:r>
        <w:rPr>
          <w:rFonts w:hint="eastAsia" w:ascii="仿宋_GB2312" w:hAnsi="宋体" w:eastAsia="仿宋" w:cs="仿宋_GB2312"/>
          <w:sz w:val="32"/>
          <w:szCs w:val="28"/>
          <w:lang w:bidi="ar"/>
        </w:rPr>
        <w:t>个考核项目存在未进行前期可行性论证、未设定绩效目标或设置不明确。详见下表：</w:t>
      </w:r>
    </w:p>
    <w:p>
      <w:pPr>
        <w:spacing w:line="560" w:lineRule="exact"/>
        <w:jc w:val="center"/>
        <w:rPr>
          <w:rFonts w:hint="eastAsia" w:ascii="仿宋_GB2312" w:hAnsi="宋体" w:eastAsia="仿宋" w:cs="仿宋_GB2312"/>
          <w:sz w:val="32"/>
          <w:szCs w:val="28"/>
          <w:lang w:bidi="ar"/>
        </w:rPr>
      </w:pPr>
      <w:r>
        <w:rPr>
          <w:rFonts w:hint="eastAsia" w:ascii="仿宋_GB2312" w:hAnsi="宋体" w:eastAsia="仿宋" w:cs="仿宋_GB2312"/>
          <w:bCs/>
          <w:sz w:val="32"/>
          <w:lang w:bidi="ar"/>
        </w:rPr>
        <w:t>绩效目标情况表</w:t>
      </w:r>
    </w:p>
    <w:tbl>
      <w:tblPr>
        <w:tblStyle w:val="15"/>
        <w:tblW w:w="0" w:type="auto"/>
        <w:tblInd w:w="0" w:type="dxa"/>
        <w:tblBorders>
          <w:top w:val="single" w:color="auto" w:sz="8" w:space="0"/>
          <w:left w:val="none" w:color="auto" w:sz="0" w:space="0"/>
          <w:bottom w:val="single" w:color="auto" w:sz="8"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384"/>
        <w:gridCol w:w="7618"/>
      </w:tblGrid>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rPr>
          <w:tblHeader/>
        </w:trPr>
        <w:tc>
          <w:tcPr>
            <w:tcW w:w="1384" w:type="dxa"/>
            <w:shd w:val="clear" w:color="auto" w:fill="auto"/>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序号</w:t>
            </w:r>
          </w:p>
        </w:tc>
        <w:tc>
          <w:tcPr>
            <w:tcW w:w="7618" w:type="dxa"/>
            <w:shd w:val="clear" w:color="auto" w:fill="auto"/>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项目名称</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2018年第四批新增地方政府债券资金</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松岗柯盘天街景区标识标牌制作和安装项目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3</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地质灾害综合防治体系建设项目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4</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2019年革命老区转移支付项目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5</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第八届嘉绒锅庄文化旅游节项目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6</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建档立卡贫困人口基本医疗保险参保项目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7</w:t>
            </w:r>
          </w:p>
        </w:tc>
        <w:tc>
          <w:tcPr>
            <w:tcW w:w="7618" w:type="dxa"/>
            <w:shd w:val="clear" w:color="auto" w:fill="auto"/>
          </w:tcPr>
          <w:p>
            <w:pPr>
              <w:tabs>
                <w:tab w:val="left" w:pos="2989"/>
              </w:tabs>
              <w:spacing w:line="560" w:lineRule="exact"/>
              <w:rPr>
                <w:rFonts w:ascii="仿宋_GB2312" w:hAnsi="宋体" w:eastAsia="仿宋" w:cs="仿宋_GB2312"/>
                <w:sz w:val="32"/>
                <w:lang w:bidi="ar"/>
              </w:rPr>
            </w:pPr>
            <w:r>
              <w:rPr>
                <w:rFonts w:ascii="仿宋_GB2312" w:hAnsi="宋体" w:eastAsia="仿宋" w:cs="仿宋_GB2312"/>
                <w:sz w:val="32"/>
                <w:lang w:bidi="ar"/>
              </w:rPr>
              <w:t>党坝乡地拉秋村跨河大桥建设项目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8</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2018-2019年粮食低温储备库建设项目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9</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马尔康市城市设计项目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10</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马尔康市第四小学会议室办公设备及学生生活设备项目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11</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马尔康市人民医院太阳能热水系统及采暖改造采购项目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12</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中共马尔康市委宣传部马尔康市融媒体中心建设项目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13</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松岗村旅游综合服务设施项目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14</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2019年农村教师周转宿舍建设省级补助资金项目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15</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夜景照明工程项目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16</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松岗天街配套基础设施建设项目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17</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2019年乡村振兴项目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1384"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18</w:t>
            </w:r>
          </w:p>
        </w:tc>
        <w:tc>
          <w:tcPr>
            <w:tcW w:w="7618"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重要道路绿化及城区绿化提升项目</w:t>
            </w:r>
          </w:p>
        </w:tc>
      </w:tr>
    </w:tbl>
    <w:p>
      <w:pPr>
        <w:pStyle w:val="40"/>
        <w:spacing w:before="156" w:after="156" w:line="560" w:lineRule="exact"/>
        <w:ind w:firstLine="640"/>
        <w:rPr>
          <w:rFonts w:ascii="仿宋_GB2312" w:hAnsi="仿宋_GB2312" w:eastAsia="仿宋" w:cs="仿宋_GB2312"/>
          <w:b w:val="0"/>
          <w:color w:val="auto"/>
          <w:sz w:val="32"/>
          <w:szCs w:val="28"/>
        </w:rPr>
      </w:pPr>
      <w:bookmarkStart w:id="29" w:name="_Toc6177"/>
      <w:r>
        <w:rPr>
          <w:rFonts w:hint="eastAsia" w:ascii="仿宋_GB2312" w:hAnsi="仿宋_GB2312" w:eastAsia="仿宋" w:cs="仿宋_GB2312"/>
          <w:b w:val="0"/>
          <w:color w:val="auto"/>
          <w:sz w:val="32"/>
          <w:szCs w:val="28"/>
        </w:rPr>
        <w:t>——项目管理分析</w:t>
      </w:r>
      <w:bookmarkEnd w:id="27"/>
      <w:bookmarkEnd w:id="29"/>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该指标</w:t>
      </w:r>
      <w:r>
        <w:rPr>
          <w:rFonts w:ascii="仿宋_GB2312" w:hAnsi="宋体" w:eastAsia="仿宋" w:cs="仿宋_GB2312"/>
          <w:sz w:val="32"/>
          <w:szCs w:val="28"/>
          <w:lang w:bidi="ar"/>
        </w:rPr>
        <w:t>权重为</w:t>
      </w:r>
      <w:r>
        <w:rPr>
          <w:rFonts w:hint="eastAsia" w:ascii="仿宋_GB2312" w:hAnsi="宋体" w:eastAsia="仿宋" w:cs="仿宋_GB2312"/>
          <w:sz w:val="32"/>
          <w:szCs w:val="28"/>
          <w:lang w:bidi="ar"/>
        </w:rPr>
        <w:t>10.00</w:t>
      </w:r>
      <w:r>
        <w:rPr>
          <w:rFonts w:ascii="仿宋_GB2312" w:hAnsi="宋体" w:eastAsia="仿宋" w:cs="仿宋_GB2312"/>
          <w:sz w:val="32"/>
          <w:szCs w:val="28"/>
          <w:lang w:bidi="ar"/>
        </w:rPr>
        <w:t>分</w:t>
      </w:r>
      <w:r>
        <w:rPr>
          <w:rFonts w:hint="eastAsia" w:ascii="仿宋_GB2312" w:hAnsi="宋体" w:eastAsia="仿宋" w:cs="仿宋_GB2312"/>
          <w:sz w:val="32"/>
          <w:szCs w:val="28"/>
          <w:lang w:bidi="ar"/>
        </w:rPr>
        <w:t>，实得</w:t>
      </w:r>
      <w:r>
        <w:rPr>
          <w:rFonts w:ascii="仿宋_GB2312" w:hAnsi="宋体" w:eastAsia="仿宋" w:cs="仿宋_GB2312"/>
          <w:sz w:val="32"/>
          <w:szCs w:val="28"/>
          <w:lang w:bidi="ar"/>
        </w:rPr>
        <w:t>7.30</w:t>
      </w:r>
      <w:r>
        <w:rPr>
          <w:rFonts w:hint="eastAsia" w:ascii="仿宋_GB2312" w:hAnsi="宋体" w:eastAsia="仿宋" w:cs="仿宋_GB2312"/>
          <w:sz w:val="32"/>
          <w:szCs w:val="28"/>
          <w:lang w:bidi="ar"/>
        </w:rPr>
        <w:t>分</w:t>
      </w:r>
      <w:r>
        <w:rPr>
          <w:rFonts w:ascii="仿宋_GB2312" w:hAnsi="宋体" w:eastAsia="仿宋" w:cs="仿宋_GB2312"/>
          <w:sz w:val="32"/>
          <w:szCs w:val="28"/>
          <w:lang w:bidi="ar"/>
        </w:rPr>
        <w:t>，用于考察项目</w:t>
      </w:r>
      <w:r>
        <w:rPr>
          <w:rFonts w:hint="eastAsia" w:ascii="仿宋_GB2312" w:hAnsi="宋体" w:eastAsia="仿宋" w:cs="仿宋_GB2312"/>
          <w:sz w:val="32"/>
          <w:szCs w:val="28"/>
          <w:lang w:bidi="ar"/>
        </w:rPr>
        <w:t>资金分配管理是否科学、资金使用是否规范、管理制度是否健全，管理过程是否科学规范。</w:t>
      </w:r>
    </w:p>
    <w:p>
      <w:pPr>
        <w:spacing w:line="560" w:lineRule="exact"/>
        <w:ind w:firstLine="560"/>
        <w:rPr>
          <w:rFonts w:ascii="仿宋_GB2312" w:hAnsi="宋体" w:eastAsia="仿宋" w:cs="仿宋_GB2312"/>
          <w:sz w:val="32"/>
          <w:szCs w:val="28"/>
          <w:lang w:bidi="ar"/>
        </w:rPr>
      </w:pPr>
      <w:r>
        <w:rPr>
          <w:rFonts w:ascii="仿宋_GB2312" w:hAnsi="宋体" w:eastAsia="仿宋" w:cs="仿宋_GB2312"/>
          <w:sz w:val="32"/>
          <w:szCs w:val="28"/>
          <w:lang w:bidi="ar"/>
        </w:rPr>
        <w:t>具体评价指标和得分情况如下：</w:t>
      </w:r>
    </w:p>
    <w:p>
      <w:pPr>
        <w:spacing w:line="560" w:lineRule="exact"/>
        <w:ind w:firstLine="482"/>
        <w:jc w:val="center"/>
        <w:rPr>
          <w:rFonts w:ascii="仿宋_GB2312" w:hAnsi="宋体" w:eastAsia="仿宋" w:cs="仿宋_GB2312"/>
          <w:bCs/>
          <w:sz w:val="32"/>
          <w:lang w:bidi="ar"/>
        </w:rPr>
      </w:pPr>
      <w:r>
        <w:rPr>
          <w:rFonts w:hint="eastAsia" w:ascii="仿宋_GB2312" w:hAnsi="宋体" w:eastAsia="仿宋" w:cs="仿宋_GB2312"/>
          <w:bCs/>
          <w:sz w:val="32"/>
          <w:lang w:bidi="ar"/>
        </w:rPr>
        <w:t>项目管理类指标得分情况汇总表</w:t>
      </w:r>
    </w:p>
    <w:tbl>
      <w:tblPr>
        <w:tblStyle w:val="15"/>
        <w:tblpPr w:leftFromText="180" w:rightFromText="180" w:vertAnchor="text" w:horzAnchor="page" w:tblpXSpec="center" w:tblpY="40"/>
        <w:tblOverlap w:val="never"/>
        <w:tblW w:w="5000"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629"/>
        <w:gridCol w:w="2483"/>
        <w:gridCol w:w="2423"/>
        <w:gridCol w:w="246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blHeader/>
          <w:jc w:val="center"/>
        </w:trPr>
        <w:tc>
          <w:tcPr>
            <w:tcW w:w="905"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指标</w:t>
            </w:r>
          </w:p>
        </w:tc>
        <w:tc>
          <w:tcPr>
            <w:tcW w:w="1379"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权重</w:t>
            </w:r>
          </w:p>
        </w:tc>
        <w:tc>
          <w:tcPr>
            <w:tcW w:w="1346"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w:t>
            </w:r>
          </w:p>
        </w:tc>
        <w:tc>
          <w:tcPr>
            <w:tcW w:w="1370"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905" w:type="pct"/>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项目管理</w:t>
            </w:r>
          </w:p>
        </w:tc>
        <w:tc>
          <w:tcPr>
            <w:tcW w:w="1379"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10.00</w:t>
            </w:r>
          </w:p>
        </w:tc>
        <w:tc>
          <w:tcPr>
            <w:tcW w:w="1346"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7.30</w:t>
            </w:r>
          </w:p>
        </w:tc>
        <w:tc>
          <w:tcPr>
            <w:tcW w:w="1370"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73.00%</w:t>
            </w:r>
          </w:p>
        </w:tc>
      </w:tr>
    </w:tbl>
    <w:p>
      <w:pPr>
        <w:spacing w:line="560" w:lineRule="exact"/>
        <w:ind w:firstLine="562"/>
        <w:rPr>
          <w:rFonts w:hint="eastAsia" w:ascii="仿宋_GB2312" w:hAnsi="宋体" w:eastAsia="仿宋" w:cs="仿宋_GB2312"/>
          <w:sz w:val="32"/>
          <w:szCs w:val="28"/>
          <w:lang w:bidi="ar"/>
        </w:rPr>
      </w:pPr>
      <w:bookmarkStart w:id="30" w:name="_Toc22000"/>
      <w:r>
        <w:rPr>
          <w:rFonts w:hint="eastAsia" w:ascii="仿宋_GB2312" w:hAnsi="宋体" w:eastAsia="仿宋" w:cs="仿宋_GB2312"/>
          <w:bCs/>
          <w:sz w:val="32"/>
          <w:szCs w:val="28"/>
          <w:lang w:bidi="ar"/>
        </w:rPr>
        <w:t>资金管理方面：</w:t>
      </w:r>
      <w:r>
        <w:rPr>
          <w:rFonts w:hint="eastAsia" w:ascii="仿宋_GB2312" w:hAnsi="宋体" w:eastAsia="仿宋" w:cs="仿宋_GB2312"/>
          <w:sz w:val="32"/>
          <w:szCs w:val="28"/>
          <w:lang w:bidi="ar"/>
        </w:rPr>
        <w:t>共2</w:t>
      </w:r>
      <w:r>
        <w:rPr>
          <w:rFonts w:ascii="仿宋_GB2312" w:hAnsi="宋体" w:eastAsia="仿宋" w:cs="仿宋_GB2312"/>
          <w:sz w:val="32"/>
          <w:szCs w:val="28"/>
          <w:lang w:bidi="ar"/>
        </w:rPr>
        <w:t>2</w:t>
      </w:r>
      <w:r>
        <w:rPr>
          <w:rFonts w:hint="eastAsia" w:ascii="仿宋_GB2312" w:hAnsi="宋体" w:eastAsia="仿宋" w:cs="仿宋_GB2312"/>
          <w:sz w:val="32"/>
          <w:szCs w:val="28"/>
          <w:lang w:bidi="ar"/>
        </w:rPr>
        <w:t>个考核项目资金为本单位使用，不涉及分配；1个项目（重要道路绿化及城区绿化提升项目）资金分配不合理。</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共</w:t>
      </w:r>
      <w:r>
        <w:rPr>
          <w:rFonts w:ascii="仿宋_GB2312" w:hAnsi="宋体" w:eastAsia="仿宋" w:cs="仿宋_GB2312"/>
          <w:sz w:val="32"/>
          <w:szCs w:val="28"/>
          <w:lang w:bidi="ar"/>
        </w:rPr>
        <w:t>18</w:t>
      </w:r>
      <w:r>
        <w:rPr>
          <w:rFonts w:hint="eastAsia" w:ascii="仿宋_GB2312" w:hAnsi="宋体" w:eastAsia="仿宋" w:cs="仿宋_GB2312"/>
          <w:sz w:val="32"/>
          <w:szCs w:val="28"/>
          <w:lang w:bidi="ar"/>
        </w:rPr>
        <w:t>个考核项目资金使用符合规定，拨付手续齐全；</w:t>
      </w:r>
      <w:r>
        <w:rPr>
          <w:rFonts w:ascii="仿宋_GB2312" w:hAnsi="宋体" w:eastAsia="仿宋" w:cs="仿宋_GB2312"/>
          <w:sz w:val="32"/>
          <w:szCs w:val="28"/>
          <w:lang w:bidi="ar"/>
        </w:rPr>
        <w:t>5</w:t>
      </w:r>
      <w:r>
        <w:rPr>
          <w:rFonts w:hint="eastAsia" w:ascii="仿宋_GB2312" w:hAnsi="宋体" w:eastAsia="仿宋" w:cs="仿宋_GB2312"/>
          <w:sz w:val="32"/>
          <w:szCs w:val="28"/>
          <w:lang w:bidi="ar"/>
        </w:rPr>
        <w:t>个考核项目资金使用不太规范，详见下表：</w:t>
      </w:r>
    </w:p>
    <w:p>
      <w:pPr>
        <w:spacing w:line="560" w:lineRule="exact"/>
        <w:jc w:val="center"/>
        <w:rPr>
          <w:rFonts w:ascii="仿宋_GB2312" w:hAnsi="宋体" w:eastAsia="仿宋" w:cs="仿宋_GB2312"/>
          <w:sz w:val="32"/>
          <w:szCs w:val="28"/>
          <w:lang w:bidi="ar"/>
        </w:rPr>
      </w:pPr>
      <w:bookmarkStart w:id="31" w:name="_Hlk57761927"/>
      <w:r>
        <w:rPr>
          <w:rFonts w:hint="eastAsia" w:ascii="仿宋_GB2312" w:hAnsi="宋体" w:eastAsia="仿宋" w:cs="仿宋_GB2312"/>
          <w:bCs/>
          <w:sz w:val="32"/>
          <w:lang w:bidi="ar"/>
        </w:rPr>
        <w:t>资金管理情况表</w:t>
      </w:r>
    </w:p>
    <w:bookmarkEnd w:id="31"/>
    <w:tbl>
      <w:tblPr>
        <w:tblStyle w:val="15"/>
        <w:tblW w:w="0" w:type="auto"/>
        <w:tblInd w:w="0" w:type="dxa"/>
        <w:tblBorders>
          <w:top w:val="single" w:color="auto" w:sz="8" w:space="0"/>
          <w:left w:val="none" w:color="auto" w:sz="0" w:space="0"/>
          <w:bottom w:val="single" w:color="auto" w:sz="8"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891"/>
        <w:gridCol w:w="4297"/>
        <w:gridCol w:w="3814"/>
      </w:tblGrid>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rPr>
          <w:tblHeader/>
        </w:trPr>
        <w:tc>
          <w:tcPr>
            <w:tcW w:w="891" w:type="dxa"/>
            <w:shd w:val="clear" w:color="auto" w:fill="auto"/>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序号</w:t>
            </w:r>
          </w:p>
        </w:tc>
        <w:tc>
          <w:tcPr>
            <w:tcW w:w="4297" w:type="dxa"/>
            <w:shd w:val="clear" w:color="auto" w:fill="auto"/>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项目名称</w:t>
            </w:r>
          </w:p>
        </w:tc>
        <w:tc>
          <w:tcPr>
            <w:tcW w:w="3814" w:type="dxa"/>
            <w:shd w:val="clear" w:color="auto" w:fill="auto"/>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问题</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2018年第四批新增地方政府债券资金</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存在其他项目挤占该项目资金</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阿底村防洪堤项目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部分审批程序和手续不全</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3</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第八届嘉绒锅庄文化旅游节项目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存在部分审批程序和手续不全、发票开具不规范、验收手续不全、合同签订不规范的情况</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4</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建档立卡贫困人口基本医疗保险参保项目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资金使用率较低</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5</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松岗天街配套基础设施建设项目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资金使用审批不完善</w:t>
            </w:r>
          </w:p>
        </w:tc>
      </w:tr>
    </w:tbl>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bCs/>
          <w:sz w:val="32"/>
          <w:szCs w:val="28"/>
          <w:lang w:bidi="ar"/>
        </w:rPr>
        <w:t>项目执行方面：</w:t>
      </w:r>
      <w:r>
        <w:rPr>
          <w:rFonts w:hint="eastAsia" w:ascii="仿宋_GB2312" w:hAnsi="宋体" w:eastAsia="仿宋" w:cs="仿宋_GB2312"/>
          <w:sz w:val="32"/>
          <w:szCs w:val="28"/>
          <w:lang w:bidi="ar"/>
        </w:rPr>
        <w:t>共2</w:t>
      </w:r>
      <w:r>
        <w:rPr>
          <w:rFonts w:ascii="仿宋_GB2312" w:hAnsi="宋体" w:eastAsia="仿宋" w:cs="仿宋_GB2312"/>
          <w:sz w:val="32"/>
          <w:szCs w:val="28"/>
          <w:lang w:bidi="ar"/>
        </w:rPr>
        <w:t>3</w:t>
      </w:r>
      <w:r>
        <w:rPr>
          <w:rFonts w:hint="eastAsia" w:ascii="仿宋_GB2312" w:hAnsi="宋体" w:eastAsia="仿宋" w:cs="仿宋_GB2312"/>
          <w:sz w:val="32"/>
          <w:szCs w:val="28"/>
          <w:lang w:bidi="ar"/>
        </w:rPr>
        <w:t>个考核项目开展了审核工作，</w:t>
      </w:r>
      <w:r>
        <w:rPr>
          <w:rFonts w:ascii="仿宋_GB2312" w:hAnsi="宋体" w:eastAsia="仿宋" w:cs="仿宋_GB2312"/>
          <w:sz w:val="32"/>
          <w:szCs w:val="28"/>
          <w:lang w:bidi="ar"/>
        </w:rPr>
        <w:t>7</w:t>
      </w:r>
      <w:r>
        <w:rPr>
          <w:rFonts w:hint="eastAsia" w:ascii="仿宋_GB2312" w:hAnsi="宋体" w:eastAsia="仿宋" w:cs="仿宋_GB2312"/>
          <w:sz w:val="32"/>
          <w:szCs w:val="28"/>
          <w:lang w:bidi="ar"/>
        </w:rPr>
        <w:t>个考核项目管理制度健全，管理过程科学规范。1</w:t>
      </w:r>
      <w:r>
        <w:rPr>
          <w:rFonts w:ascii="仿宋_GB2312" w:hAnsi="宋体" w:eastAsia="仿宋" w:cs="仿宋_GB2312"/>
          <w:sz w:val="32"/>
          <w:szCs w:val="28"/>
          <w:lang w:bidi="ar"/>
        </w:rPr>
        <w:t>6</w:t>
      </w:r>
      <w:r>
        <w:rPr>
          <w:rFonts w:hint="eastAsia" w:ascii="仿宋_GB2312" w:hAnsi="宋体" w:eastAsia="仿宋" w:cs="仿宋_GB2312"/>
          <w:sz w:val="32"/>
          <w:szCs w:val="28"/>
          <w:lang w:bidi="ar"/>
        </w:rPr>
        <w:t>个考核项目执行不太规范，详见下表：</w:t>
      </w:r>
    </w:p>
    <w:p>
      <w:pPr>
        <w:spacing w:line="560" w:lineRule="exact"/>
        <w:jc w:val="center"/>
        <w:rPr>
          <w:rFonts w:ascii="仿宋_GB2312" w:hAnsi="宋体" w:eastAsia="仿宋" w:cs="仿宋_GB2312"/>
          <w:sz w:val="32"/>
          <w:szCs w:val="28"/>
          <w:lang w:bidi="ar"/>
        </w:rPr>
      </w:pPr>
      <w:r>
        <w:rPr>
          <w:rFonts w:hint="eastAsia" w:ascii="仿宋_GB2312" w:hAnsi="宋体" w:eastAsia="仿宋" w:cs="仿宋_GB2312"/>
          <w:bCs/>
          <w:sz w:val="32"/>
          <w:lang w:bidi="ar"/>
        </w:rPr>
        <w:t>项目执行情况表</w:t>
      </w:r>
    </w:p>
    <w:tbl>
      <w:tblPr>
        <w:tblStyle w:val="15"/>
        <w:tblW w:w="0" w:type="auto"/>
        <w:tblInd w:w="0" w:type="dxa"/>
        <w:tblBorders>
          <w:top w:val="single" w:color="auto" w:sz="8" w:space="0"/>
          <w:left w:val="none" w:color="auto" w:sz="0" w:space="0"/>
          <w:bottom w:val="single" w:color="auto" w:sz="8"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891"/>
        <w:gridCol w:w="4297"/>
        <w:gridCol w:w="3814"/>
      </w:tblGrid>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rPr>
          <w:tblHeader/>
        </w:trPr>
        <w:tc>
          <w:tcPr>
            <w:tcW w:w="891" w:type="dxa"/>
            <w:shd w:val="clear" w:color="auto" w:fill="auto"/>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序号</w:t>
            </w:r>
          </w:p>
        </w:tc>
        <w:tc>
          <w:tcPr>
            <w:tcW w:w="4297" w:type="dxa"/>
            <w:shd w:val="clear" w:color="auto" w:fill="auto"/>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项目名称</w:t>
            </w:r>
          </w:p>
        </w:tc>
        <w:tc>
          <w:tcPr>
            <w:tcW w:w="3814" w:type="dxa"/>
            <w:shd w:val="clear" w:color="auto" w:fill="auto"/>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问题</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2018年第四批新增地方政府债券资金</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合同在中标通知书发出之前签订、验收手续不全</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松岗柯盘天街景区标识标牌制作和安装项目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未制定相关制度、管理办法</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3</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2019年中央专项彩票公益金支出贫困革命老区脱贫攻坚资金建设项目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未制定相关制度、管理办法</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4</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草原防灭火项目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未制定相关制度、管理办法</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5</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地质灾害综合防治体系建设项目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合同签订不规范</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6</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2019年革命老区转移支付项目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未制定相关制度、管理办法</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7</w:t>
            </w:r>
          </w:p>
        </w:tc>
        <w:tc>
          <w:tcPr>
            <w:tcW w:w="4297" w:type="dxa"/>
            <w:shd w:val="clear" w:color="auto" w:fill="auto"/>
          </w:tcPr>
          <w:p>
            <w:pPr>
              <w:tabs>
                <w:tab w:val="left" w:pos="2989"/>
              </w:tabs>
              <w:spacing w:line="560" w:lineRule="exact"/>
              <w:rPr>
                <w:rFonts w:ascii="仿宋_GB2312" w:hAnsi="宋体" w:eastAsia="仿宋" w:cs="仿宋_GB2312"/>
                <w:sz w:val="32"/>
                <w:lang w:bidi="ar"/>
              </w:rPr>
            </w:pPr>
            <w:r>
              <w:rPr>
                <w:rFonts w:ascii="仿宋_GB2312" w:hAnsi="宋体" w:eastAsia="仿宋" w:cs="仿宋_GB2312"/>
                <w:sz w:val="32"/>
                <w:lang w:bidi="ar"/>
              </w:rPr>
              <w:t>党坝乡地拉秋村跨河大桥建设项目</w:t>
            </w:r>
          </w:p>
        </w:tc>
        <w:tc>
          <w:tcPr>
            <w:tcW w:w="3814" w:type="dxa"/>
            <w:shd w:val="clear" w:color="auto" w:fill="auto"/>
          </w:tcPr>
          <w:p>
            <w:pPr>
              <w:tabs>
                <w:tab w:val="left" w:pos="2989"/>
              </w:tabs>
              <w:spacing w:line="560" w:lineRule="exact"/>
              <w:rPr>
                <w:rFonts w:ascii="仿宋_GB2312" w:hAnsi="宋体" w:eastAsia="仿宋" w:cs="仿宋_GB2312"/>
                <w:sz w:val="32"/>
                <w:lang w:bidi="ar"/>
              </w:rPr>
            </w:pPr>
            <w:r>
              <w:rPr>
                <w:rFonts w:ascii="仿宋_GB2312" w:hAnsi="宋体" w:eastAsia="仿宋" w:cs="仿宋_GB2312"/>
                <w:sz w:val="32"/>
                <w:lang w:bidi="ar"/>
              </w:rPr>
              <w:t>未制定相关制度、管理办法</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8</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2018-2019年粮食低温储备库建设项目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未制定相关制度、管理办法</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9</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马尔康市城市设计项目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未在规定时间内签订合同</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10</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马尔康市第四小学会议室办公设备及学生生活设备项目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未按询价文件约定时间签订合同及完成验收</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11</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农牧林产品加工物流园区产业扶持项目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未制定相关制度、管理办法</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12</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马尔康市第四小学会议室办公设备及学生生活设备项目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未按立项文件批复建设工期实施项目</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13</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中共马尔康市委宣传部马尔康市融媒体中心建设项目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合同签订不规范、合同内容前后矛盾</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14</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松岗村旅游综合服务设施项目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未制定相关制度、管理办法</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15</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2019年农村教师周转宿舍建设省级补助资金项目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未按立项文件要求公开招标、合同开始设计日期早于中标通知书时间</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16</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夜景照明工程项目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未制定相关制度、管理办法</w:t>
            </w:r>
          </w:p>
        </w:tc>
      </w:tr>
    </w:tbl>
    <w:p>
      <w:pPr>
        <w:pStyle w:val="40"/>
        <w:spacing w:before="156" w:after="156" w:line="560" w:lineRule="exact"/>
        <w:ind w:firstLine="640"/>
        <w:rPr>
          <w:rFonts w:hint="eastAsia" w:ascii="仿宋_GB2312" w:hAnsi="仿宋_GB2312" w:eastAsia="仿宋" w:cs="仿宋_GB2312"/>
          <w:b w:val="0"/>
          <w:color w:val="auto"/>
          <w:sz w:val="32"/>
          <w:szCs w:val="28"/>
        </w:rPr>
      </w:pPr>
      <w:bookmarkStart w:id="32" w:name="_Toc26631"/>
      <w:r>
        <w:rPr>
          <w:rFonts w:hint="eastAsia" w:ascii="仿宋_GB2312" w:hAnsi="仿宋_GB2312" w:eastAsia="仿宋" w:cs="仿宋_GB2312"/>
          <w:b w:val="0"/>
          <w:color w:val="auto"/>
          <w:sz w:val="32"/>
          <w:szCs w:val="28"/>
        </w:rPr>
        <w:t>——产出及效果分析</w:t>
      </w:r>
      <w:bookmarkEnd w:id="30"/>
      <w:bookmarkEnd w:id="32"/>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该指标</w:t>
      </w:r>
      <w:r>
        <w:rPr>
          <w:rFonts w:ascii="仿宋_GB2312" w:hAnsi="宋体" w:eastAsia="仿宋" w:cs="仿宋_GB2312"/>
          <w:sz w:val="32"/>
          <w:szCs w:val="28"/>
          <w:lang w:bidi="ar"/>
        </w:rPr>
        <w:t>权重为</w:t>
      </w:r>
      <w:r>
        <w:rPr>
          <w:rFonts w:hint="eastAsia" w:ascii="仿宋_GB2312" w:hAnsi="宋体" w:eastAsia="仿宋" w:cs="仿宋_GB2312"/>
          <w:sz w:val="32"/>
          <w:szCs w:val="28"/>
          <w:lang w:bidi="ar"/>
        </w:rPr>
        <w:t>70.00</w:t>
      </w:r>
      <w:r>
        <w:rPr>
          <w:rFonts w:ascii="仿宋_GB2312" w:hAnsi="宋体" w:eastAsia="仿宋" w:cs="仿宋_GB2312"/>
          <w:sz w:val="32"/>
          <w:szCs w:val="28"/>
          <w:lang w:bidi="ar"/>
        </w:rPr>
        <w:t>分</w:t>
      </w:r>
      <w:r>
        <w:rPr>
          <w:rFonts w:hint="eastAsia" w:ascii="仿宋_GB2312" w:hAnsi="宋体" w:eastAsia="仿宋" w:cs="仿宋_GB2312"/>
          <w:sz w:val="32"/>
          <w:szCs w:val="28"/>
          <w:lang w:bidi="ar"/>
        </w:rPr>
        <w:t>，实得</w:t>
      </w:r>
      <w:r>
        <w:rPr>
          <w:rFonts w:ascii="仿宋_GB2312" w:hAnsi="宋体" w:eastAsia="仿宋" w:cs="仿宋_GB2312"/>
          <w:sz w:val="32"/>
          <w:szCs w:val="28"/>
          <w:lang w:bidi="ar"/>
        </w:rPr>
        <w:t>57.48</w:t>
      </w:r>
      <w:r>
        <w:rPr>
          <w:rFonts w:hint="eastAsia" w:ascii="仿宋_GB2312" w:hAnsi="宋体" w:eastAsia="仿宋" w:cs="仿宋_GB2312"/>
          <w:sz w:val="32"/>
          <w:szCs w:val="28"/>
          <w:lang w:bidi="ar"/>
        </w:rPr>
        <w:t>分</w:t>
      </w:r>
      <w:r>
        <w:rPr>
          <w:rFonts w:ascii="仿宋_GB2312" w:hAnsi="宋体" w:eastAsia="仿宋" w:cs="仿宋_GB2312"/>
          <w:sz w:val="32"/>
          <w:szCs w:val="28"/>
          <w:lang w:bidi="ar"/>
        </w:rPr>
        <w:t>，用于考察项目</w:t>
      </w:r>
      <w:r>
        <w:rPr>
          <w:rFonts w:hint="eastAsia" w:ascii="仿宋_GB2312" w:hAnsi="宋体" w:eastAsia="仿宋" w:cs="仿宋_GB2312"/>
          <w:sz w:val="32"/>
          <w:szCs w:val="28"/>
          <w:lang w:bidi="ar"/>
        </w:rPr>
        <w:t>完成情况、效益产出情况、受益对象满意度。</w:t>
      </w:r>
    </w:p>
    <w:p>
      <w:pPr>
        <w:spacing w:line="560" w:lineRule="exact"/>
        <w:ind w:firstLine="560"/>
        <w:rPr>
          <w:rFonts w:ascii="仿宋_GB2312" w:hAnsi="宋体" w:eastAsia="仿宋" w:cs="仿宋_GB2312"/>
          <w:sz w:val="32"/>
          <w:szCs w:val="28"/>
          <w:lang w:bidi="ar"/>
        </w:rPr>
      </w:pPr>
      <w:r>
        <w:rPr>
          <w:rFonts w:ascii="仿宋_GB2312" w:hAnsi="宋体" w:eastAsia="仿宋" w:cs="仿宋_GB2312"/>
          <w:sz w:val="32"/>
          <w:szCs w:val="28"/>
          <w:lang w:bidi="ar"/>
        </w:rPr>
        <w:t>具体评价指标和得分情况如下：</w:t>
      </w:r>
    </w:p>
    <w:p>
      <w:pPr>
        <w:spacing w:line="560" w:lineRule="exact"/>
        <w:ind w:firstLine="482"/>
        <w:jc w:val="center"/>
        <w:rPr>
          <w:rFonts w:ascii="仿宋_GB2312" w:hAnsi="宋体" w:eastAsia="仿宋" w:cs="仿宋_GB2312"/>
          <w:bCs/>
          <w:sz w:val="32"/>
          <w:lang w:bidi="ar"/>
        </w:rPr>
      </w:pPr>
      <w:r>
        <w:rPr>
          <w:rFonts w:hint="eastAsia" w:ascii="仿宋_GB2312" w:hAnsi="宋体" w:eastAsia="仿宋" w:cs="仿宋_GB2312"/>
          <w:bCs/>
          <w:sz w:val="32"/>
          <w:lang w:bidi="ar"/>
        </w:rPr>
        <w:t>表9项目效果类指标得分情况汇总表</w:t>
      </w:r>
    </w:p>
    <w:tbl>
      <w:tblPr>
        <w:tblStyle w:val="15"/>
        <w:tblpPr w:leftFromText="180" w:rightFromText="180" w:vertAnchor="text" w:horzAnchor="page" w:tblpXSpec="center" w:tblpY="40"/>
        <w:tblOverlap w:val="never"/>
        <w:tblW w:w="5000"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629"/>
        <w:gridCol w:w="2483"/>
        <w:gridCol w:w="2423"/>
        <w:gridCol w:w="246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blHeader/>
          <w:jc w:val="center"/>
        </w:trPr>
        <w:tc>
          <w:tcPr>
            <w:tcW w:w="905"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指标</w:t>
            </w:r>
          </w:p>
        </w:tc>
        <w:tc>
          <w:tcPr>
            <w:tcW w:w="1379"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权重</w:t>
            </w:r>
          </w:p>
        </w:tc>
        <w:tc>
          <w:tcPr>
            <w:tcW w:w="1346"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w:t>
            </w:r>
          </w:p>
        </w:tc>
        <w:tc>
          <w:tcPr>
            <w:tcW w:w="1370"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905" w:type="pct"/>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项目效果</w:t>
            </w:r>
          </w:p>
        </w:tc>
        <w:tc>
          <w:tcPr>
            <w:tcW w:w="1379"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70.00</w:t>
            </w:r>
          </w:p>
        </w:tc>
        <w:tc>
          <w:tcPr>
            <w:tcW w:w="1346"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57.48</w:t>
            </w:r>
          </w:p>
        </w:tc>
        <w:tc>
          <w:tcPr>
            <w:tcW w:w="1370"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82.11%</w:t>
            </w:r>
          </w:p>
        </w:tc>
      </w:tr>
    </w:tbl>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项目完成方面：</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共</w:t>
      </w:r>
      <w:r>
        <w:rPr>
          <w:rFonts w:ascii="仿宋_GB2312" w:hAnsi="宋体" w:eastAsia="仿宋" w:cs="仿宋_GB2312"/>
          <w:sz w:val="32"/>
          <w:szCs w:val="28"/>
          <w:lang w:bidi="ar"/>
        </w:rPr>
        <w:t>11</w:t>
      </w:r>
      <w:r>
        <w:rPr>
          <w:rFonts w:hint="eastAsia" w:ascii="仿宋_GB2312" w:hAnsi="宋体" w:eastAsia="仿宋" w:cs="仿宋_GB2312"/>
          <w:sz w:val="32"/>
          <w:szCs w:val="28"/>
          <w:lang w:bidi="ar"/>
        </w:rPr>
        <w:t>个考核项目实际完成任务量达到绩效目标设定任务量，1</w:t>
      </w:r>
      <w:r>
        <w:rPr>
          <w:rFonts w:ascii="仿宋_GB2312" w:hAnsi="宋体" w:eastAsia="仿宋" w:cs="仿宋_GB2312"/>
          <w:sz w:val="32"/>
          <w:szCs w:val="28"/>
          <w:lang w:bidi="ar"/>
        </w:rPr>
        <w:t>2</w:t>
      </w:r>
      <w:r>
        <w:rPr>
          <w:rFonts w:hint="eastAsia" w:ascii="仿宋_GB2312" w:hAnsi="宋体" w:eastAsia="仿宋" w:cs="仿宋_GB2312"/>
          <w:sz w:val="32"/>
          <w:szCs w:val="28"/>
          <w:lang w:bidi="ar"/>
        </w:rPr>
        <w:t>个考核项目实际完成任务量未达到绩效目标设定任务量，详见下表：</w:t>
      </w:r>
    </w:p>
    <w:p>
      <w:pPr>
        <w:spacing w:line="560" w:lineRule="exact"/>
        <w:ind w:firstLine="482"/>
        <w:jc w:val="center"/>
        <w:rPr>
          <w:rFonts w:hint="eastAsia" w:ascii="仿宋_GB2312" w:hAnsi="宋体" w:eastAsia="仿宋" w:cs="仿宋_GB2312"/>
          <w:sz w:val="32"/>
          <w:szCs w:val="28"/>
          <w:lang w:bidi="ar"/>
        </w:rPr>
      </w:pPr>
      <w:r>
        <w:rPr>
          <w:rFonts w:hint="eastAsia" w:ascii="仿宋_GB2312" w:hAnsi="宋体" w:eastAsia="仿宋" w:cs="仿宋_GB2312"/>
          <w:bCs/>
          <w:sz w:val="32"/>
          <w:lang w:bidi="ar"/>
        </w:rPr>
        <w:t>项目完成数量情况表</w:t>
      </w:r>
    </w:p>
    <w:tbl>
      <w:tblPr>
        <w:tblStyle w:val="15"/>
        <w:tblW w:w="0" w:type="auto"/>
        <w:tblInd w:w="0" w:type="dxa"/>
        <w:tblBorders>
          <w:top w:val="single" w:color="auto" w:sz="8" w:space="0"/>
          <w:left w:val="none" w:color="auto" w:sz="0" w:space="0"/>
          <w:bottom w:val="single" w:color="auto" w:sz="8"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891"/>
        <w:gridCol w:w="4297"/>
        <w:gridCol w:w="3814"/>
      </w:tblGrid>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rPr>
          <w:tblHeader/>
        </w:trPr>
        <w:tc>
          <w:tcPr>
            <w:tcW w:w="891" w:type="dxa"/>
            <w:shd w:val="clear" w:color="auto" w:fill="auto"/>
          </w:tcPr>
          <w:p>
            <w:pPr>
              <w:spacing w:line="560" w:lineRule="exact"/>
              <w:jc w:val="center"/>
              <w:rPr>
                <w:rFonts w:ascii="仿宋_GB2312" w:hAnsi="宋体" w:eastAsia="仿宋" w:cs="仿宋_GB2312"/>
                <w:bCs/>
                <w:sz w:val="32"/>
                <w:lang w:bidi="ar"/>
              </w:rPr>
            </w:pPr>
            <w:bookmarkStart w:id="33" w:name="_Hlk57716411"/>
            <w:r>
              <w:rPr>
                <w:rFonts w:ascii="仿宋_GB2312" w:hAnsi="宋体" w:eastAsia="仿宋" w:cs="仿宋_GB2312"/>
                <w:bCs/>
                <w:sz w:val="32"/>
                <w:lang w:bidi="ar"/>
              </w:rPr>
              <w:t>序号</w:t>
            </w:r>
          </w:p>
        </w:tc>
        <w:tc>
          <w:tcPr>
            <w:tcW w:w="4297" w:type="dxa"/>
            <w:shd w:val="clear" w:color="auto" w:fill="auto"/>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项目名称</w:t>
            </w:r>
          </w:p>
        </w:tc>
        <w:tc>
          <w:tcPr>
            <w:tcW w:w="3814" w:type="dxa"/>
            <w:shd w:val="clear" w:color="auto" w:fill="auto"/>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问题</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松岗柯盘天街景区标识标牌制作和安装项目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项目主要建设内容为景区基础设施（标识标牌设计制作及安装）、新建步游道5000米及厕所1座，实际完成标识标牌设计制作及安装，步游道及厕所尚未实施</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2019年中央专项彩票公益金支出贫困革命老区脱贫攻坚资金建设项目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项目未完工</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3</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地质灾害综合防治体系建设项目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5个子项目数量未完成</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4</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2019年革命老区转移支付项目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西索村活动室建设项目项目未完工或民族教育基地设施设备采购、西索村民居大桥建设、西索村导视牌、展示牌安装、政府背面、西索村二组绿化尚未实施</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5</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看守拘留所建设项目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看守所、拘留所项目尚未完工</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6</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2018-2019年粮食低温储备库建设项目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本项目需安装LF10D低温机组9台、变压器1台，实际已完成安装LF10D低温机组9台</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7</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马尔康市城市设计项目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完成调研阶段、初步方案阶段，评审方案阶段、最终成果阶段未完成</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8</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热水系统（太阳能）项目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项目未完成。</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9</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中共马尔康市委宣传部马尔康市融媒体中心建设项目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2019年未通过验收，系指挥墙建设未完成、醉美马尔康APP功能模块有待完善</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10</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松岗天街配套基础设施建设项目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部分项目数量未完成，其中：停车场植草砖预计完成2000</w:t>
            </w:r>
            <w:r>
              <w:rPr>
                <w:rFonts w:ascii="Segoe UI Symbol" w:hAnsi="Segoe UI Symbol" w:eastAsia="仿宋" w:cs="Segoe UI Symbol"/>
                <w:sz w:val="32"/>
                <w:lang w:bidi="ar"/>
              </w:rPr>
              <w:t>㎡</w:t>
            </w:r>
            <w:r>
              <w:rPr>
                <w:rFonts w:ascii="宋体" w:hAnsi="宋体" w:eastAsia="仿宋" w:cs="宋体"/>
                <w:sz w:val="32"/>
                <w:lang w:bidi="ar"/>
              </w:rPr>
              <w:t>，实际完成1200㎡；景区道路预计完成180米，实际完成135米；土方回填预计完成15000m³，实际完成1200m³；景区栏杆预计完成400米，实际完成371米</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11</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乡村振兴项目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验收意见无对工程量的验收，无法比对实施方案批复内容与实际完工内容是否相符</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12</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重要道路绿化设计及城区绿化提升项目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未提供实际完成数量数据，无法判断完成数量情况</w:t>
            </w:r>
          </w:p>
        </w:tc>
      </w:tr>
      <w:bookmarkEnd w:id="33"/>
    </w:tbl>
    <w:p>
      <w:pPr>
        <w:spacing w:line="560" w:lineRule="exact"/>
        <w:ind w:firstLine="560"/>
        <w:rPr>
          <w:rFonts w:hint="eastAsia" w:ascii="仿宋_GB2312" w:hAnsi="宋体" w:eastAsia="仿宋" w:cs="仿宋_GB2312"/>
          <w:bCs/>
          <w:sz w:val="32"/>
          <w:lang w:bidi="ar"/>
        </w:rPr>
      </w:pPr>
      <w:r>
        <w:rPr>
          <w:rFonts w:ascii="仿宋_GB2312" w:hAnsi="宋体" w:eastAsia="仿宋" w:cs="仿宋_GB2312"/>
          <w:sz w:val="32"/>
          <w:szCs w:val="28"/>
          <w:lang w:bidi="ar"/>
        </w:rPr>
        <w:t>1</w:t>
      </w:r>
      <w:r>
        <w:rPr>
          <w:rFonts w:hint="eastAsia" w:ascii="仿宋_GB2312" w:hAnsi="宋体" w:eastAsia="仿宋" w:cs="仿宋_GB2312"/>
          <w:sz w:val="32"/>
          <w:szCs w:val="28"/>
          <w:lang w:bidi="ar"/>
        </w:rPr>
        <w:t>2个考核项目符合绩效目标设定的验收标准，达到行业基准水平；</w:t>
      </w:r>
      <w:r>
        <w:rPr>
          <w:rFonts w:ascii="仿宋_GB2312" w:hAnsi="宋体" w:eastAsia="仿宋" w:cs="仿宋_GB2312"/>
          <w:sz w:val="32"/>
          <w:szCs w:val="28"/>
          <w:lang w:bidi="ar"/>
        </w:rPr>
        <w:t>11</w:t>
      </w:r>
      <w:r>
        <w:rPr>
          <w:rFonts w:hint="eastAsia" w:ascii="仿宋_GB2312" w:hAnsi="宋体" w:eastAsia="仿宋" w:cs="仿宋_GB2312"/>
          <w:sz w:val="32"/>
          <w:szCs w:val="28"/>
          <w:lang w:bidi="ar"/>
        </w:rPr>
        <w:t>个考核项目存在质量问题，详见下表：</w:t>
      </w:r>
    </w:p>
    <w:p>
      <w:pPr>
        <w:spacing w:line="560" w:lineRule="exact"/>
        <w:ind w:firstLine="482"/>
        <w:jc w:val="center"/>
        <w:rPr>
          <w:rFonts w:hint="eastAsia" w:ascii="仿宋_GB2312" w:hAnsi="宋体" w:eastAsia="仿宋" w:cs="仿宋_GB2312"/>
          <w:sz w:val="32"/>
          <w:szCs w:val="28"/>
          <w:lang w:bidi="ar"/>
        </w:rPr>
      </w:pPr>
      <w:bookmarkStart w:id="34" w:name="_Hlk57716377"/>
      <w:r>
        <w:rPr>
          <w:rFonts w:hint="eastAsia" w:ascii="仿宋_GB2312" w:hAnsi="宋体" w:eastAsia="仿宋" w:cs="仿宋_GB2312"/>
          <w:bCs/>
          <w:sz w:val="32"/>
          <w:lang w:bidi="ar"/>
        </w:rPr>
        <w:t>项目完成质量情况表</w:t>
      </w:r>
    </w:p>
    <w:bookmarkEnd w:id="34"/>
    <w:tbl>
      <w:tblPr>
        <w:tblStyle w:val="15"/>
        <w:tblW w:w="0" w:type="auto"/>
        <w:tblInd w:w="0" w:type="dxa"/>
        <w:tblBorders>
          <w:top w:val="single" w:color="auto" w:sz="8" w:space="0"/>
          <w:left w:val="none" w:color="auto" w:sz="0" w:space="0"/>
          <w:bottom w:val="single" w:color="auto" w:sz="8"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891"/>
        <w:gridCol w:w="4297"/>
        <w:gridCol w:w="3814"/>
      </w:tblGrid>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rPr>
          <w:tblHeader/>
        </w:trPr>
        <w:tc>
          <w:tcPr>
            <w:tcW w:w="891" w:type="dxa"/>
            <w:shd w:val="clear" w:color="auto" w:fill="auto"/>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序号</w:t>
            </w:r>
          </w:p>
        </w:tc>
        <w:tc>
          <w:tcPr>
            <w:tcW w:w="4297" w:type="dxa"/>
            <w:shd w:val="clear" w:color="auto" w:fill="auto"/>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项目名称</w:t>
            </w:r>
          </w:p>
        </w:tc>
        <w:tc>
          <w:tcPr>
            <w:tcW w:w="3814" w:type="dxa"/>
            <w:shd w:val="clear" w:color="auto" w:fill="auto"/>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问题</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2018年第四批新增地方政府债券资金</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未见3辆垃圾车验收资料</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2019年中央专项彩票公益金支出贫困革命老区脱贫攻坚资金建设项目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项目未完工，还未验收</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3</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2019年革命老区转移支付项目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西索村活动室建设项目项目未完工或民族教育基地设施设备采购、西索村民居大桥建设、西索村导视牌、展示牌安装、政府背面、西索村二组绿化尚未实施，未进行验收</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4</w:t>
            </w:r>
          </w:p>
        </w:tc>
        <w:tc>
          <w:tcPr>
            <w:tcW w:w="4297" w:type="dxa"/>
            <w:shd w:val="clear" w:color="auto" w:fill="auto"/>
          </w:tcPr>
          <w:p>
            <w:pPr>
              <w:tabs>
                <w:tab w:val="left" w:pos="2989"/>
              </w:tabs>
              <w:spacing w:line="560" w:lineRule="exact"/>
              <w:rPr>
                <w:rFonts w:ascii="仿宋_GB2312" w:hAnsi="宋体" w:eastAsia="仿宋" w:cs="仿宋_GB2312"/>
                <w:sz w:val="32"/>
                <w:lang w:bidi="ar"/>
              </w:rPr>
            </w:pPr>
            <w:r>
              <w:rPr>
                <w:rFonts w:ascii="仿宋_GB2312" w:hAnsi="宋体" w:eastAsia="仿宋" w:cs="仿宋_GB2312"/>
                <w:sz w:val="32"/>
                <w:lang w:bidi="ar"/>
              </w:rPr>
              <w:t>看守拘留所建设项目</w:t>
            </w:r>
          </w:p>
        </w:tc>
        <w:tc>
          <w:tcPr>
            <w:tcW w:w="3814" w:type="dxa"/>
            <w:shd w:val="clear" w:color="auto" w:fill="auto"/>
          </w:tcPr>
          <w:p>
            <w:pPr>
              <w:tabs>
                <w:tab w:val="left" w:pos="2989"/>
              </w:tabs>
              <w:spacing w:line="560" w:lineRule="exact"/>
              <w:rPr>
                <w:rFonts w:ascii="仿宋_GB2312" w:hAnsi="宋体" w:eastAsia="仿宋" w:cs="仿宋_GB2312"/>
                <w:sz w:val="32"/>
                <w:lang w:bidi="ar"/>
              </w:rPr>
            </w:pPr>
            <w:r>
              <w:rPr>
                <w:rFonts w:ascii="仿宋_GB2312" w:hAnsi="宋体" w:eastAsia="仿宋" w:cs="仿宋_GB2312"/>
                <w:sz w:val="32"/>
                <w:lang w:bidi="ar"/>
              </w:rPr>
              <w:t>看守所、拘留所项目尚未完工</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5</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2018-2019年粮食低温储备库建设项目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尚未组织验收</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6</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马尔康市城市设计项目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 xml:space="preserve">项目未完工，已完成部分验收通过 </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7</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农牧林产品加工物流园区产业扶持项目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项目未进行验收</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8</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热水系统（太阳能）项目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未按照立项批复工期按时完工验收</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9</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中共马尔康市委宣传部马尔康市融媒体中心建设项目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2019年未通过验收，系指挥墙建设未完成、醉美马尔康APP功能模块有待完善</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10</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2019年农村教师周转宿舍建设省级补助资金项目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尚未完成21套周转宿舍、附属设施、配套设备修建</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11</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重要道路绿化设计及城区绿化提升项目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施工过程中存在急弯弯道种树、林下植树等违背技术规程的情况，以及施工单位管理涣散、擅自扩大栽植范围、苗木质量不达标、种植土质量不达标等问题</w:t>
            </w:r>
          </w:p>
        </w:tc>
      </w:tr>
    </w:tbl>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7个考核项目实际完成时间在绩效目标设定完成时间内，1</w:t>
      </w:r>
      <w:r>
        <w:rPr>
          <w:rFonts w:ascii="仿宋_GB2312" w:hAnsi="宋体" w:eastAsia="仿宋" w:cs="仿宋_GB2312"/>
          <w:sz w:val="32"/>
          <w:szCs w:val="28"/>
          <w:lang w:bidi="ar"/>
        </w:rPr>
        <w:t>6</w:t>
      </w:r>
      <w:r>
        <w:rPr>
          <w:rFonts w:hint="eastAsia" w:ascii="仿宋_GB2312" w:hAnsi="宋体" w:eastAsia="仿宋" w:cs="仿宋_GB2312"/>
          <w:sz w:val="32"/>
          <w:szCs w:val="28"/>
          <w:lang w:bidi="ar"/>
        </w:rPr>
        <w:t>个考核项目实际完成时间未在绩效目标设定完成时间内或计划时间不明确，详见下表：</w:t>
      </w:r>
    </w:p>
    <w:p>
      <w:pPr>
        <w:spacing w:line="560" w:lineRule="exact"/>
        <w:jc w:val="center"/>
        <w:rPr>
          <w:rFonts w:ascii="仿宋_GB2312" w:hAnsi="宋体" w:eastAsia="仿宋" w:cs="仿宋_GB2312"/>
          <w:sz w:val="32"/>
          <w:szCs w:val="28"/>
          <w:lang w:bidi="ar"/>
        </w:rPr>
      </w:pPr>
      <w:r>
        <w:rPr>
          <w:rFonts w:hint="eastAsia" w:ascii="仿宋_GB2312" w:hAnsi="宋体" w:eastAsia="仿宋" w:cs="仿宋_GB2312"/>
          <w:bCs/>
          <w:sz w:val="32"/>
          <w:lang w:bidi="ar"/>
        </w:rPr>
        <w:t>项目完成时效情况表</w:t>
      </w:r>
    </w:p>
    <w:tbl>
      <w:tblPr>
        <w:tblStyle w:val="15"/>
        <w:tblW w:w="0" w:type="auto"/>
        <w:tblInd w:w="0" w:type="dxa"/>
        <w:tblBorders>
          <w:top w:val="single" w:color="auto" w:sz="8" w:space="0"/>
          <w:left w:val="none" w:color="auto" w:sz="0" w:space="0"/>
          <w:bottom w:val="single" w:color="auto" w:sz="8"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891"/>
        <w:gridCol w:w="4297"/>
        <w:gridCol w:w="3814"/>
      </w:tblGrid>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rPr>
          <w:tblHeader/>
        </w:trPr>
        <w:tc>
          <w:tcPr>
            <w:tcW w:w="891" w:type="dxa"/>
            <w:shd w:val="clear" w:color="auto" w:fill="auto"/>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序号</w:t>
            </w:r>
          </w:p>
        </w:tc>
        <w:tc>
          <w:tcPr>
            <w:tcW w:w="4297" w:type="dxa"/>
            <w:shd w:val="clear" w:color="auto" w:fill="auto"/>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项目名称</w:t>
            </w:r>
          </w:p>
        </w:tc>
        <w:tc>
          <w:tcPr>
            <w:tcW w:w="3814" w:type="dxa"/>
            <w:shd w:val="clear" w:color="auto" w:fill="auto"/>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问题</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阿底村防洪堤项目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项目未按照立项批复时间及时完工</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松岗柯盘天街景区标识标牌制作和安装项目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未设置完成时效目标</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3</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2019年中央专项彩票公益金支出贫困革命老区脱贫攻坚资金建设项目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经批复建设年限为2018年至2019年，截至2020年8月31日，工程尚未完工</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4</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草原防灭火项目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较批复建设期限延期8个月完工</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5</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2019年革命老区转移支付项目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西索村活动室建设项目项目未完工或民族教育基地设施设备采购、西索村民居大桥建设、西索村导视牌、展示牌安装、政府背面、西索村二组绿化尚未实施</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6</w:t>
            </w:r>
          </w:p>
        </w:tc>
        <w:tc>
          <w:tcPr>
            <w:tcW w:w="4297" w:type="dxa"/>
            <w:shd w:val="clear" w:color="auto" w:fill="auto"/>
          </w:tcPr>
          <w:p>
            <w:pPr>
              <w:tabs>
                <w:tab w:val="left" w:pos="2989"/>
              </w:tabs>
              <w:spacing w:line="560" w:lineRule="exact"/>
              <w:rPr>
                <w:rFonts w:ascii="仿宋_GB2312" w:hAnsi="宋体" w:eastAsia="仿宋" w:cs="仿宋_GB2312"/>
                <w:sz w:val="32"/>
                <w:lang w:bidi="ar"/>
              </w:rPr>
            </w:pPr>
            <w:r>
              <w:rPr>
                <w:rFonts w:ascii="仿宋_GB2312" w:hAnsi="宋体" w:eastAsia="仿宋" w:cs="仿宋_GB2312"/>
                <w:sz w:val="32"/>
                <w:lang w:bidi="ar"/>
              </w:rPr>
              <w:t>看守拘留所建设项目</w:t>
            </w:r>
          </w:p>
        </w:tc>
        <w:tc>
          <w:tcPr>
            <w:tcW w:w="3814" w:type="dxa"/>
            <w:shd w:val="clear" w:color="auto" w:fill="auto"/>
          </w:tcPr>
          <w:p>
            <w:pPr>
              <w:tabs>
                <w:tab w:val="left" w:pos="2989"/>
              </w:tabs>
              <w:spacing w:line="560" w:lineRule="exact"/>
              <w:rPr>
                <w:rFonts w:ascii="仿宋_GB2312" w:hAnsi="宋体" w:eastAsia="仿宋" w:cs="仿宋_GB2312"/>
                <w:sz w:val="32"/>
                <w:lang w:bidi="ar"/>
              </w:rPr>
            </w:pPr>
            <w:r>
              <w:rPr>
                <w:rFonts w:ascii="仿宋_GB2312" w:hAnsi="宋体" w:eastAsia="仿宋" w:cs="仿宋_GB2312"/>
                <w:sz w:val="32"/>
                <w:lang w:bidi="ar"/>
              </w:rPr>
              <w:t>看守所、拘留所项目尚未完工</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7</w:t>
            </w:r>
          </w:p>
        </w:tc>
        <w:tc>
          <w:tcPr>
            <w:tcW w:w="4297" w:type="dxa"/>
            <w:shd w:val="clear" w:color="auto" w:fill="auto"/>
          </w:tcPr>
          <w:p>
            <w:pPr>
              <w:tabs>
                <w:tab w:val="left" w:pos="2989"/>
              </w:tabs>
              <w:spacing w:line="560" w:lineRule="exact"/>
              <w:rPr>
                <w:rFonts w:ascii="仿宋_GB2312" w:hAnsi="宋体" w:eastAsia="仿宋" w:cs="仿宋_GB2312"/>
                <w:sz w:val="32"/>
                <w:lang w:bidi="ar"/>
              </w:rPr>
            </w:pPr>
            <w:r>
              <w:rPr>
                <w:rFonts w:ascii="仿宋_GB2312" w:hAnsi="宋体" w:eastAsia="仿宋" w:cs="仿宋_GB2312"/>
                <w:sz w:val="32"/>
                <w:lang w:bidi="ar"/>
              </w:rPr>
              <w:t>党坝乡地拉秋村跨河大桥建设项目</w:t>
            </w:r>
          </w:p>
        </w:tc>
        <w:tc>
          <w:tcPr>
            <w:tcW w:w="3814" w:type="dxa"/>
            <w:shd w:val="clear" w:color="auto" w:fill="auto"/>
          </w:tcPr>
          <w:p>
            <w:pPr>
              <w:tabs>
                <w:tab w:val="left" w:pos="2989"/>
              </w:tabs>
              <w:spacing w:line="560" w:lineRule="exact"/>
              <w:rPr>
                <w:rFonts w:ascii="仿宋_GB2312" w:hAnsi="宋体" w:eastAsia="仿宋" w:cs="仿宋_GB2312"/>
                <w:sz w:val="32"/>
                <w:lang w:bidi="ar"/>
              </w:rPr>
            </w:pPr>
            <w:r>
              <w:rPr>
                <w:rFonts w:ascii="仿宋_GB2312" w:hAnsi="宋体" w:eastAsia="仿宋" w:cs="仿宋_GB2312"/>
                <w:sz w:val="32"/>
                <w:lang w:bidi="ar"/>
              </w:rPr>
              <w:t>批复建设工期为2018年，项目实际开竣工时间为2019年</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8</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2018-2019年粮食低温储备库建设项目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建设期限为2019年11月至2020年4月。截至2020年8月31日，本项目尚未完工</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9</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马尔康市城市设计项目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计划工期：2019年3月-2019年9月；截止2020年8月未完成</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10</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农牧林产品加工物流园区产业扶持项目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项目批复工期为2019年10月-2020年11月，截至2020年8月31日，该项目已完成主体建设工程，处于装饰装修阶段。</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11</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热水系统（太阳能）项目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立项批复建设工期2018年-2019年，项目于2020年6月19日完工验收通过</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12</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中共马尔康市委宣传部马尔康市融媒体中心建设项目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预计2019年11月正常运转，实际2020年7月完工验收</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13</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2019年农村教师周转宿舍建设省级补助资金项目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项目未完工</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14</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夜景照明工程项目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预计建设工期：2019年4月26日至2019年7月15日，工程实际于2019年4月26日开工，2019年11月4日完工，未按照规定期限完工</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15</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松岗天街配套基础设施建设项目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建设年限要求为2017年。实际竣工验收时间为2018年11月25日</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16</w:t>
            </w:r>
          </w:p>
        </w:tc>
        <w:tc>
          <w:tcPr>
            <w:tcW w:w="4297"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乡村振兴项目</w:t>
            </w:r>
          </w:p>
        </w:tc>
        <w:tc>
          <w:tcPr>
            <w:tcW w:w="3814" w:type="dxa"/>
            <w:shd w:val="clear" w:color="auto" w:fill="auto"/>
          </w:tcPr>
          <w:p>
            <w:pPr>
              <w:spacing w:line="560" w:lineRule="exact"/>
              <w:rPr>
                <w:rFonts w:ascii="仿宋_GB2312" w:hAnsi="宋体" w:eastAsia="仿宋" w:cs="仿宋_GB2312"/>
                <w:sz w:val="32"/>
                <w:lang w:bidi="ar"/>
              </w:rPr>
            </w:pPr>
            <w:r>
              <w:rPr>
                <w:rFonts w:ascii="仿宋_GB2312" w:hAnsi="宋体" w:eastAsia="仿宋" w:cs="仿宋_GB2312"/>
                <w:sz w:val="32"/>
                <w:lang w:bidi="ar"/>
              </w:rPr>
              <w:t>部分项目未按规定时效实施，马尔康市松岗村、直波村生活污水处理厂及配套管网建设项目实施期限为2020年，截止2020年10月项目未开工。</w:t>
            </w:r>
          </w:p>
        </w:tc>
      </w:tr>
    </w:tbl>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8个项目实际完成成本在预计完成成本内,</w:t>
      </w:r>
      <w:r>
        <w:rPr>
          <w:rFonts w:ascii="仿宋_GB2312" w:hAnsi="宋体" w:eastAsia="仿宋" w:cs="仿宋_GB2312"/>
          <w:sz w:val="32"/>
          <w:szCs w:val="28"/>
          <w:lang w:bidi="ar"/>
        </w:rPr>
        <w:t>15</w:t>
      </w:r>
      <w:r>
        <w:rPr>
          <w:rFonts w:hint="eastAsia" w:ascii="仿宋_GB2312" w:hAnsi="宋体" w:eastAsia="仿宋" w:cs="仿宋_GB2312"/>
          <w:sz w:val="32"/>
          <w:szCs w:val="28"/>
          <w:lang w:bidi="ar"/>
        </w:rPr>
        <w:t>个项目实际完成成本较低，详见下表：</w:t>
      </w:r>
    </w:p>
    <w:p>
      <w:pPr>
        <w:spacing w:line="560" w:lineRule="exact"/>
        <w:ind w:firstLine="482"/>
        <w:jc w:val="center"/>
        <w:rPr>
          <w:rFonts w:hint="eastAsia" w:ascii="仿宋_GB2312" w:hAnsi="宋体" w:eastAsia="仿宋" w:cs="仿宋_GB2312"/>
          <w:sz w:val="32"/>
          <w:szCs w:val="28"/>
          <w:lang w:bidi="ar"/>
        </w:rPr>
      </w:pPr>
      <w:r>
        <w:rPr>
          <w:rFonts w:hint="eastAsia" w:ascii="仿宋_GB2312" w:hAnsi="宋体" w:eastAsia="仿宋" w:cs="仿宋_GB2312"/>
          <w:bCs/>
          <w:sz w:val="32"/>
          <w:lang w:bidi="ar"/>
        </w:rPr>
        <w:t>项目完成成本情况表</w:t>
      </w:r>
    </w:p>
    <w:tbl>
      <w:tblPr>
        <w:tblStyle w:val="15"/>
        <w:tblW w:w="0" w:type="auto"/>
        <w:tblInd w:w="0" w:type="dxa"/>
        <w:tblBorders>
          <w:top w:val="single" w:color="auto" w:sz="8" w:space="0"/>
          <w:left w:val="none" w:color="auto" w:sz="0" w:space="0"/>
          <w:bottom w:val="single" w:color="auto" w:sz="8"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891"/>
        <w:gridCol w:w="4297"/>
        <w:gridCol w:w="3814"/>
      </w:tblGrid>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rPr>
          <w:tblHeader/>
        </w:trPr>
        <w:tc>
          <w:tcPr>
            <w:tcW w:w="891" w:type="dxa"/>
            <w:shd w:val="clear" w:color="auto" w:fill="auto"/>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序号</w:t>
            </w:r>
          </w:p>
        </w:tc>
        <w:tc>
          <w:tcPr>
            <w:tcW w:w="4297" w:type="dxa"/>
            <w:shd w:val="clear" w:color="auto" w:fill="auto"/>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项目名称</w:t>
            </w:r>
          </w:p>
        </w:tc>
        <w:tc>
          <w:tcPr>
            <w:tcW w:w="3814" w:type="dxa"/>
            <w:shd w:val="clear" w:color="auto" w:fill="auto"/>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问题</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2018年第四批新增地方政府债券资金</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项目预算2162万元，使用159.09万元，完成成本率7.36%</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阿底村防洪堤项目</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预算资金725万元，共计支付589.32万元，完成成本率81.29%</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3</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松岗柯盘天街景区标识标牌制作和安装项目</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预算资金250.00万元，实际支付79.33万元，完成成本率31.73%</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4</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草原防灭火项目</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预算资金275万元，支付207.71万元，完成成本率75.53%</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5</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地质灾害综合防治体系建设项目</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2019年资金均未使用</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6</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2019年革命老区转移支付项目</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预算资金600万元，支付完成180.38万元，成本完成率30.06%</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7</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建档立卡贫困人口基本医疗保险参保项目</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预算资金109.67万元，实际使用35.92万元，成本完成率32.75%</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8</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看守拘留所建设项目</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预算资金1964.83万元，支付1213.01万元，完成率62.59%</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9</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2018-2019年粮食低温储备库建设项目</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预算资金94.50万元，支付0万元，完成率0%</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10</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马尔康市城市设计项目</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预算资金886万元，共计支付484.80万元，完成成本率54.72%</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11</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马尔康市第四小学会议室办公设备及学生生活设备项目</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采购预算38.9300.00元。实际中标价为37.78万元,完成成本率97.04%</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12</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热水系统（太阳能）项目</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资金未使用</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13</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中共马尔康市委宣传部马尔康市融媒体中心建设项目</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预算资金506.49万元，实际支付233.31万元，完成成本率46.06%</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14</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2019年农村教师周转宿舍建设省级补助资金项目</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资金未使用</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15</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夜景照明工程项目</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预算资金4500万元，支付资金4,034.65万元，完成率89.66%</w:t>
            </w:r>
          </w:p>
        </w:tc>
      </w:tr>
    </w:tbl>
    <w:p>
      <w:pPr>
        <w:spacing w:line="560" w:lineRule="exact"/>
        <w:jc w:val="center"/>
        <w:rPr>
          <w:rFonts w:ascii="仿宋_GB2312" w:hAnsi="宋体" w:eastAsia="仿宋" w:cs="仿宋_GB2312"/>
          <w:sz w:val="32"/>
          <w:szCs w:val="28"/>
          <w:lang w:bidi="ar"/>
        </w:rPr>
      </w:pPr>
    </w:p>
    <w:p>
      <w:pPr>
        <w:spacing w:line="560" w:lineRule="exact"/>
        <w:ind w:firstLine="562"/>
        <w:rPr>
          <w:rFonts w:ascii="仿宋_GB2312" w:hAnsi="宋体" w:eastAsia="仿宋" w:cs="仿宋_GB2312"/>
          <w:sz w:val="32"/>
          <w:szCs w:val="28"/>
          <w:lang w:bidi="ar"/>
        </w:rPr>
      </w:pPr>
      <w:r>
        <w:rPr>
          <w:rFonts w:hint="eastAsia" w:ascii="仿宋_GB2312" w:hAnsi="宋体" w:eastAsia="仿宋" w:cs="仿宋_GB2312"/>
          <w:bCs/>
          <w:sz w:val="32"/>
          <w:szCs w:val="28"/>
          <w:lang w:bidi="ar"/>
        </w:rPr>
        <w:t>项目效益方面：</w:t>
      </w:r>
      <w:r>
        <w:rPr>
          <w:rFonts w:hint="eastAsia" w:ascii="仿宋_GB2312" w:hAnsi="宋体" w:eastAsia="仿宋" w:cs="仿宋_GB2312"/>
          <w:sz w:val="32"/>
          <w:szCs w:val="28"/>
          <w:lang w:bidi="ar"/>
        </w:rPr>
        <w:t>社会效益方面，改善了垃圾清扫保洁、收集、清运所需垃圾车等环卫设施，推动进一步运转高效的环卫车辆，进一步保障了生活垃圾日常清运、转运工作的正常运行；改善了马尔康市汛期河流水位暴涨时严重威胁两岸居民生命财产及农田设施的情况，为保护两岸居民生命财产和解除贫困村发展致富的后顾之忧，改善当地老百姓生活生产条件；进一步提升了全市旅游基础配套设施和乡村旅游接待规模和接待能力，为创建阿坝州全域旅游示范区奠定了坚实的基础；通过对旅游景区沿线道路进行改造，完善了松岗旅游景区道路通行条件，项目建成后可以为游客提供更加标准化的服务，极大地满足了游客的旅游出行需求，同时也提升了松岗旅游景区的整体形象；通过对马尔康市重点地区草原火情进行科学、有效的监控，有效的控制了火情的发生，强有力的保障牧民的人身和财产安全，对草地畜牧业的可持续发展及民族地区社会稳定有着重大意义；地质灾害综合防治体系建设专职检测和灾害避险搬迁安置项目有效的减少了受灾人数，保护了人民群众的生命和财产安全；地质灾害综合防治体系建设专职检测让监测预警区地质灾害防范能力提升，提高了检测区群众生命财产安全保障；马尔康第八届嘉绒锅庄文化旅游节的举办加强了文化交流与融合，切实推动马尔康文化事业的发展与繁荣，进一步扩大马尔康对外影响力，加快推动马尔康“生态旅游文化名城”、“国家全域旅游示范区”、“国际生态文化旅游目的地”建设；持续抓好医疗保障扶贫，确保已建档立卡贫困人口100%参加基本医保，进一步提高了医疗保障水平，降低农村贫困人口医疗费用的总体负担；村民出行安全得到了有效的保障，同时有利于汛期排洪，降低了河道阻塞风险；有效地降低了粮库储存温度，提高了粮食储存品质；积极引进农畜林产品深加工企业，促进农畜林产品转化增值，打造农畜林产品深加工产业集群，形成农畜林产品收购、加工、储存保鲜等一体化的物流模式；程采用“点、线、面”相结合的手法，动静搭配，现代简约，特色突出，展现出层次丰富的夜景景色，突出了马尔康“生态旅游名城”特色，树立了良好旅游品牌形象；</w:t>
      </w:r>
      <w:r>
        <w:rPr>
          <w:rFonts w:hint="eastAsia" w:ascii="仿宋_GB2312" w:hAnsi="宋体" w:eastAsia="仿宋" w:cs="宋体"/>
          <w:sz w:val="32"/>
          <w:szCs w:val="28"/>
          <w:shd w:val="clear" w:color="auto" w:fill="FFFFFF"/>
        </w:rPr>
        <w:t>等。</w:t>
      </w:r>
    </w:p>
    <w:p>
      <w:pPr>
        <w:spacing w:line="560" w:lineRule="exact"/>
        <w:ind w:firstLine="560"/>
        <w:rPr>
          <w:rFonts w:ascii="仿宋_GB2312" w:hAnsi="宋体" w:eastAsia="仿宋" w:cs="宋体"/>
          <w:sz w:val="32"/>
          <w:szCs w:val="28"/>
          <w:shd w:val="clear" w:color="auto" w:fill="FFFFFF"/>
        </w:rPr>
      </w:pPr>
      <w:r>
        <w:rPr>
          <w:rFonts w:hint="eastAsia" w:ascii="仿宋_GB2312" w:hAnsi="宋体" w:eastAsia="仿宋" w:cs="仿宋_GB2312"/>
          <w:sz w:val="32"/>
          <w:szCs w:val="28"/>
          <w:lang w:bidi="ar"/>
        </w:rPr>
        <w:t>经济效益方面，项目实施后将拉动了旅游消费，带动了景区周边农户就业，增加了贫困人口的收入；有利于提高松岗古碉群文化旅游区的旅游承载力和旅游服务能力，改善旅游环境，增强旅游吸引力和市场竞争力，促进旅游经济发展；将有效解决押送过程中存在的嫌疑人逃脱风险及工作人员的生命安全问题，节约了办案经济成本及人力成本；增加了农民参与乡村旅游发展的积极性与主动性，充分把旅游资源优势转化成了经济优势；</w:t>
      </w:r>
      <w:r>
        <w:rPr>
          <w:rFonts w:hint="eastAsia" w:ascii="仿宋_GB2312" w:hAnsi="宋体" w:eastAsia="仿宋" w:cs="宋体"/>
          <w:sz w:val="32"/>
          <w:szCs w:val="28"/>
          <w:shd w:val="clear" w:color="auto" w:fill="FFFFFF"/>
        </w:rPr>
        <w:t>等。</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宋体"/>
          <w:sz w:val="32"/>
          <w:szCs w:val="28"/>
          <w:shd w:val="clear" w:color="auto" w:fill="FFFFFF"/>
        </w:rPr>
        <w:t>生态效益方面，有效的改善了防火通讯指挥设备成旧，不能及时监测反映火情动态和积极做好组织扑救工作的局面，完善了防火组织机构，保障了草原防火通信的畅通，提高了草原防火突发应变能力和草原扑火的综合能力，有效的控制了草原火灾的发生，保护了生态环境，维护了生态平衡；</w:t>
      </w:r>
    </w:p>
    <w:p>
      <w:pPr>
        <w:spacing w:line="560" w:lineRule="exact"/>
        <w:ind w:firstLine="560"/>
        <w:rPr>
          <w:rFonts w:hint="eastAsia" w:ascii="仿宋_GB2312" w:hAnsi="宋体" w:eastAsia="仿宋" w:cs="宋体"/>
          <w:sz w:val="32"/>
          <w:szCs w:val="28"/>
          <w:shd w:val="clear" w:color="auto" w:fill="FFFFFF"/>
        </w:rPr>
      </w:pPr>
      <w:r>
        <w:rPr>
          <w:rFonts w:hint="eastAsia" w:ascii="仿宋_GB2312" w:hAnsi="宋体" w:eastAsia="仿宋" w:cs="仿宋_GB2312"/>
          <w:sz w:val="32"/>
          <w:szCs w:val="28"/>
          <w:lang w:bidi="ar"/>
        </w:rPr>
        <w:t>可持续性效益方面，</w:t>
      </w:r>
      <w:r>
        <w:rPr>
          <w:rFonts w:hint="eastAsia" w:ascii="仿宋_GB2312" w:hAnsi="宋体" w:eastAsia="仿宋" w:cs="宋体"/>
          <w:sz w:val="32"/>
          <w:szCs w:val="28"/>
          <w:shd w:val="clear" w:color="auto" w:fill="FFFFFF"/>
        </w:rPr>
        <w:t>建成后，长期解决了两岸居民生命财产及农田设施的需求，具有良好的可持续效益；对地质灾害点常年进行检测，检测人保持24小时通讯畅通，按要求对地质灾害隐患点的日常检测和地质灾害隐患巡查和排查，遇强降雨或出现险情时，及时发出报警信号，及时协助受威胁群众转移避险，及时发现和灾害避险搬迁安置项目。灾害避险搬迁以后可以避免群众长期受地质灾害的困扰，搬迁完成后可以让人民群众长期处于相对安全的环境中；粮食低温库项目建成后，确保了马尔康市各级储备粮食的安全储存，为州、市居民、驻军部队和全市广电农牧民的粮食供应提供了保障，产生了可持续性的影响；等。</w:t>
      </w:r>
    </w:p>
    <w:p>
      <w:pPr>
        <w:spacing w:line="560" w:lineRule="exact"/>
        <w:ind w:firstLine="560"/>
        <w:rPr>
          <w:rFonts w:ascii="仿宋_GB2312" w:hAnsi="宋体" w:eastAsia="仿宋" w:cs="宋体"/>
          <w:sz w:val="32"/>
          <w:szCs w:val="28"/>
          <w:shd w:val="clear" w:color="auto" w:fill="FFFFFF"/>
        </w:rPr>
      </w:pPr>
      <w:r>
        <w:rPr>
          <w:rFonts w:hint="eastAsia" w:ascii="仿宋_GB2312" w:hAnsi="宋体" w:eastAsia="仿宋" w:cs="宋体"/>
          <w:sz w:val="32"/>
          <w:szCs w:val="28"/>
          <w:shd w:val="clear" w:color="auto" w:fill="FFFFFF"/>
        </w:rPr>
        <w:t>部分项目的建成，其效益发挥不理想，如松岗天街配套基础设施建设项目缓解了部分法定节假日自驾游停车供给不足的问题，实现了停车规范有序，改善了景区入口环境问题。但由于受旅游季节影响，及离景区尚有一段距离，日常中该停车场使用效率不高；受限于面积有限、车位数量不多，黄金周节假日停车难问题仍无法解决。该项目于2018年11月25日已竣工验收，但截至绩效评价日，该项目仍在商讨项目管理方，仍未移交管理方，现为无偿使用，如下图：</w:t>
      </w:r>
    </w:p>
    <w:p>
      <w:pPr>
        <w:spacing w:line="560" w:lineRule="exact"/>
        <w:ind w:firstLine="560"/>
        <w:jc w:val="center"/>
        <w:rPr>
          <w:rFonts w:eastAsia="仿宋"/>
          <w:sz w:val="32"/>
        </w:rPr>
      </w:pPr>
      <w:r>
        <w:rPr>
          <w:rFonts w:hint="eastAsia" w:ascii="仿宋_GB2312" w:hAnsi="宋体" w:eastAsia="仿宋" w:cs="宋体"/>
          <w:sz w:val="32"/>
          <w:szCs w:val="28"/>
          <w:shd w:val="clear" w:color="auto" w:fill="FFFFFF"/>
        </w:rPr>
        <w:drawing>
          <wp:inline distT="0" distB="0" distL="0" distR="0">
            <wp:extent cx="4797425" cy="2778760"/>
            <wp:effectExtent l="0" t="0" r="3175" b="2540"/>
            <wp:docPr id="125" name="图片 125" descr="QQ截图20201016134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QQ截图202010161349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797425" cy="2778760"/>
                    </a:xfrm>
                    <a:prstGeom prst="rect">
                      <a:avLst/>
                    </a:prstGeom>
                    <a:noFill/>
                    <a:ln>
                      <a:noFill/>
                    </a:ln>
                  </pic:spPr>
                </pic:pic>
              </a:graphicData>
            </a:graphic>
          </wp:inline>
        </w:drawing>
      </w:r>
    </w:p>
    <w:p>
      <w:pPr>
        <w:pStyle w:val="40"/>
        <w:spacing w:before="156" w:after="156" w:line="560" w:lineRule="exact"/>
        <w:ind w:firstLine="640"/>
        <w:rPr>
          <w:rFonts w:eastAsia="仿宋"/>
          <w:b w:val="0"/>
          <w:color w:val="auto"/>
          <w:sz w:val="32"/>
        </w:rPr>
      </w:pPr>
      <w:bookmarkStart w:id="35" w:name="_Toc18037"/>
      <w:r>
        <w:rPr>
          <w:rFonts w:hint="eastAsia" w:eastAsia="仿宋"/>
          <w:b w:val="0"/>
          <w:color w:val="auto"/>
          <w:sz w:val="32"/>
        </w:rPr>
        <w:t>2、部门整体支出</w:t>
      </w:r>
      <w:bookmarkEnd w:id="35"/>
    </w:p>
    <w:p>
      <w:pPr>
        <w:pStyle w:val="40"/>
        <w:spacing w:before="156" w:after="156" w:line="560" w:lineRule="exact"/>
        <w:ind w:firstLine="640"/>
        <w:rPr>
          <w:rFonts w:hint="eastAsia" w:ascii="仿宋_GB2312" w:hAnsi="仿宋_GB2312" w:eastAsia="仿宋" w:cs="仿宋_GB2312"/>
          <w:b w:val="0"/>
          <w:color w:val="auto"/>
          <w:sz w:val="32"/>
          <w:szCs w:val="28"/>
        </w:rPr>
      </w:pPr>
      <w:bookmarkStart w:id="36" w:name="_Toc26619"/>
      <w:r>
        <w:rPr>
          <w:rFonts w:hint="eastAsia" w:ascii="仿宋_GB2312" w:hAnsi="仿宋_GB2312" w:eastAsia="仿宋" w:cs="仿宋_GB2312"/>
          <w:b w:val="0"/>
          <w:color w:val="auto"/>
          <w:sz w:val="32"/>
          <w:szCs w:val="28"/>
        </w:rPr>
        <w:t>——预算编制情况</w:t>
      </w:r>
      <w:bookmarkEnd w:id="36"/>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该指标</w:t>
      </w:r>
      <w:r>
        <w:rPr>
          <w:rFonts w:ascii="仿宋_GB2312" w:hAnsi="宋体" w:eastAsia="仿宋" w:cs="仿宋_GB2312"/>
          <w:sz w:val="32"/>
          <w:szCs w:val="28"/>
          <w:lang w:bidi="ar"/>
        </w:rPr>
        <w:t>权重为</w:t>
      </w:r>
      <w:r>
        <w:rPr>
          <w:rFonts w:hint="eastAsia" w:ascii="仿宋_GB2312" w:hAnsi="宋体" w:eastAsia="仿宋" w:cs="仿宋_GB2312"/>
          <w:sz w:val="32"/>
          <w:szCs w:val="28"/>
          <w:lang w:bidi="ar"/>
        </w:rPr>
        <w:t>10.00</w:t>
      </w:r>
      <w:r>
        <w:rPr>
          <w:rFonts w:ascii="仿宋_GB2312" w:hAnsi="宋体" w:eastAsia="仿宋" w:cs="仿宋_GB2312"/>
          <w:sz w:val="32"/>
          <w:szCs w:val="28"/>
          <w:lang w:bidi="ar"/>
        </w:rPr>
        <w:t>分，</w:t>
      </w:r>
      <w:r>
        <w:rPr>
          <w:rFonts w:hint="eastAsia" w:ascii="仿宋_GB2312" w:hAnsi="宋体" w:eastAsia="仿宋" w:cs="仿宋_GB2312"/>
          <w:sz w:val="32"/>
          <w:szCs w:val="28"/>
          <w:lang w:bidi="ar"/>
        </w:rPr>
        <w:t>实得</w:t>
      </w:r>
      <w:r>
        <w:rPr>
          <w:rFonts w:ascii="仿宋_GB2312" w:hAnsi="宋体" w:eastAsia="仿宋" w:cs="仿宋_GB2312"/>
          <w:sz w:val="32"/>
          <w:szCs w:val="28"/>
          <w:lang w:bidi="ar"/>
        </w:rPr>
        <w:t>8.35</w:t>
      </w:r>
      <w:r>
        <w:rPr>
          <w:rFonts w:hint="eastAsia" w:ascii="仿宋_GB2312" w:hAnsi="宋体" w:eastAsia="仿宋" w:cs="仿宋_GB2312"/>
          <w:sz w:val="32"/>
          <w:szCs w:val="28"/>
          <w:lang w:bidi="ar"/>
        </w:rPr>
        <w:t>分，</w:t>
      </w:r>
      <w:r>
        <w:rPr>
          <w:rFonts w:ascii="仿宋_GB2312" w:hAnsi="宋体" w:eastAsia="仿宋" w:cs="仿宋_GB2312"/>
          <w:sz w:val="32"/>
          <w:szCs w:val="28"/>
          <w:lang w:bidi="ar"/>
        </w:rPr>
        <w:t>用于考察</w:t>
      </w:r>
      <w:r>
        <w:rPr>
          <w:rFonts w:hint="eastAsia" w:ascii="仿宋_GB2312" w:hAnsi="宋体" w:eastAsia="仿宋" w:cs="仿宋_GB2312"/>
          <w:sz w:val="32"/>
          <w:szCs w:val="28"/>
          <w:lang w:bidi="ar"/>
        </w:rPr>
        <w:t>部门基础信息更新情况、预算编制准确率、部门预算审查情况、部门整体绩效目标和重点项目绩效目标编制情况。</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各分项指标得分和绩效分析如下：</w:t>
      </w:r>
    </w:p>
    <w:p>
      <w:pPr>
        <w:spacing w:line="560" w:lineRule="exact"/>
        <w:ind w:firstLine="482"/>
        <w:jc w:val="center"/>
        <w:rPr>
          <w:rFonts w:ascii="仿宋_GB2312" w:hAnsi="宋体" w:eastAsia="仿宋" w:cs="仿宋_GB2312"/>
          <w:bCs/>
          <w:sz w:val="32"/>
          <w:lang w:bidi="ar"/>
        </w:rPr>
      </w:pPr>
      <w:r>
        <w:rPr>
          <w:rFonts w:hint="eastAsia" w:ascii="仿宋_GB2312" w:hAnsi="宋体" w:eastAsia="仿宋" w:cs="仿宋_GB2312"/>
          <w:bCs/>
          <w:sz w:val="32"/>
          <w:lang w:bidi="ar"/>
        </w:rPr>
        <w:t>表12 预算编制类指标得分情况汇总表</w:t>
      </w:r>
    </w:p>
    <w:tbl>
      <w:tblPr>
        <w:tblStyle w:val="15"/>
        <w:tblpPr w:leftFromText="180" w:rightFromText="180" w:vertAnchor="text" w:horzAnchor="page" w:tblpXSpec="center" w:tblpY="40"/>
        <w:tblOverlap w:val="never"/>
        <w:tblW w:w="5000"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629"/>
        <w:gridCol w:w="2483"/>
        <w:gridCol w:w="2423"/>
        <w:gridCol w:w="246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blHeader/>
          <w:jc w:val="center"/>
        </w:trPr>
        <w:tc>
          <w:tcPr>
            <w:tcW w:w="905"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指标</w:t>
            </w:r>
          </w:p>
        </w:tc>
        <w:tc>
          <w:tcPr>
            <w:tcW w:w="1379"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权重</w:t>
            </w:r>
          </w:p>
        </w:tc>
        <w:tc>
          <w:tcPr>
            <w:tcW w:w="1346"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w:t>
            </w:r>
          </w:p>
        </w:tc>
        <w:tc>
          <w:tcPr>
            <w:tcW w:w="1370"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905" w:type="pct"/>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预算编制</w:t>
            </w:r>
          </w:p>
        </w:tc>
        <w:tc>
          <w:tcPr>
            <w:tcW w:w="1379" w:type="pct"/>
            <w:vAlign w:val="center"/>
          </w:tcPr>
          <w:p>
            <w:pPr>
              <w:spacing w:line="560" w:lineRule="exact"/>
              <w:jc w:val="center"/>
              <w:rPr>
                <w:rFonts w:ascii="仿宋_GB2312" w:hAnsi="Arial Narrow" w:eastAsia="仿宋"/>
                <w:sz w:val="32"/>
              </w:rPr>
            </w:pPr>
            <w:r>
              <w:rPr>
                <w:rFonts w:ascii="仿宋_GB2312" w:hAnsi="宋体" w:eastAsia="仿宋"/>
                <w:sz w:val="32"/>
              </w:rPr>
              <w:t>10.00</w:t>
            </w:r>
          </w:p>
        </w:tc>
        <w:tc>
          <w:tcPr>
            <w:tcW w:w="1346" w:type="pct"/>
            <w:vAlign w:val="center"/>
          </w:tcPr>
          <w:p>
            <w:pPr>
              <w:spacing w:line="560" w:lineRule="exact"/>
              <w:jc w:val="center"/>
              <w:rPr>
                <w:rFonts w:ascii="仿宋_GB2312" w:hAnsi="Arial Narrow" w:eastAsia="仿宋"/>
                <w:sz w:val="32"/>
              </w:rPr>
            </w:pPr>
            <w:r>
              <w:rPr>
                <w:rFonts w:ascii="仿宋_GB2312" w:hAnsi="Arial Narrow" w:eastAsia="仿宋"/>
                <w:sz w:val="32"/>
              </w:rPr>
              <w:t>8.35</w:t>
            </w:r>
          </w:p>
        </w:tc>
        <w:tc>
          <w:tcPr>
            <w:tcW w:w="1370" w:type="pct"/>
            <w:vAlign w:val="center"/>
          </w:tcPr>
          <w:p>
            <w:pPr>
              <w:spacing w:line="560" w:lineRule="exact"/>
              <w:jc w:val="center"/>
              <w:rPr>
                <w:rFonts w:ascii="仿宋_GB2312" w:hAnsi="Arial Narrow" w:eastAsia="仿宋"/>
                <w:sz w:val="32"/>
              </w:rPr>
            </w:pPr>
            <w:r>
              <w:rPr>
                <w:rFonts w:ascii="仿宋_GB2312" w:hAnsi="宋体" w:eastAsia="仿宋"/>
                <w:sz w:val="32"/>
              </w:rPr>
              <w:t>83.45%</w:t>
            </w:r>
          </w:p>
        </w:tc>
      </w:tr>
    </w:tbl>
    <w:p>
      <w:pPr>
        <w:spacing w:line="560" w:lineRule="exact"/>
        <w:ind w:firstLine="562"/>
        <w:rPr>
          <w:rFonts w:ascii="仿宋_GB2312" w:hAnsi="宋体" w:eastAsia="仿宋" w:cs="宋体"/>
          <w:sz w:val="32"/>
          <w:szCs w:val="28"/>
          <w:shd w:val="clear" w:color="auto" w:fill="FFFFFF"/>
        </w:rPr>
      </w:pPr>
      <w:r>
        <w:rPr>
          <w:rFonts w:hint="eastAsia" w:ascii="仿宋_GB2312" w:hAnsi="宋体" w:eastAsia="仿宋" w:cs="宋体"/>
          <w:bCs/>
          <w:sz w:val="32"/>
          <w:szCs w:val="28"/>
          <w:shd w:val="clear" w:color="auto" w:fill="FFFFFF"/>
        </w:rPr>
        <w:t>报送时效方面：</w:t>
      </w:r>
      <w:r>
        <w:rPr>
          <w:rFonts w:hint="eastAsia" w:ascii="仿宋_GB2312" w:hAnsi="宋体" w:eastAsia="仿宋" w:cs="宋体"/>
          <w:sz w:val="32"/>
          <w:szCs w:val="28"/>
          <w:shd w:val="clear" w:color="auto" w:fill="FFFFFF"/>
        </w:rPr>
        <w:t>被评价的13个部门，根据马尔康市财政局下发的市级部门预算编制通知，要求2018年11月14日报送基础库、项目库预算。</w:t>
      </w:r>
    </w:p>
    <w:p>
      <w:pPr>
        <w:spacing w:line="560" w:lineRule="exact"/>
        <w:rPr>
          <w:rFonts w:hint="eastAsia" w:ascii="仿宋_GB2312" w:hAnsi="宋体" w:eastAsia="仿宋" w:cs="宋体"/>
          <w:sz w:val="32"/>
          <w:szCs w:val="28"/>
          <w:shd w:val="clear" w:color="auto" w:fill="FFFFFF"/>
        </w:rPr>
      </w:pPr>
      <w:r>
        <w:rPr>
          <w:rFonts w:hint="eastAsia" w:ascii="仿宋_GB2312" w:hAnsi="宋体" w:eastAsia="仿宋" w:cs="宋体"/>
          <w:sz w:val="32"/>
          <w:szCs w:val="28"/>
          <w:shd w:val="clear" w:color="auto" w:fill="FFFFFF"/>
        </w:rPr>
        <w:t>被评价单位2019年部门预算均统一使用部门预算管理系统软件按时编制完成。</w:t>
      </w:r>
    </w:p>
    <w:p>
      <w:pPr>
        <w:spacing w:line="560" w:lineRule="exact"/>
        <w:ind w:firstLine="562"/>
        <w:rPr>
          <w:rFonts w:hint="eastAsia" w:ascii="仿宋_GB2312" w:hAnsi="宋体" w:eastAsia="仿宋" w:cs="宋体"/>
          <w:sz w:val="32"/>
          <w:szCs w:val="28"/>
          <w:shd w:val="clear" w:color="auto" w:fill="FFFFFF"/>
        </w:rPr>
      </w:pPr>
      <w:r>
        <w:rPr>
          <w:rFonts w:hint="eastAsia" w:ascii="仿宋_GB2312" w:hAnsi="宋体" w:eastAsia="仿宋" w:cs="宋体"/>
          <w:bCs/>
          <w:sz w:val="32"/>
          <w:szCs w:val="28"/>
          <w:shd w:val="clear" w:color="auto" w:fill="FFFFFF"/>
        </w:rPr>
        <w:t>编制质量方面：</w:t>
      </w:r>
      <w:r>
        <w:rPr>
          <w:rFonts w:hint="eastAsia" w:ascii="仿宋_GB2312" w:hAnsi="宋体" w:eastAsia="仿宋" w:cs="宋体"/>
          <w:sz w:val="32"/>
          <w:szCs w:val="28"/>
          <w:shd w:val="clear" w:color="auto" w:fill="FFFFFF"/>
        </w:rPr>
        <w:t xml:space="preserve"> 201</w:t>
      </w:r>
      <w:r>
        <w:rPr>
          <w:rFonts w:ascii="仿宋_GB2312" w:hAnsi="宋体" w:eastAsia="仿宋" w:cs="宋体"/>
          <w:sz w:val="32"/>
          <w:szCs w:val="28"/>
          <w:shd w:val="clear" w:color="auto" w:fill="FFFFFF"/>
        </w:rPr>
        <w:t>9</w:t>
      </w:r>
      <w:r>
        <w:rPr>
          <w:rFonts w:hint="eastAsia" w:ascii="仿宋_GB2312" w:hAnsi="宋体" w:eastAsia="仿宋" w:cs="宋体"/>
          <w:sz w:val="32"/>
          <w:szCs w:val="28"/>
          <w:shd w:val="clear" w:color="auto" w:fill="FFFFFF"/>
        </w:rPr>
        <w:t>年预算编制准确率如下表：</w:t>
      </w:r>
    </w:p>
    <w:p>
      <w:pPr>
        <w:spacing w:line="560" w:lineRule="exact"/>
        <w:ind w:firstLine="482"/>
        <w:jc w:val="center"/>
        <w:rPr>
          <w:rFonts w:ascii="仿宋_GB2312" w:hAnsi="宋体" w:eastAsia="仿宋" w:cs="宋体"/>
          <w:sz w:val="32"/>
          <w:szCs w:val="28"/>
          <w:shd w:val="clear" w:color="auto" w:fill="FFFFFF"/>
        </w:rPr>
      </w:pPr>
      <w:r>
        <w:rPr>
          <w:rFonts w:hint="eastAsia" w:ascii="仿宋_GB2312" w:hAnsi="宋体" w:eastAsia="仿宋" w:cs="仿宋_GB2312"/>
          <w:bCs/>
          <w:sz w:val="32"/>
          <w:lang w:bidi="ar"/>
        </w:rPr>
        <w:t>表13 2018年预算编制准确率情况表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12"/>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9" w:type="dxa"/>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序号</w:t>
            </w:r>
          </w:p>
        </w:tc>
        <w:tc>
          <w:tcPr>
            <w:tcW w:w="1712" w:type="dxa"/>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部门</w:t>
            </w:r>
          </w:p>
        </w:tc>
        <w:tc>
          <w:tcPr>
            <w:tcW w:w="6607" w:type="dxa"/>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2018年预算编制准确率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rPr>
                <w:rFonts w:ascii="仿宋_GB2312" w:hAnsi="宋体" w:eastAsia="仿宋"/>
                <w:bCs/>
                <w:sz w:val="32"/>
              </w:rPr>
            </w:pPr>
            <w:r>
              <w:rPr>
                <w:rFonts w:ascii="仿宋_GB2312" w:hAnsi="宋体" w:eastAsia="仿宋"/>
                <w:bCs/>
                <w:sz w:val="32"/>
              </w:rPr>
              <w:t>序号</w:t>
            </w:r>
          </w:p>
        </w:tc>
        <w:tc>
          <w:tcPr>
            <w:tcW w:w="1712" w:type="dxa"/>
            <w:shd w:val="clear" w:color="auto" w:fill="auto"/>
            <w:vAlign w:val="center"/>
          </w:tcPr>
          <w:p>
            <w:pPr>
              <w:spacing w:line="560" w:lineRule="exact"/>
              <w:ind w:firstLine="422"/>
              <w:jc w:val="center"/>
              <w:rPr>
                <w:rFonts w:ascii="仿宋_GB2312" w:hAnsi="宋体" w:eastAsia="仿宋"/>
                <w:bCs/>
                <w:sz w:val="32"/>
              </w:rPr>
            </w:pPr>
            <w:r>
              <w:rPr>
                <w:rFonts w:ascii="仿宋_GB2312" w:hAnsi="宋体" w:eastAsia="仿宋"/>
                <w:bCs/>
                <w:sz w:val="32"/>
              </w:rPr>
              <w:t>部门</w:t>
            </w:r>
          </w:p>
        </w:tc>
        <w:tc>
          <w:tcPr>
            <w:tcW w:w="6607" w:type="dxa"/>
            <w:shd w:val="clear" w:color="auto" w:fill="auto"/>
            <w:vAlign w:val="center"/>
          </w:tcPr>
          <w:p>
            <w:pPr>
              <w:spacing w:line="560" w:lineRule="exact"/>
              <w:ind w:firstLine="422"/>
              <w:jc w:val="center"/>
              <w:rPr>
                <w:rFonts w:ascii="仿宋_GB2312" w:hAnsi="宋体" w:eastAsia="仿宋"/>
                <w:bCs/>
                <w:sz w:val="32"/>
              </w:rPr>
            </w:pPr>
            <w:r>
              <w:rPr>
                <w:rFonts w:ascii="仿宋_GB2312" w:hAnsi="宋体" w:eastAsia="仿宋"/>
                <w:bCs/>
                <w:sz w:val="32"/>
              </w:rPr>
              <w:t>2019年预算编制准确率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1</w:t>
            </w:r>
          </w:p>
        </w:tc>
        <w:tc>
          <w:tcPr>
            <w:tcW w:w="1712" w:type="dxa"/>
            <w:shd w:val="clear" w:color="auto" w:fill="auto"/>
            <w:vAlign w:val="center"/>
          </w:tcPr>
          <w:p>
            <w:pPr>
              <w:spacing w:line="560" w:lineRule="exact"/>
              <w:rPr>
                <w:rFonts w:ascii="仿宋_GB2312" w:hAnsi="宋体" w:eastAsia="仿宋"/>
                <w:sz w:val="32"/>
              </w:rPr>
            </w:pPr>
            <w:r>
              <w:rPr>
                <w:rFonts w:ascii="仿宋_GB2312" w:hAnsi="宋体" w:eastAsia="仿宋"/>
                <w:sz w:val="32"/>
              </w:rPr>
              <w:t>马尔康市融媒体中心</w:t>
            </w:r>
          </w:p>
        </w:tc>
        <w:tc>
          <w:tcPr>
            <w:tcW w:w="6607"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2019年预算编制准确率=（预算资金总来源-中期评估调整取消资金-预算结余注销）÷预算资金总来源×指标分值=（2,658,655.51-34,664.24-64.31）/ 2,658,655.51 =98.69%。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2</w:t>
            </w:r>
          </w:p>
        </w:tc>
        <w:tc>
          <w:tcPr>
            <w:tcW w:w="1712" w:type="dxa"/>
            <w:shd w:val="clear" w:color="auto" w:fill="auto"/>
            <w:vAlign w:val="center"/>
          </w:tcPr>
          <w:p>
            <w:pPr>
              <w:spacing w:line="560" w:lineRule="exact"/>
              <w:rPr>
                <w:rFonts w:ascii="仿宋_GB2312" w:hAnsi="宋体" w:eastAsia="仿宋"/>
                <w:sz w:val="32"/>
              </w:rPr>
            </w:pPr>
            <w:r>
              <w:rPr>
                <w:rFonts w:ascii="仿宋_GB2312" w:hAnsi="宋体" w:eastAsia="仿宋"/>
                <w:sz w:val="32"/>
              </w:rPr>
              <w:t>马尔康市生态环境局</w:t>
            </w:r>
          </w:p>
        </w:tc>
        <w:tc>
          <w:tcPr>
            <w:tcW w:w="6607"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2019年预算编制准确率=（预算资金总来源-中期评估调整取消资金-预算结余注销资金）÷预算资金总来源×指标分值=（22,477,170.33-392,514.00-80,000.00）/ 22,477,170.33=97.90%。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3</w:t>
            </w:r>
          </w:p>
        </w:tc>
        <w:tc>
          <w:tcPr>
            <w:tcW w:w="1712" w:type="dxa"/>
            <w:shd w:val="clear" w:color="auto" w:fill="auto"/>
            <w:vAlign w:val="center"/>
          </w:tcPr>
          <w:p>
            <w:pPr>
              <w:spacing w:line="560" w:lineRule="exact"/>
              <w:rPr>
                <w:rFonts w:ascii="仿宋_GB2312" w:hAnsi="宋体" w:eastAsia="仿宋"/>
                <w:sz w:val="32"/>
              </w:rPr>
            </w:pPr>
            <w:r>
              <w:rPr>
                <w:rFonts w:ascii="仿宋_GB2312" w:hAnsi="宋体" w:eastAsia="仿宋"/>
                <w:sz w:val="32"/>
              </w:rPr>
              <w:t>马尔康市公共服务中心</w:t>
            </w:r>
          </w:p>
        </w:tc>
        <w:tc>
          <w:tcPr>
            <w:tcW w:w="6607"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2019年预算编制准确率=（预算资金总来源-中期评估调整取消资金-预算结余注销资金）÷预算资金总来源×指标分值=（6,757,353.68 -42,419.60）/ 6,757,353.68=99.37%。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4</w:t>
            </w:r>
          </w:p>
        </w:tc>
        <w:tc>
          <w:tcPr>
            <w:tcW w:w="1712" w:type="dxa"/>
            <w:shd w:val="clear" w:color="auto" w:fill="auto"/>
            <w:vAlign w:val="center"/>
          </w:tcPr>
          <w:p>
            <w:pPr>
              <w:spacing w:line="560" w:lineRule="exact"/>
              <w:rPr>
                <w:rFonts w:ascii="仿宋_GB2312" w:hAnsi="宋体" w:eastAsia="仿宋"/>
                <w:sz w:val="32"/>
              </w:rPr>
            </w:pPr>
            <w:r>
              <w:rPr>
                <w:rFonts w:ascii="仿宋_GB2312" w:hAnsi="宋体" w:eastAsia="仿宋"/>
                <w:sz w:val="32"/>
              </w:rPr>
              <w:t>马尔康市住房和城乡建设局</w:t>
            </w:r>
          </w:p>
        </w:tc>
        <w:tc>
          <w:tcPr>
            <w:tcW w:w="6607"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2019年预算编制准确率=（预算资金总来源-中期评估调整取消资金-预算结余注销资金）÷预算资金总来源×指标分值=(15,623.73-5,287.22-3,225.91)/15,623.73=45.51%。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5</w:t>
            </w:r>
          </w:p>
        </w:tc>
        <w:tc>
          <w:tcPr>
            <w:tcW w:w="1712" w:type="dxa"/>
            <w:shd w:val="clear" w:color="auto" w:fill="auto"/>
            <w:vAlign w:val="center"/>
          </w:tcPr>
          <w:p>
            <w:pPr>
              <w:spacing w:line="560" w:lineRule="exact"/>
              <w:rPr>
                <w:rFonts w:ascii="仿宋_GB2312" w:hAnsi="宋体" w:eastAsia="仿宋"/>
                <w:sz w:val="32"/>
                <w:highlight w:val="yellow"/>
              </w:rPr>
            </w:pPr>
            <w:r>
              <w:rPr>
                <w:rFonts w:ascii="仿宋_GB2312" w:hAnsi="宋体" w:eastAsia="仿宋"/>
                <w:sz w:val="32"/>
              </w:rPr>
              <w:t>马尔康市松岗镇人民政府</w:t>
            </w:r>
          </w:p>
        </w:tc>
        <w:tc>
          <w:tcPr>
            <w:tcW w:w="6607"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2019年预算编制准确率=（预算资金总来源-中期评估调整取消资金-预算结余注销）÷预算资金总来源×指标分值=(2,924.86-356.58-306.51)/2,924.86=77.33%。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6</w:t>
            </w:r>
          </w:p>
        </w:tc>
        <w:tc>
          <w:tcPr>
            <w:tcW w:w="1712" w:type="dxa"/>
            <w:shd w:val="clear" w:color="auto" w:fill="auto"/>
            <w:vAlign w:val="center"/>
          </w:tcPr>
          <w:p>
            <w:pPr>
              <w:spacing w:line="560" w:lineRule="exact"/>
              <w:rPr>
                <w:rFonts w:ascii="仿宋_GB2312" w:hAnsi="宋体" w:eastAsia="仿宋"/>
                <w:sz w:val="32"/>
              </w:rPr>
            </w:pPr>
            <w:r>
              <w:rPr>
                <w:rFonts w:ascii="仿宋_GB2312" w:hAnsi="宋体" w:eastAsia="仿宋"/>
                <w:sz w:val="32"/>
              </w:rPr>
              <w:t>马尔康市应急管理局</w:t>
            </w:r>
          </w:p>
        </w:tc>
        <w:tc>
          <w:tcPr>
            <w:tcW w:w="6607"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2019年预算编制准确率=（预算资金总来源-中期评估调整取消资金-预算结余注销资金）÷预算资金总来源×指标分值=(430.05-5.64)/430.05=98.69%。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7</w:t>
            </w:r>
          </w:p>
        </w:tc>
        <w:tc>
          <w:tcPr>
            <w:tcW w:w="1712" w:type="dxa"/>
            <w:shd w:val="clear" w:color="auto" w:fill="auto"/>
            <w:vAlign w:val="center"/>
          </w:tcPr>
          <w:p>
            <w:pPr>
              <w:spacing w:line="560" w:lineRule="exact"/>
              <w:rPr>
                <w:rFonts w:ascii="仿宋_GB2312" w:hAnsi="宋体" w:eastAsia="仿宋"/>
                <w:sz w:val="32"/>
              </w:rPr>
            </w:pPr>
            <w:r>
              <w:rPr>
                <w:rFonts w:ascii="仿宋_GB2312" w:hAnsi="宋体" w:eastAsia="仿宋"/>
                <w:sz w:val="32"/>
              </w:rPr>
              <w:t>马尔康市经济商务和信息化局</w:t>
            </w:r>
          </w:p>
        </w:tc>
        <w:tc>
          <w:tcPr>
            <w:tcW w:w="6607"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2019年预算编制准确率=（预算资金总来源-中期评估调整取消资金-预算结余注销资金）÷预算资金总来源×指标分值==(72,507,048.13-10,160,306.91-10,060,699.19)/72,507,048.13 =72.11%。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8</w:t>
            </w:r>
          </w:p>
        </w:tc>
        <w:tc>
          <w:tcPr>
            <w:tcW w:w="1712" w:type="dxa"/>
            <w:shd w:val="clear" w:color="auto" w:fill="auto"/>
            <w:vAlign w:val="center"/>
          </w:tcPr>
          <w:p>
            <w:pPr>
              <w:spacing w:line="560" w:lineRule="exact"/>
              <w:rPr>
                <w:rFonts w:ascii="仿宋_GB2312" w:hAnsi="宋体" w:eastAsia="仿宋"/>
                <w:sz w:val="32"/>
              </w:rPr>
            </w:pPr>
            <w:r>
              <w:rPr>
                <w:rFonts w:ascii="仿宋_GB2312" w:hAnsi="宋体" w:eastAsia="仿宋"/>
                <w:sz w:val="32"/>
              </w:rPr>
              <w:t>马尔康市自然资源局</w:t>
            </w:r>
          </w:p>
        </w:tc>
        <w:tc>
          <w:tcPr>
            <w:tcW w:w="6607"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2019年预算编制准确率=（预算资金总来源-中期评估调整取消资金-预算结余注销资金）÷预算资金总来源*指标分值=(29,078,569.17-347,672.88-237,550)/29,078,569.17 =97.99%。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9</w:t>
            </w:r>
          </w:p>
        </w:tc>
        <w:tc>
          <w:tcPr>
            <w:tcW w:w="1712" w:type="dxa"/>
            <w:shd w:val="clear" w:color="auto" w:fill="auto"/>
            <w:vAlign w:val="center"/>
          </w:tcPr>
          <w:p>
            <w:pPr>
              <w:spacing w:line="560" w:lineRule="exact"/>
              <w:rPr>
                <w:rFonts w:ascii="仿宋_GB2312" w:hAnsi="宋体" w:eastAsia="仿宋"/>
                <w:sz w:val="32"/>
              </w:rPr>
            </w:pPr>
            <w:r>
              <w:rPr>
                <w:rFonts w:ascii="仿宋_GB2312" w:hAnsi="宋体" w:eastAsia="仿宋"/>
                <w:sz w:val="32"/>
              </w:rPr>
              <w:t>马尔康市人民法院</w:t>
            </w:r>
          </w:p>
        </w:tc>
        <w:tc>
          <w:tcPr>
            <w:tcW w:w="6607"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2019年预算编制准确率=（预算资金总来源-中期评估调整取消资金-预算结余注销资金）÷预算资金总来源×指标分值=(21,818,368.71-3,069,609.78)/21,818,368.71 =85.93%。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10</w:t>
            </w:r>
          </w:p>
        </w:tc>
        <w:tc>
          <w:tcPr>
            <w:tcW w:w="1712" w:type="dxa"/>
            <w:shd w:val="clear" w:color="auto" w:fill="auto"/>
            <w:vAlign w:val="center"/>
          </w:tcPr>
          <w:p>
            <w:pPr>
              <w:spacing w:line="560" w:lineRule="exact"/>
              <w:rPr>
                <w:rFonts w:ascii="仿宋_GB2312" w:hAnsi="宋体" w:eastAsia="仿宋"/>
                <w:sz w:val="32"/>
              </w:rPr>
            </w:pPr>
            <w:r>
              <w:rPr>
                <w:rFonts w:ascii="仿宋_GB2312" w:hAnsi="宋体" w:eastAsia="仿宋"/>
                <w:sz w:val="32"/>
              </w:rPr>
              <w:t>马尔康市人民检察院</w:t>
            </w:r>
          </w:p>
        </w:tc>
        <w:tc>
          <w:tcPr>
            <w:tcW w:w="6607"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2019年预算编制准确率=（预算资金总来源-中期评估调整取消资金-预算结余注销资金）÷预算资金总来源×指标分值=(6,116,376.00+5766,889.63-357,106.78-2,235,339.49)/(6,116,376.00+5,766,889.63)=78.18%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11</w:t>
            </w:r>
          </w:p>
        </w:tc>
        <w:tc>
          <w:tcPr>
            <w:tcW w:w="1712" w:type="dxa"/>
            <w:shd w:val="clear" w:color="auto" w:fill="auto"/>
            <w:vAlign w:val="center"/>
          </w:tcPr>
          <w:p>
            <w:pPr>
              <w:spacing w:line="560" w:lineRule="exact"/>
              <w:rPr>
                <w:rFonts w:ascii="仿宋_GB2312" w:hAnsi="宋体" w:eastAsia="仿宋"/>
                <w:sz w:val="32"/>
              </w:rPr>
            </w:pPr>
            <w:r>
              <w:rPr>
                <w:rFonts w:ascii="仿宋_GB2312" w:hAnsi="宋体" w:eastAsia="仿宋"/>
                <w:sz w:val="32"/>
              </w:rPr>
              <w:t>马尔康市卫生健康局</w:t>
            </w:r>
          </w:p>
        </w:tc>
        <w:tc>
          <w:tcPr>
            <w:tcW w:w="6607"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2019年预算编制准确率=（预算资金总来源-中期评估调整取消资金-预算结余注销资金）÷预算资金总来源×指标分值=(54,541,183.00+ 113,162,992.02-0-7,006,471.46)/(54,541,183.00+ 113,162,992.02 )=95.82%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12</w:t>
            </w:r>
          </w:p>
        </w:tc>
        <w:tc>
          <w:tcPr>
            <w:tcW w:w="1712" w:type="dxa"/>
            <w:shd w:val="clear" w:color="auto" w:fill="auto"/>
            <w:vAlign w:val="center"/>
          </w:tcPr>
          <w:p>
            <w:pPr>
              <w:spacing w:line="560" w:lineRule="exact"/>
              <w:rPr>
                <w:rFonts w:ascii="仿宋_GB2312" w:hAnsi="宋体" w:eastAsia="仿宋"/>
                <w:sz w:val="32"/>
              </w:rPr>
            </w:pPr>
            <w:r>
              <w:rPr>
                <w:rFonts w:ascii="仿宋_GB2312" w:hAnsi="宋体" w:eastAsia="仿宋"/>
                <w:sz w:val="32"/>
              </w:rPr>
              <w:t>马尔康市林业和草原局</w:t>
            </w:r>
          </w:p>
        </w:tc>
        <w:tc>
          <w:tcPr>
            <w:tcW w:w="6607"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2019年预算编制准确率=（预算资金总来源-中期评估调整取消资金-预算结余注销资金）÷预算资金总来源×指标分值=(145,448,226.87-51,224,593.91-37,866,070.02)/145,448,226.87=38.75%</w:t>
            </w:r>
          </w:p>
        </w:tc>
      </w:tr>
    </w:tbl>
    <w:p>
      <w:pPr>
        <w:spacing w:line="560" w:lineRule="exact"/>
        <w:rPr>
          <w:rFonts w:hint="eastAsia" w:ascii="仿宋_GB2312" w:hAnsi="宋体" w:eastAsia="仿宋" w:cs="宋体"/>
          <w:bCs/>
          <w:sz w:val="32"/>
          <w:szCs w:val="28"/>
          <w:shd w:val="clear" w:color="auto" w:fill="FFFFFF"/>
        </w:rPr>
      </w:pPr>
    </w:p>
    <w:p>
      <w:pPr>
        <w:spacing w:line="560" w:lineRule="exact"/>
        <w:ind w:firstLine="562"/>
        <w:rPr>
          <w:rFonts w:hint="eastAsia" w:ascii="仿宋_GB2312" w:hAnsi="宋体" w:eastAsia="仿宋" w:cs="宋体"/>
          <w:bCs/>
          <w:sz w:val="32"/>
          <w:szCs w:val="28"/>
          <w:shd w:val="clear" w:color="auto" w:fill="FFFFFF"/>
        </w:rPr>
      </w:pPr>
      <w:r>
        <w:rPr>
          <w:rFonts w:hint="eastAsia" w:ascii="仿宋_GB2312" w:hAnsi="宋体" w:eastAsia="仿宋" w:cs="宋体"/>
          <w:bCs/>
          <w:sz w:val="32"/>
          <w:szCs w:val="28"/>
          <w:shd w:val="clear" w:color="auto" w:fill="FFFFFF"/>
        </w:rPr>
        <w:t>绩效目标方面：</w:t>
      </w:r>
      <w:r>
        <w:rPr>
          <w:rFonts w:hint="eastAsia" w:ascii="仿宋_GB2312" w:hAnsi="宋体" w:eastAsia="仿宋" w:cs="宋体"/>
          <w:sz w:val="32"/>
          <w:szCs w:val="28"/>
          <w:shd w:val="clear" w:color="auto" w:fill="FFFFFF"/>
        </w:rPr>
        <w:t>被评价的</w:t>
      </w:r>
      <w:r>
        <w:rPr>
          <w:rFonts w:ascii="仿宋_GB2312" w:hAnsi="宋体" w:eastAsia="仿宋" w:cs="宋体"/>
          <w:sz w:val="32"/>
          <w:szCs w:val="28"/>
          <w:shd w:val="clear" w:color="auto" w:fill="FFFFFF"/>
        </w:rPr>
        <w:t>6</w:t>
      </w:r>
      <w:r>
        <w:rPr>
          <w:rFonts w:hint="eastAsia" w:ascii="仿宋_GB2312" w:hAnsi="宋体" w:eastAsia="仿宋" w:cs="宋体"/>
          <w:sz w:val="32"/>
          <w:szCs w:val="28"/>
          <w:shd w:val="clear" w:color="auto" w:fill="FFFFFF"/>
        </w:rPr>
        <w:t>个部门明确了部门整体绩效目标编制，涉及重点项目绩效目标的</w:t>
      </w:r>
      <w:r>
        <w:rPr>
          <w:rFonts w:ascii="仿宋_GB2312" w:hAnsi="宋体" w:eastAsia="仿宋" w:cs="宋体"/>
          <w:sz w:val="32"/>
          <w:szCs w:val="28"/>
          <w:shd w:val="clear" w:color="auto" w:fill="FFFFFF"/>
        </w:rPr>
        <w:t>2</w:t>
      </w:r>
      <w:r>
        <w:rPr>
          <w:rFonts w:hint="eastAsia" w:ascii="仿宋_GB2312" w:hAnsi="宋体" w:eastAsia="仿宋" w:cs="宋体"/>
          <w:sz w:val="32"/>
          <w:szCs w:val="28"/>
          <w:shd w:val="clear" w:color="auto" w:fill="FFFFFF"/>
        </w:rPr>
        <w:t>个部门明确了重点项目绩效目标。</w:t>
      </w:r>
    </w:p>
    <w:p>
      <w:pPr>
        <w:pStyle w:val="40"/>
        <w:spacing w:before="156" w:after="156" w:line="560" w:lineRule="exact"/>
        <w:ind w:firstLine="640"/>
        <w:rPr>
          <w:rFonts w:hint="eastAsia" w:ascii="仿宋_GB2312" w:hAnsi="仿宋_GB2312" w:eastAsia="仿宋" w:cs="仿宋_GB2312"/>
          <w:b w:val="0"/>
          <w:color w:val="auto"/>
          <w:sz w:val="32"/>
          <w:szCs w:val="28"/>
        </w:rPr>
      </w:pPr>
      <w:bookmarkStart w:id="37" w:name="_Toc5993"/>
      <w:r>
        <w:rPr>
          <w:rFonts w:hint="eastAsia" w:ascii="仿宋_GB2312" w:hAnsi="仿宋_GB2312" w:eastAsia="仿宋" w:cs="仿宋_GB2312"/>
          <w:b w:val="0"/>
          <w:color w:val="auto"/>
          <w:sz w:val="32"/>
          <w:szCs w:val="28"/>
        </w:rPr>
        <w:t>——预算执行情况</w:t>
      </w:r>
      <w:bookmarkEnd w:id="37"/>
    </w:p>
    <w:p>
      <w:pPr>
        <w:spacing w:line="560" w:lineRule="exact"/>
        <w:ind w:firstLine="560"/>
        <w:rPr>
          <w:rFonts w:ascii="仿宋_GB2312" w:hAnsi="宋体" w:eastAsia="仿宋"/>
          <w:sz w:val="32"/>
          <w:szCs w:val="28"/>
        </w:rPr>
      </w:pPr>
      <w:r>
        <w:rPr>
          <w:rFonts w:hint="eastAsia" w:ascii="仿宋_GB2312" w:hAnsi="宋体" w:eastAsia="仿宋"/>
          <w:sz w:val="32"/>
          <w:szCs w:val="28"/>
        </w:rPr>
        <w:t>该指标权重为20.00分，实得1</w:t>
      </w:r>
      <w:r>
        <w:rPr>
          <w:rFonts w:ascii="仿宋_GB2312" w:hAnsi="宋体" w:eastAsia="仿宋"/>
          <w:sz w:val="32"/>
          <w:szCs w:val="28"/>
        </w:rPr>
        <w:t>6.40</w:t>
      </w:r>
      <w:r>
        <w:rPr>
          <w:rFonts w:hint="eastAsia" w:ascii="仿宋_GB2312" w:hAnsi="宋体" w:eastAsia="仿宋"/>
          <w:sz w:val="32"/>
          <w:szCs w:val="28"/>
        </w:rPr>
        <w:t>分，用于考察部门预算执行进度、执行中期评估、三公经费预算执行情况。</w:t>
      </w:r>
    </w:p>
    <w:p>
      <w:pPr>
        <w:spacing w:line="560" w:lineRule="exact"/>
        <w:ind w:firstLine="560"/>
        <w:rPr>
          <w:rFonts w:hint="eastAsia" w:ascii="仿宋_GB2312" w:hAnsi="宋体" w:eastAsia="仿宋" w:cs="仿宋_GB2312"/>
          <w:bCs/>
          <w:sz w:val="32"/>
          <w:lang w:bidi="ar"/>
        </w:rPr>
      </w:pPr>
      <w:r>
        <w:rPr>
          <w:rFonts w:hint="eastAsia" w:ascii="仿宋_GB2312" w:hAnsi="宋体" w:eastAsia="仿宋" w:cs="仿宋_GB2312"/>
          <w:sz w:val="32"/>
          <w:szCs w:val="28"/>
          <w:lang w:bidi="ar"/>
        </w:rPr>
        <w:t>各分项指标得分和绩效分析如下：</w:t>
      </w:r>
    </w:p>
    <w:p>
      <w:pPr>
        <w:spacing w:line="560" w:lineRule="exact"/>
        <w:ind w:firstLine="482"/>
        <w:jc w:val="center"/>
        <w:rPr>
          <w:rFonts w:ascii="仿宋_GB2312" w:hAnsi="宋体" w:eastAsia="仿宋" w:cs="仿宋_GB2312"/>
          <w:bCs/>
          <w:sz w:val="32"/>
          <w:lang w:bidi="ar"/>
        </w:rPr>
      </w:pPr>
      <w:r>
        <w:rPr>
          <w:rFonts w:hint="eastAsia" w:ascii="仿宋_GB2312" w:hAnsi="宋体" w:eastAsia="仿宋" w:cs="仿宋_GB2312"/>
          <w:bCs/>
          <w:sz w:val="32"/>
          <w:lang w:bidi="ar"/>
        </w:rPr>
        <w:t>表14 预算执行类指标得分情况汇总表</w:t>
      </w:r>
    </w:p>
    <w:tbl>
      <w:tblPr>
        <w:tblStyle w:val="15"/>
        <w:tblpPr w:leftFromText="180" w:rightFromText="180" w:vertAnchor="text" w:horzAnchor="page" w:tblpXSpec="center" w:tblpY="40"/>
        <w:tblOverlap w:val="never"/>
        <w:tblW w:w="5000"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629"/>
        <w:gridCol w:w="2483"/>
        <w:gridCol w:w="2423"/>
        <w:gridCol w:w="246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blHeader/>
          <w:jc w:val="center"/>
        </w:trPr>
        <w:tc>
          <w:tcPr>
            <w:tcW w:w="905"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指标</w:t>
            </w:r>
          </w:p>
        </w:tc>
        <w:tc>
          <w:tcPr>
            <w:tcW w:w="1379"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权重</w:t>
            </w:r>
          </w:p>
        </w:tc>
        <w:tc>
          <w:tcPr>
            <w:tcW w:w="1346"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w:t>
            </w:r>
          </w:p>
        </w:tc>
        <w:tc>
          <w:tcPr>
            <w:tcW w:w="1370"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905" w:type="pct"/>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预算执行</w:t>
            </w:r>
          </w:p>
        </w:tc>
        <w:tc>
          <w:tcPr>
            <w:tcW w:w="1379"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20.00</w:t>
            </w:r>
          </w:p>
        </w:tc>
        <w:tc>
          <w:tcPr>
            <w:tcW w:w="1346" w:type="pct"/>
            <w:vAlign w:val="center"/>
          </w:tcPr>
          <w:p>
            <w:pPr>
              <w:spacing w:line="560" w:lineRule="exact"/>
              <w:jc w:val="center"/>
              <w:rPr>
                <w:rFonts w:ascii="仿宋_GB2312" w:hAnsi="Arial Narrow" w:eastAsia="仿宋"/>
                <w:sz w:val="32"/>
              </w:rPr>
            </w:pPr>
            <w:r>
              <w:rPr>
                <w:rFonts w:ascii="仿宋_GB2312" w:hAnsi="宋体" w:eastAsia="仿宋"/>
                <w:sz w:val="32"/>
              </w:rPr>
              <w:t>16.40</w:t>
            </w:r>
          </w:p>
        </w:tc>
        <w:tc>
          <w:tcPr>
            <w:tcW w:w="1370" w:type="pct"/>
            <w:vAlign w:val="center"/>
          </w:tcPr>
          <w:p>
            <w:pPr>
              <w:spacing w:line="560" w:lineRule="exact"/>
              <w:jc w:val="center"/>
              <w:rPr>
                <w:rFonts w:ascii="仿宋_GB2312" w:hAnsi="Arial Narrow" w:eastAsia="仿宋"/>
                <w:sz w:val="32"/>
              </w:rPr>
            </w:pPr>
            <w:r>
              <w:rPr>
                <w:rFonts w:ascii="仿宋_GB2312" w:hAnsi="宋体" w:eastAsia="仿宋"/>
                <w:sz w:val="32"/>
              </w:rPr>
              <w:t>82.00%</w:t>
            </w:r>
          </w:p>
        </w:tc>
      </w:tr>
    </w:tbl>
    <w:p>
      <w:pPr>
        <w:spacing w:line="560" w:lineRule="exact"/>
        <w:ind w:firstLine="562"/>
        <w:rPr>
          <w:rFonts w:hint="eastAsia" w:ascii="仿宋_GB2312" w:hAnsi="宋体" w:eastAsia="仿宋" w:cs="宋体"/>
          <w:sz w:val="32"/>
          <w:szCs w:val="28"/>
          <w:shd w:val="clear" w:color="auto" w:fill="FFFFFF"/>
        </w:rPr>
      </w:pPr>
      <w:r>
        <w:rPr>
          <w:rFonts w:hint="eastAsia" w:ascii="仿宋_GB2312" w:hAnsi="宋体" w:eastAsia="仿宋" w:cs="宋体"/>
          <w:bCs/>
          <w:sz w:val="32"/>
          <w:szCs w:val="28"/>
          <w:shd w:val="clear" w:color="auto" w:fill="FFFFFF"/>
        </w:rPr>
        <w:t>部门预算执行进度方面：</w:t>
      </w:r>
      <w:r>
        <w:rPr>
          <w:rFonts w:hint="eastAsia" w:ascii="仿宋_GB2312" w:hAnsi="宋体" w:eastAsia="仿宋" w:cs="宋体"/>
          <w:sz w:val="32"/>
          <w:szCs w:val="28"/>
          <w:shd w:val="clear" w:color="auto" w:fill="FFFFFF"/>
        </w:rPr>
        <w:t>部门预算执行进度如下表</w:t>
      </w:r>
    </w:p>
    <w:p>
      <w:pPr>
        <w:spacing w:line="560" w:lineRule="exact"/>
        <w:jc w:val="center"/>
        <w:rPr>
          <w:rFonts w:ascii="仿宋_GB2312" w:hAnsi="宋体" w:eastAsia="仿宋" w:cs="宋体"/>
          <w:sz w:val="32"/>
          <w:szCs w:val="28"/>
          <w:shd w:val="clear" w:color="auto" w:fill="FFFFFF"/>
        </w:rPr>
      </w:pPr>
      <w:r>
        <w:rPr>
          <w:rFonts w:hint="eastAsia" w:ascii="仿宋_GB2312" w:hAnsi="宋体" w:eastAsia="仿宋" w:cs="仿宋_GB2312"/>
          <w:bCs/>
          <w:sz w:val="32"/>
          <w:lang w:bidi="ar"/>
        </w:rPr>
        <w:t>表15 2018年预算执行进度情况表</w:t>
      </w:r>
    </w:p>
    <w:tbl>
      <w:tblPr>
        <w:tblStyle w:val="15"/>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550"/>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序号</w:t>
            </w:r>
          </w:p>
        </w:tc>
        <w:tc>
          <w:tcPr>
            <w:tcW w:w="2550" w:type="dxa"/>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部门</w:t>
            </w:r>
          </w:p>
        </w:tc>
        <w:tc>
          <w:tcPr>
            <w:tcW w:w="5900" w:type="dxa"/>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2018年部门预算执行进度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1</w:t>
            </w:r>
          </w:p>
        </w:tc>
        <w:tc>
          <w:tcPr>
            <w:tcW w:w="2550" w:type="dxa"/>
            <w:shd w:val="clear" w:color="auto" w:fill="auto"/>
            <w:vAlign w:val="center"/>
          </w:tcPr>
          <w:p>
            <w:pPr>
              <w:spacing w:line="560" w:lineRule="exact"/>
              <w:ind w:firstLine="420"/>
              <w:jc w:val="center"/>
              <w:rPr>
                <w:rFonts w:ascii="仿宋_GB2312" w:hAnsi="宋体" w:eastAsia="仿宋"/>
                <w:sz w:val="32"/>
              </w:rPr>
            </w:pPr>
            <w:r>
              <w:rPr>
                <w:rFonts w:ascii="仿宋_GB2312" w:hAnsi="宋体" w:eastAsia="仿宋"/>
                <w:sz w:val="32"/>
              </w:rPr>
              <w:t>马尔康市融媒体中心</w:t>
            </w:r>
          </w:p>
        </w:tc>
        <w:tc>
          <w:tcPr>
            <w:tcW w:w="5900"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2019年部门预算执行进度=部门预算实际列支数÷部门预算总额×指标分值=2,623,926.96/2,623,991.27×100%=100%。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2</w:t>
            </w:r>
          </w:p>
        </w:tc>
        <w:tc>
          <w:tcPr>
            <w:tcW w:w="2550" w:type="dxa"/>
            <w:shd w:val="clear" w:color="auto" w:fill="auto"/>
            <w:vAlign w:val="center"/>
          </w:tcPr>
          <w:p>
            <w:pPr>
              <w:spacing w:line="560" w:lineRule="exact"/>
              <w:ind w:firstLine="420"/>
              <w:jc w:val="center"/>
              <w:rPr>
                <w:rFonts w:ascii="仿宋_GB2312" w:hAnsi="宋体" w:eastAsia="仿宋"/>
                <w:sz w:val="32"/>
              </w:rPr>
            </w:pPr>
            <w:r>
              <w:rPr>
                <w:rFonts w:ascii="仿宋_GB2312" w:hAnsi="宋体" w:eastAsia="仿宋"/>
                <w:sz w:val="32"/>
              </w:rPr>
              <w:t>马尔康市生态环境局</w:t>
            </w:r>
          </w:p>
        </w:tc>
        <w:tc>
          <w:tcPr>
            <w:tcW w:w="5900"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2019年部门预算执行进度=部门预算实际列支数÷部门预算总额×100%=6,427,656.86 / 22,477,170.33×100%=28.60%。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3</w:t>
            </w:r>
          </w:p>
        </w:tc>
        <w:tc>
          <w:tcPr>
            <w:tcW w:w="2550" w:type="dxa"/>
            <w:shd w:val="clear" w:color="auto" w:fill="auto"/>
            <w:vAlign w:val="center"/>
          </w:tcPr>
          <w:p>
            <w:pPr>
              <w:spacing w:line="560" w:lineRule="exact"/>
              <w:ind w:firstLine="420"/>
              <w:jc w:val="center"/>
              <w:rPr>
                <w:rFonts w:ascii="仿宋_GB2312" w:hAnsi="宋体" w:eastAsia="仿宋"/>
                <w:sz w:val="32"/>
              </w:rPr>
            </w:pPr>
            <w:r>
              <w:rPr>
                <w:rFonts w:ascii="仿宋_GB2312" w:hAnsi="宋体" w:eastAsia="仿宋"/>
                <w:sz w:val="32"/>
              </w:rPr>
              <w:t>马尔康市公共服务中心</w:t>
            </w:r>
          </w:p>
        </w:tc>
        <w:tc>
          <w:tcPr>
            <w:tcW w:w="5900"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2019年部门预算执行进度=部门预算实际列支数÷部门预算总额×100%=671.49/671.49×100%=100%。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4</w:t>
            </w:r>
          </w:p>
        </w:tc>
        <w:tc>
          <w:tcPr>
            <w:tcW w:w="2550" w:type="dxa"/>
            <w:shd w:val="clear" w:color="auto" w:fill="auto"/>
            <w:vAlign w:val="center"/>
          </w:tcPr>
          <w:p>
            <w:pPr>
              <w:spacing w:line="560" w:lineRule="exact"/>
              <w:ind w:firstLine="420"/>
              <w:jc w:val="center"/>
              <w:rPr>
                <w:rFonts w:ascii="仿宋_GB2312" w:hAnsi="宋体" w:eastAsia="仿宋"/>
                <w:sz w:val="32"/>
              </w:rPr>
            </w:pPr>
            <w:r>
              <w:rPr>
                <w:rFonts w:ascii="仿宋_GB2312" w:hAnsi="宋体" w:eastAsia="仿宋"/>
                <w:sz w:val="32"/>
              </w:rPr>
              <w:t>马尔康市住房和城乡建设局</w:t>
            </w:r>
          </w:p>
        </w:tc>
        <w:tc>
          <w:tcPr>
            <w:tcW w:w="5900"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2019年部门预算执行进度=部门预算实际列支数÷部门预算总额×100%=6,090.93/7,004.25=86.96%。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5</w:t>
            </w:r>
          </w:p>
        </w:tc>
        <w:tc>
          <w:tcPr>
            <w:tcW w:w="2550" w:type="dxa"/>
            <w:shd w:val="clear" w:color="auto" w:fill="auto"/>
            <w:vAlign w:val="center"/>
          </w:tcPr>
          <w:p>
            <w:pPr>
              <w:spacing w:line="560" w:lineRule="exact"/>
              <w:ind w:firstLine="420"/>
              <w:jc w:val="center"/>
              <w:rPr>
                <w:rFonts w:ascii="仿宋_GB2312" w:hAnsi="宋体" w:eastAsia="仿宋"/>
                <w:sz w:val="32"/>
              </w:rPr>
            </w:pPr>
            <w:r>
              <w:rPr>
                <w:rFonts w:ascii="仿宋_GB2312" w:hAnsi="宋体" w:eastAsia="仿宋"/>
                <w:sz w:val="32"/>
              </w:rPr>
              <w:t>马尔康市松岗镇人民政府</w:t>
            </w:r>
          </w:p>
        </w:tc>
        <w:tc>
          <w:tcPr>
            <w:tcW w:w="5900"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2019年部门预算执行进度=部门预算实际列支数÷部门预算总额×指标分值=1,587.00/2,031.09×100%=78.14%。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hAnsi="宋体" w:eastAsia="仿宋"/>
                <w:sz w:val="32"/>
              </w:rPr>
              <w:t>6</w:t>
            </w:r>
          </w:p>
        </w:tc>
        <w:tc>
          <w:tcPr>
            <w:tcW w:w="2550" w:type="dxa"/>
            <w:shd w:val="clear" w:color="auto" w:fill="auto"/>
            <w:vAlign w:val="center"/>
          </w:tcPr>
          <w:p>
            <w:pPr>
              <w:spacing w:line="560" w:lineRule="exact"/>
              <w:ind w:firstLine="420"/>
              <w:jc w:val="center"/>
              <w:rPr>
                <w:rFonts w:ascii="仿宋_GB2312" w:hAnsi="宋体" w:eastAsia="仿宋"/>
                <w:sz w:val="32"/>
              </w:rPr>
            </w:pPr>
            <w:r>
              <w:rPr>
                <w:rFonts w:ascii="仿宋_GB2312" w:hAnsi="宋体" w:eastAsia="仿宋"/>
                <w:sz w:val="32"/>
              </w:rPr>
              <w:t>马尔康市应急管理局</w:t>
            </w:r>
          </w:p>
        </w:tc>
        <w:tc>
          <w:tcPr>
            <w:tcW w:w="5900"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2019年部门预算执行进度=部门预算实际列支数÷部门预算总额×100%=420.17/474.17×100%=88.61%。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eastAsia="仿宋"/>
                <w:sz w:val="32"/>
              </w:rPr>
              <w:t>7</w:t>
            </w:r>
          </w:p>
        </w:tc>
        <w:tc>
          <w:tcPr>
            <w:tcW w:w="2550" w:type="dxa"/>
            <w:shd w:val="clear" w:color="auto" w:fill="auto"/>
            <w:vAlign w:val="center"/>
          </w:tcPr>
          <w:p>
            <w:pPr>
              <w:spacing w:line="560" w:lineRule="exact"/>
              <w:ind w:firstLine="420"/>
              <w:jc w:val="center"/>
              <w:rPr>
                <w:rFonts w:ascii="仿宋_GB2312" w:hAnsi="宋体" w:eastAsia="仿宋"/>
                <w:sz w:val="32"/>
              </w:rPr>
            </w:pPr>
            <w:r>
              <w:rPr>
                <w:rFonts w:ascii="仿宋_GB2312" w:eastAsia="仿宋"/>
                <w:sz w:val="32"/>
              </w:rPr>
              <w:t>马尔康市经济商务和信息化局</w:t>
            </w:r>
          </w:p>
        </w:tc>
        <w:tc>
          <w:tcPr>
            <w:tcW w:w="5900"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2019年部门预算执行进度=部门预算实际列支数÷部门预算总额×100%=1638.76/2,570.08×100%=63.76%。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eastAsia="仿宋"/>
                <w:sz w:val="32"/>
              </w:rPr>
              <w:t>8</w:t>
            </w:r>
          </w:p>
        </w:tc>
        <w:tc>
          <w:tcPr>
            <w:tcW w:w="2550" w:type="dxa"/>
            <w:shd w:val="clear" w:color="auto" w:fill="auto"/>
            <w:vAlign w:val="center"/>
          </w:tcPr>
          <w:p>
            <w:pPr>
              <w:spacing w:line="560" w:lineRule="exact"/>
              <w:ind w:firstLine="420"/>
              <w:jc w:val="center"/>
              <w:rPr>
                <w:rFonts w:ascii="仿宋_GB2312" w:hAnsi="宋体" w:eastAsia="仿宋"/>
                <w:sz w:val="32"/>
              </w:rPr>
            </w:pPr>
            <w:r>
              <w:rPr>
                <w:rFonts w:ascii="仿宋_GB2312" w:eastAsia="仿宋"/>
                <w:sz w:val="32"/>
              </w:rPr>
              <w:t>马尔康市自然资源局</w:t>
            </w:r>
          </w:p>
        </w:tc>
        <w:tc>
          <w:tcPr>
            <w:tcW w:w="5900"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2019年部门预算执行进度=部门预算实际列支数÷部门预算总额×100%=4,586.73/5,787.86×100%=79.25%。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eastAsia="仿宋"/>
                <w:sz w:val="32"/>
              </w:rPr>
              <w:t>9</w:t>
            </w:r>
          </w:p>
        </w:tc>
        <w:tc>
          <w:tcPr>
            <w:tcW w:w="2550" w:type="dxa"/>
            <w:shd w:val="clear" w:color="auto" w:fill="auto"/>
            <w:vAlign w:val="center"/>
          </w:tcPr>
          <w:p>
            <w:pPr>
              <w:spacing w:line="560" w:lineRule="exact"/>
              <w:ind w:firstLine="420"/>
              <w:jc w:val="center"/>
              <w:rPr>
                <w:rFonts w:ascii="仿宋_GB2312" w:hAnsi="宋体" w:eastAsia="仿宋"/>
                <w:sz w:val="32"/>
              </w:rPr>
            </w:pPr>
            <w:r>
              <w:rPr>
                <w:rFonts w:ascii="仿宋_GB2312" w:eastAsia="仿宋"/>
                <w:sz w:val="32"/>
              </w:rPr>
              <w:t>马尔康市人民法院</w:t>
            </w:r>
          </w:p>
        </w:tc>
        <w:tc>
          <w:tcPr>
            <w:tcW w:w="5900"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2019年部门预算执行进度=部门预算实际列支数÷部门预算总额×100%=1,874.88/1,934.73元×100%=96.91%。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eastAsia="仿宋"/>
                <w:sz w:val="32"/>
              </w:rPr>
              <w:t>10</w:t>
            </w:r>
          </w:p>
        </w:tc>
        <w:tc>
          <w:tcPr>
            <w:tcW w:w="2550" w:type="dxa"/>
            <w:shd w:val="clear" w:color="auto" w:fill="auto"/>
            <w:vAlign w:val="center"/>
          </w:tcPr>
          <w:p>
            <w:pPr>
              <w:spacing w:line="560" w:lineRule="exact"/>
              <w:ind w:firstLine="420"/>
              <w:jc w:val="center"/>
              <w:rPr>
                <w:rFonts w:ascii="仿宋_GB2312" w:hAnsi="宋体" w:eastAsia="仿宋"/>
                <w:sz w:val="32"/>
              </w:rPr>
            </w:pPr>
            <w:r>
              <w:rPr>
                <w:rFonts w:ascii="仿宋_GB2312" w:eastAsia="仿宋"/>
                <w:sz w:val="32"/>
              </w:rPr>
              <w:t>马尔康市人民检察院</w:t>
            </w:r>
          </w:p>
        </w:tc>
        <w:tc>
          <w:tcPr>
            <w:tcW w:w="5900"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2019年部门预算执行进度=部门预算实际列支数÷部门预算总额×100%=1,135.33/1,308.07×100%=86.79%。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eastAsia="仿宋"/>
                <w:sz w:val="32"/>
              </w:rPr>
              <w:t>11</w:t>
            </w:r>
          </w:p>
        </w:tc>
        <w:tc>
          <w:tcPr>
            <w:tcW w:w="2550" w:type="dxa"/>
            <w:shd w:val="clear" w:color="auto" w:fill="auto"/>
            <w:vAlign w:val="center"/>
          </w:tcPr>
          <w:p>
            <w:pPr>
              <w:spacing w:line="560" w:lineRule="exact"/>
              <w:ind w:firstLine="420"/>
              <w:jc w:val="center"/>
              <w:rPr>
                <w:rFonts w:ascii="仿宋_GB2312" w:hAnsi="宋体" w:eastAsia="仿宋"/>
                <w:sz w:val="32"/>
              </w:rPr>
            </w:pPr>
            <w:r>
              <w:rPr>
                <w:rFonts w:ascii="仿宋_GB2312" w:eastAsia="仿宋"/>
                <w:sz w:val="32"/>
              </w:rPr>
              <w:t>马尔康市卫生健康局</w:t>
            </w:r>
          </w:p>
        </w:tc>
        <w:tc>
          <w:tcPr>
            <w:tcW w:w="5900"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2019年部门预算执行进度=部门预算实际列支数÷部门预算总额×100%=10,438.83/13,181.71×100%=79.19%。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eastAsia="仿宋"/>
                <w:sz w:val="32"/>
              </w:rPr>
              <w:t>12</w:t>
            </w:r>
          </w:p>
        </w:tc>
        <w:tc>
          <w:tcPr>
            <w:tcW w:w="2550" w:type="dxa"/>
            <w:shd w:val="clear" w:color="auto" w:fill="auto"/>
            <w:vAlign w:val="center"/>
          </w:tcPr>
          <w:p>
            <w:pPr>
              <w:spacing w:line="560" w:lineRule="exact"/>
              <w:ind w:firstLine="420"/>
              <w:jc w:val="center"/>
              <w:rPr>
                <w:rFonts w:ascii="仿宋_GB2312" w:hAnsi="宋体" w:eastAsia="仿宋"/>
                <w:sz w:val="32"/>
              </w:rPr>
            </w:pPr>
            <w:r>
              <w:rPr>
                <w:rFonts w:ascii="仿宋_GB2312" w:eastAsia="仿宋"/>
                <w:sz w:val="32"/>
              </w:rPr>
              <w:t>马尔康市林业和草原局</w:t>
            </w:r>
          </w:p>
        </w:tc>
        <w:tc>
          <w:tcPr>
            <w:tcW w:w="5900"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2019年部门预算执行进度=部门预算实际列支数÷部门预算总额×100%=6,454.45/9,147.68×100%=70.56%。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shd w:val="clear" w:color="auto" w:fill="auto"/>
            <w:vAlign w:val="center"/>
          </w:tcPr>
          <w:p>
            <w:pPr>
              <w:spacing w:line="560" w:lineRule="exact"/>
              <w:jc w:val="center"/>
              <w:rPr>
                <w:rFonts w:ascii="仿宋_GB2312" w:hAnsi="宋体" w:eastAsia="仿宋"/>
                <w:sz w:val="32"/>
              </w:rPr>
            </w:pPr>
            <w:r>
              <w:rPr>
                <w:rFonts w:ascii="仿宋_GB2312" w:eastAsia="仿宋"/>
                <w:sz w:val="32"/>
              </w:rPr>
              <w:t>13</w:t>
            </w:r>
          </w:p>
        </w:tc>
        <w:tc>
          <w:tcPr>
            <w:tcW w:w="2550" w:type="dxa"/>
            <w:shd w:val="clear" w:color="auto" w:fill="auto"/>
            <w:vAlign w:val="center"/>
          </w:tcPr>
          <w:p>
            <w:pPr>
              <w:spacing w:line="560" w:lineRule="exact"/>
              <w:ind w:firstLine="420"/>
              <w:jc w:val="center"/>
              <w:rPr>
                <w:rFonts w:ascii="仿宋_GB2312" w:hAnsi="宋体" w:eastAsia="仿宋"/>
                <w:sz w:val="32"/>
              </w:rPr>
            </w:pPr>
            <w:r>
              <w:rPr>
                <w:rFonts w:ascii="仿宋_GB2312" w:eastAsia="仿宋"/>
                <w:sz w:val="32"/>
              </w:rPr>
              <w:t>马尔康市水务局</w:t>
            </w:r>
          </w:p>
        </w:tc>
        <w:tc>
          <w:tcPr>
            <w:tcW w:w="5900" w:type="dxa"/>
            <w:shd w:val="clear" w:color="auto" w:fill="auto"/>
            <w:vAlign w:val="center"/>
          </w:tcPr>
          <w:p>
            <w:pPr>
              <w:spacing w:line="560" w:lineRule="exact"/>
              <w:rPr>
                <w:rFonts w:ascii="仿宋_GB2312" w:hAnsi="宋体" w:eastAsia="仿宋"/>
                <w:sz w:val="32"/>
              </w:rPr>
            </w:pPr>
            <w:r>
              <w:rPr>
                <w:rFonts w:ascii="仿宋_GB2312" w:hAnsi="宋体" w:eastAsia="仿宋"/>
                <w:sz w:val="32"/>
              </w:rPr>
              <w:t>2019年部门预算执行进度=部门预算实际列支数÷部门预算总额×100%=2714.47/8270.49×100%=32.82%。</w:t>
            </w:r>
          </w:p>
        </w:tc>
      </w:tr>
    </w:tbl>
    <w:p>
      <w:pPr>
        <w:spacing w:line="560" w:lineRule="exact"/>
        <w:ind w:firstLine="562"/>
        <w:rPr>
          <w:rFonts w:hint="eastAsia" w:ascii="仿宋_GB2312" w:hAnsi="宋体" w:eastAsia="仿宋" w:cs="宋体"/>
          <w:bCs/>
          <w:sz w:val="32"/>
          <w:szCs w:val="28"/>
          <w:shd w:val="clear" w:color="auto" w:fill="FFFFFF"/>
        </w:rPr>
      </w:pPr>
    </w:p>
    <w:p>
      <w:pPr>
        <w:spacing w:line="560" w:lineRule="exact"/>
        <w:ind w:firstLine="562"/>
        <w:rPr>
          <w:rFonts w:hint="eastAsia" w:ascii="仿宋_GB2312" w:hAnsi="宋体" w:eastAsia="仿宋" w:cs="宋体"/>
          <w:sz w:val="32"/>
          <w:szCs w:val="28"/>
          <w:shd w:val="clear" w:color="auto" w:fill="FFFFFF"/>
        </w:rPr>
      </w:pPr>
      <w:r>
        <w:rPr>
          <w:rFonts w:hint="eastAsia" w:ascii="仿宋_GB2312" w:hAnsi="宋体" w:eastAsia="仿宋" w:cs="宋体"/>
          <w:bCs/>
          <w:sz w:val="32"/>
          <w:szCs w:val="28"/>
          <w:shd w:val="clear" w:color="auto" w:fill="FFFFFF"/>
        </w:rPr>
        <w:t>执行中期评估方面：</w:t>
      </w:r>
      <w:r>
        <w:rPr>
          <w:rFonts w:hint="eastAsia" w:ascii="仿宋_GB2312" w:hAnsi="宋体" w:eastAsia="仿宋" w:cs="宋体"/>
          <w:sz w:val="32"/>
          <w:szCs w:val="28"/>
          <w:shd w:val="clear" w:color="auto" w:fill="FFFFFF"/>
        </w:rPr>
        <w:t>201</w:t>
      </w:r>
      <w:r>
        <w:rPr>
          <w:rFonts w:ascii="仿宋_GB2312" w:hAnsi="宋体" w:eastAsia="仿宋" w:cs="宋体"/>
          <w:sz w:val="32"/>
          <w:szCs w:val="28"/>
          <w:shd w:val="clear" w:color="auto" w:fill="FFFFFF"/>
        </w:rPr>
        <w:t>9</w:t>
      </w:r>
      <w:r>
        <w:rPr>
          <w:rFonts w:hint="eastAsia" w:ascii="仿宋_GB2312" w:hAnsi="宋体" w:eastAsia="仿宋" w:cs="宋体"/>
          <w:sz w:val="32"/>
          <w:szCs w:val="28"/>
          <w:shd w:val="clear" w:color="auto" w:fill="FFFFFF"/>
        </w:rPr>
        <w:t>年末结转结余资金情况详见下表：</w:t>
      </w:r>
    </w:p>
    <w:p>
      <w:pPr>
        <w:spacing w:line="560" w:lineRule="exact"/>
        <w:jc w:val="center"/>
        <w:rPr>
          <w:rFonts w:hint="eastAsia" w:ascii="仿宋_GB2312" w:hAnsi="宋体" w:eastAsia="仿宋" w:cs="宋体"/>
          <w:sz w:val="32"/>
          <w:szCs w:val="28"/>
          <w:shd w:val="clear" w:color="auto" w:fill="FFFFFF"/>
        </w:rPr>
      </w:pPr>
      <w:r>
        <w:rPr>
          <w:rFonts w:hint="eastAsia" w:ascii="仿宋_GB2312" w:hAnsi="宋体" w:eastAsia="仿宋" w:cs="仿宋_GB2312"/>
          <w:bCs/>
          <w:sz w:val="32"/>
          <w:lang w:bidi="ar"/>
        </w:rPr>
        <w:t>表16 2018年末结转结余资金情况表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4224"/>
        <w:gridCol w:w="3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序号</w:t>
            </w:r>
          </w:p>
        </w:tc>
        <w:tc>
          <w:tcPr>
            <w:tcW w:w="2346" w:type="pct"/>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部门</w:t>
            </w:r>
          </w:p>
        </w:tc>
        <w:tc>
          <w:tcPr>
            <w:tcW w:w="2025" w:type="pct"/>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2018年末结转结余资金（元）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1</w:t>
            </w:r>
          </w:p>
        </w:tc>
        <w:tc>
          <w:tcPr>
            <w:tcW w:w="2346"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马尔康市融媒体中心</w:t>
            </w:r>
          </w:p>
        </w:tc>
        <w:tc>
          <w:tcPr>
            <w:tcW w:w="2025" w:type="pct"/>
            <w:shd w:val="clear" w:color="auto" w:fill="auto"/>
            <w:vAlign w:val="center"/>
          </w:tcPr>
          <w:p>
            <w:pPr>
              <w:spacing w:line="560" w:lineRule="exact"/>
              <w:ind w:firstLine="420"/>
              <w:jc w:val="right"/>
              <w:rPr>
                <w:rFonts w:ascii="仿宋_GB2312" w:hAnsi="宋体"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2</w:t>
            </w:r>
          </w:p>
        </w:tc>
        <w:tc>
          <w:tcPr>
            <w:tcW w:w="2346"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马尔康市生态环境局</w:t>
            </w:r>
          </w:p>
        </w:tc>
        <w:tc>
          <w:tcPr>
            <w:tcW w:w="2025" w:type="pct"/>
            <w:shd w:val="clear" w:color="auto" w:fill="auto"/>
            <w:vAlign w:val="center"/>
          </w:tcPr>
          <w:p>
            <w:pPr>
              <w:spacing w:line="560" w:lineRule="exact"/>
              <w:ind w:firstLine="420"/>
              <w:jc w:val="right"/>
              <w:rPr>
                <w:rFonts w:ascii="仿宋_GB2312" w:hAnsi="宋体"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3</w:t>
            </w:r>
          </w:p>
        </w:tc>
        <w:tc>
          <w:tcPr>
            <w:tcW w:w="2346"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马尔康市公共服务中心</w:t>
            </w:r>
          </w:p>
        </w:tc>
        <w:tc>
          <w:tcPr>
            <w:tcW w:w="2025" w:type="pct"/>
            <w:shd w:val="clear" w:color="auto" w:fill="auto"/>
            <w:vAlign w:val="center"/>
          </w:tcPr>
          <w:p>
            <w:pPr>
              <w:spacing w:line="560" w:lineRule="exact"/>
              <w:ind w:firstLine="420"/>
              <w:jc w:val="right"/>
              <w:rPr>
                <w:rFonts w:ascii="仿宋_GB2312" w:hAnsi="宋体"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4</w:t>
            </w:r>
          </w:p>
        </w:tc>
        <w:tc>
          <w:tcPr>
            <w:tcW w:w="2346"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马尔康市住房和城乡建设局</w:t>
            </w:r>
          </w:p>
        </w:tc>
        <w:tc>
          <w:tcPr>
            <w:tcW w:w="2025" w:type="pct"/>
            <w:shd w:val="clear" w:color="auto" w:fill="auto"/>
            <w:vAlign w:val="center"/>
          </w:tcPr>
          <w:p>
            <w:pPr>
              <w:spacing w:line="560" w:lineRule="exact"/>
              <w:ind w:firstLine="420"/>
              <w:jc w:val="right"/>
              <w:rPr>
                <w:rFonts w:ascii="仿宋_GB2312" w:hAnsi="宋体"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5</w:t>
            </w:r>
          </w:p>
        </w:tc>
        <w:tc>
          <w:tcPr>
            <w:tcW w:w="2346"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马尔康市松岗镇人民政府</w:t>
            </w:r>
          </w:p>
        </w:tc>
        <w:tc>
          <w:tcPr>
            <w:tcW w:w="2025" w:type="pct"/>
            <w:shd w:val="clear" w:color="auto" w:fill="auto"/>
            <w:vAlign w:val="center"/>
          </w:tcPr>
          <w:p>
            <w:pPr>
              <w:spacing w:line="560" w:lineRule="exact"/>
              <w:ind w:firstLine="420"/>
              <w:jc w:val="right"/>
              <w:rPr>
                <w:rFonts w:ascii="仿宋_GB2312" w:hAnsi="宋体"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6</w:t>
            </w:r>
          </w:p>
        </w:tc>
        <w:tc>
          <w:tcPr>
            <w:tcW w:w="2346"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马尔康市应急管理局</w:t>
            </w:r>
          </w:p>
        </w:tc>
        <w:tc>
          <w:tcPr>
            <w:tcW w:w="2025" w:type="pct"/>
            <w:shd w:val="clear" w:color="auto" w:fill="auto"/>
            <w:vAlign w:val="center"/>
          </w:tcPr>
          <w:p>
            <w:pPr>
              <w:spacing w:line="560" w:lineRule="exact"/>
              <w:ind w:firstLine="420"/>
              <w:jc w:val="right"/>
              <w:rPr>
                <w:rFonts w:ascii="仿宋_GB2312" w:hAnsi="宋体"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7</w:t>
            </w:r>
          </w:p>
        </w:tc>
        <w:tc>
          <w:tcPr>
            <w:tcW w:w="2346" w:type="pct"/>
            <w:shd w:val="clear" w:color="auto" w:fill="auto"/>
            <w:vAlign w:val="center"/>
          </w:tcPr>
          <w:p>
            <w:pPr>
              <w:spacing w:line="560" w:lineRule="exact"/>
              <w:ind w:firstLine="420"/>
              <w:rPr>
                <w:rFonts w:ascii="仿宋_GB2312" w:hAnsi="宋体" w:eastAsia="仿宋"/>
                <w:sz w:val="32"/>
              </w:rPr>
            </w:pPr>
            <w:r>
              <w:rPr>
                <w:rFonts w:ascii="仿宋_GB2312" w:eastAsia="仿宋"/>
                <w:sz w:val="32"/>
              </w:rPr>
              <w:t>马尔康市经济商务和信息化局</w:t>
            </w:r>
          </w:p>
        </w:tc>
        <w:tc>
          <w:tcPr>
            <w:tcW w:w="2025" w:type="pct"/>
            <w:shd w:val="clear" w:color="auto" w:fill="auto"/>
            <w:vAlign w:val="center"/>
          </w:tcPr>
          <w:p>
            <w:pPr>
              <w:spacing w:line="560" w:lineRule="exact"/>
              <w:ind w:firstLine="420"/>
              <w:jc w:val="right"/>
              <w:rPr>
                <w:rFonts w:ascii="仿宋_GB2312" w:hAnsi="宋体"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8</w:t>
            </w:r>
          </w:p>
        </w:tc>
        <w:tc>
          <w:tcPr>
            <w:tcW w:w="2346" w:type="pct"/>
            <w:shd w:val="clear" w:color="auto" w:fill="auto"/>
            <w:vAlign w:val="center"/>
          </w:tcPr>
          <w:p>
            <w:pPr>
              <w:spacing w:line="560" w:lineRule="exact"/>
              <w:ind w:firstLine="420"/>
              <w:rPr>
                <w:rFonts w:ascii="仿宋_GB2312" w:hAnsi="宋体" w:eastAsia="仿宋"/>
                <w:sz w:val="32"/>
              </w:rPr>
            </w:pPr>
            <w:r>
              <w:rPr>
                <w:rFonts w:ascii="仿宋_GB2312" w:eastAsia="仿宋"/>
                <w:sz w:val="32"/>
              </w:rPr>
              <w:t>马尔康市自然资源局</w:t>
            </w:r>
          </w:p>
        </w:tc>
        <w:tc>
          <w:tcPr>
            <w:tcW w:w="2025" w:type="pct"/>
            <w:shd w:val="clear" w:color="auto" w:fill="auto"/>
            <w:vAlign w:val="center"/>
          </w:tcPr>
          <w:p>
            <w:pPr>
              <w:spacing w:line="560" w:lineRule="exact"/>
              <w:ind w:firstLine="420"/>
              <w:jc w:val="right"/>
              <w:rPr>
                <w:rFonts w:ascii="仿宋_GB2312" w:hAnsi="宋体" w:eastAsia="仿宋"/>
                <w:sz w:val="32"/>
              </w:rPr>
            </w:pPr>
            <w:r>
              <w:rPr>
                <w:rFonts w:ascii="仿宋_GB2312" w:hAnsi="宋体" w:eastAsia="仿宋"/>
                <w:sz w:val="32"/>
              </w:rPr>
              <w:t>12,011,267.04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9</w:t>
            </w:r>
          </w:p>
        </w:tc>
        <w:tc>
          <w:tcPr>
            <w:tcW w:w="2346" w:type="pct"/>
            <w:shd w:val="clear" w:color="auto" w:fill="auto"/>
            <w:vAlign w:val="center"/>
          </w:tcPr>
          <w:p>
            <w:pPr>
              <w:spacing w:line="560" w:lineRule="exact"/>
              <w:ind w:firstLine="420"/>
              <w:rPr>
                <w:rFonts w:ascii="仿宋_GB2312" w:hAnsi="宋体" w:eastAsia="仿宋"/>
                <w:sz w:val="32"/>
              </w:rPr>
            </w:pPr>
            <w:r>
              <w:rPr>
                <w:rFonts w:ascii="仿宋_GB2312" w:eastAsia="仿宋"/>
                <w:sz w:val="32"/>
              </w:rPr>
              <w:t>马尔康市人民法院</w:t>
            </w:r>
          </w:p>
        </w:tc>
        <w:tc>
          <w:tcPr>
            <w:tcW w:w="2025" w:type="pct"/>
            <w:shd w:val="clear" w:color="auto" w:fill="auto"/>
            <w:vAlign w:val="center"/>
          </w:tcPr>
          <w:p>
            <w:pPr>
              <w:spacing w:line="560" w:lineRule="exact"/>
              <w:ind w:firstLine="420"/>
              <w:jc w:val="right"/>
              <w:rPr>
                <w:rFonts w:ascii="仿宋_GB2312" w:hAnsi="宋体" w:eastAsia="仿宋"/>
                <w:sz w:val="32"/>
              </w:rPr>
            </w:pPr>
            <w:r>
              <w:rPr>
                <w:rFonts w:ascii="仿宋_GB2312" w:hAnsi="宋体" w:eastAsia="仿宋"/>
                <w:sz w:val="32"/>
              </w:rPr>
              <w:t>3,069,609.78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10</w:t>
            </w:r>
          </w:p>
        </w:tc>
        <w:tc>
          <w:tcPr>
            <w:tcW w:w="2346" w:type="pct"/>
            <w:shd w:val="clear" w:color="auto" w:fill="auto"/>
            <w:vAlign w:val="center"/>
          </w:tcPr>
          <w:p>
            <w:pPr>
              <w:spacing w:line="560" w:lineRule="exact"/>
              <w:ind w:firstLine="420"/>
              <w:rPr>
                <w:rFonts w:ascii="仿宋_GB2312" w:hAnsi="宋体" w:eastAsia="仿宋"/>
                <w:sz w:val="32"/>
              </w:rPr>
            </w:pPr>
            <w:r>
              <w:rPr>
                <w:rFonts w:ascii="仿宋_GB2312" w:eastAsia="仿宋"/>
                <w:sz w:val="32"/>
              </w:rPr>
              <w:t>马尔康市人民检察院</w:t>
            </w:r>
          </w:p>
        </w:tc>
        <w:tc>
          <w:tcPr>
            <w:tcW w:w="2025" w:type="pct"/>
            <w:shd w:val="clear" w:color="auto" w:fill="auto"/>
            <w:vAlign w:val="center"/>
          </w:tcPr>
          <w:p>
            <w:pPr>
              <w:spacing w:line="560" w:lineRule="exact"/>
              <w:ind w:firstLine="420"/>
              <w:jc w:val="right"/>
              <w:rPr>
                <w:rFonts w:ascii="仿宋_GB2312" w:hAnsi="宋体" w:eastAsia="仿宋"/>
                <w:sz w:val="32"/>
              </w:rPr>
            </w:pPr>
            <w:r>
              <w:rPr>
                <w:rFonts w:ascii="仿宋_GB2312" w:hAnsi="宋体" w:eastAsia="仿宋"/>
                <w:sz w:val="32"/>
              </w:rPr>
              <w:t>1,727,385.43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11</w:t>
            </w:r>
          </w:p>
        </w:tc>
        <w:tc>
          <w:tcPr>
            <w:tcW w:w="2346" w:type="pct"/>
            <w:shd w:val="clear" w:color="auto" w:fill="auto"/>
            <w:vAlign w:val="center"/>
          </w:tcPr>
          <w:p>
            <w:pPr>
              <w:spacing w:line="560" w:lineRule="exact"/>
              <w:ind w:firstLine="420"/>
              <w:rPr>
                <w:rFonts w:ascii="仿宋_GB2312" w:hAnsi="宋体" w:eastAsia="仿宋"/>
                <w:sz w:val="32"/>
              </w:rPr>
            </w:pPr>
            <w:r>
              <w:rPr>
                <w:rFonts w:ascii="仿宋_GB2312" w:eastAsia="仿宋"/>
                <w:sz w:val="32"/>
              </w:rPr>
              <w:t>马尔康市卫生健康局</w:t>
            </w:r>
          </w:p>
        </w:tc>
        <w:tc>
          <w:tcPr>
            <w:tcW w:w="2025" w:type="pct"/>
            <w:shd w:val="clear" w:color="auto" w:fill="auto"/>
            <w:vAlign w:val="center"/>
          </w:tcPr>
          <w:p>
            <w:pPr>
              <w:spacing w:line="560" w:lineRule="exact"/>
              <w:ind w:firstLine="420"/>
              <w:jc w:val="right"/>
              <w:rPr>
                <w:rFonts w:ascii="仿宋_GB2312" w:hAnsi="宋体" w:eastAsia="仿宋"/>
                <w:sz w:val="32"/>
              </w:rPr>
            </w:pPr>
            <w:r>
              <w:rPr>
                <w:rFonts w:ascii="仿宋_GB2312" w:hAnsi="宋体" w:eastAsia="仿宋"/>
                <w:sz w:val="32"/>
              </w:rPr>
              <w:t>27,183,612.46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12</w:t>
            </w:r>
          </w:p>
        </w:tc>
        <w:tc>
          <w:tcPr>
            <w:tcW w:w="2346" w:type="pct"/>
            <w:shd w:val="clear" w:color="auto" w:fill="auto"/>
            <w:vAlign w:val="center"/>
          </w:tcPr>
          <w:p>
            <w:pPr>
              <w:spacing w:line="560" w:lineRule="exact"/>
              <w:ind w:firstLine="420"/>
              <w:rPr>
                <w:rFonts w:ascii="仿宋_GB2312" w:hAnsi="宋体" w:eastAsia="仿宋"/>
                <w:sz w:val="32"/>
              </w:rPr>
            </w:pPr>
            <w:r>
              <w:rPr>
                <w:rFonts w:ascii="仿宋_GB2312" w:eastAsia="仿宋"/>
                <w:sz w:val="32"/>
              </w:rPr>
              <w:t>马尔康市林业和草原局</w:t>
            </w:r>
          </w:p>
        </w:tc>
        <w:tc>
          <w:tcPr>
            <w:tcW w:w="2025" w:type="pct"/>
            <w:shd w:val="clear" w:color="auto" w:fill="auto"/>
            <w:vAlign w:val="center"/>
          </w:tcPr>
          <w:p>
            <w:pPr>
              <w:spacing w:line="560" w:lineRule="exact"/>
              <w:ind w:firstLine="420"/>
              <w:jc w:val="right"/>
              <w:rPr>
                <w:rFonts w:ascii="仿宋_GB2312" w:hAnsi="宋体" w:eastAsia="仿宋"/>
                <w:sz w:val="32"/>
              </w:rPr>
            </w:pPr>
            <w:r>
              <w:rPr>
                <w:rFonts w:ascii="仿宋_GB2312" w:hAnsi="宋体" w:eastAsia="仿宋"/>
                <w:sz w:val="32"/>
              </w:rPr>
              <w:t>26.932.326.05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shd w:val="clear" w:color="auto" w:fill="auto"/>
            <w:vAlign w:val="center"/>
          </w:tcPr>
          <w:p>
            <w:pPr>
              <w:spacing w:line="560" w:lineRule="exact"/>
              <w:ind w:firstLine="420"/>
              <w:rPr>
                <w:rFonts w:ascii="仿宋_GB2312" w:hAnsi="宋体" w:eastAsia="仿宋"/>
                <w:sz w:val="32"/>
              </w:rPr>
            </w:pPr>
            <w:r>
              <w:rPr>
                <w:rFonts w:ascii="仿宋_GB2312" w:hAnsi="宋体" w:eastAsia="仿宋"/>
                <w:sz w:val="32"/>
              </w:rPr>
              <w:t>13</w:t>
            </w:r>
          </w:p>
        </w:tc>
        <w:tc>
          <w:tcPr>
            <w:tcW w:w="2346" w:type="pct"/>
            <w:shd w:val="clear" w:color="auto" w:fill="auto"/>
            <w:vAlign w:val="center"/>
          </w:tcPr>
          <w:p>
            <w:pPr>
              <w:spacing w:line="560" w:lineRule="exact"/>
              <w:ind w:firstLine="420"/>
              <w:rPr>
                <w:rFonts w:ascii="仿宋_GB2312" w:hAnsi="宋体" w:eastAsia="仿宋"/>
                <w:sz w:val="32"/>
              </w:rPr>
            </w:pPr>
            <w:r>
              <w:rPr>
                <w:rFonts w:ascii="仿宋_GB2312" w:eastAsia="仿宋"/>
                <w:sz w:val="32"/>
              </w:rPr>
              <w:t>马尔康市水务局</w:t>
            </w:r>
          </w:p>
        </w:tc>
        <w:tc>
          <w:tcPr>
            <w:tcW w:w="2025" w:type="pct"/>
            <w:shd w:val="clear" w:color="auto" w:fill="auto"/>
            <w:vAlign w:val="center"/>
          </w:tcPr>
          <w:p>
            <w:pPr>
              <w:spacing w:line="560" w:lineRule="exact"/>
              <w:ind w:firstLine="420"/>
              <w:jc w:val="right"/>
              <w:rPr>
                <w:rFonts w:ascii="仿宋_GB2312" w:hAnsi="宋体" w:eastAsia="仿宋"/>
                <w:sz w:val="32"/>
              </w:rPr>
            </w:pPr>
          </w:p>
        </w:tc>
      </w:tr>
    </w:tbl>
    <w:p>
      <w:pPr>
        <w:spacing w:line="560" w:lineRule="exact"/>
        <w:ind w:firstLine="562"/>
        <w:rPr>
          <w:rFonts w:hint="eastAsia" w:ascii="仿宋_GB2312" w:hAnsi="宋体" w:eastAsia="仿宋" w:cs="宋体"/>
          <w:sz w:val="32"/>
          <w:szCs w:val="28"/>
          <w:shd w:val="clear" w:color="auto" w:fill="FFFFFF"/>
        </w:rPr>
      </w:pPr>
      <w:r>
        <w:rPr>
          <w:rFonts w:hint="eastAsia" w:ascii="仿宋_GB2312" w:hAnsi="宋体" w:eastAsia="仿宋" w:cs="宋体"/>
          <w:bCs/>
          <w:sz w:val="32"/>
          <w:szCs w:val="28"/>
          <w:shd w:val="clear" w:color="auto" w:fill="FFFFFF"/>
        </w:rPr>
        <w:t>三公经费方面：</w:t>
      </w:r>
      <w:r>
        <w:rPr>
          <w:rFonts w:hint="eastAsia" w:ascii="仿宋_GB2312" w:hAnsi="宋体" w:eastAsia="仿宋" w:cs="宋体"/>
          <w:sz w:val="32"/>
          <w:szCs w:val="28"/>
          <w:shd w:val="clear" w:color="auto" w:fill="FFFFFF"/>
        </w:rPr>
        <w:t>2019年共计</w:t>
      </w:r>
      <w:r>
        <w:rPr>
          <w:rFonts w:ascii="仿宋_GB2312" w:hAnsi="宋体" w:eastAsia="仿宋" w:cs="宋体"/>
          <w:sz w:val="32"/>
          <w:szCs w:val="28"/>
          <w:shd w:val="clear" w:color="auto" w:fill="FFFFFF"/>
        </w:rPr>
        <w:t>10</w:t>
      </w:r>
      <w:r>
        <w:rPr>
          <w:rFonts w:hint="eastAsia" w:ascii="仿宋_GB2312" w:hAnsi="宋体" w:eastAsia="仿宋" w:cs="宋体"/>
          <w:sz w:val="32"/>
          <w:szCs w:val="28"/>
          <w:shd w:val="clear" w:color="auto" w:fill="FFFFFF"/>
        </w:rPr>
        <w:t>个被评价部门严格执行“三公经费”预算，</w:t>
      </w:r>
      <w:r>
        <w:rPr>
          <w:rFonts w:ascii="仿宋_GB2312" w:hAnsi="宋体" w:eastAsia="仿宋" w:cs="宋体"/>
          <w:sz w:val="32"/>
          <w:szCs w:val="28"/>
          <w:shd w:val="clear" w:color="auto" w:fill="FFFFFF"/>
        </w:rPr>
        <w:t>3</w:t>
      </w:r>
      <w:r>
        <w:rPr>
          <w:rFonts w:hint="eastAsia" w:ascii="仿宋_GB2312" w:hAnsi="宋体" w:eastAsia="仿宋" w:cs="宋体"/>
          <w:sz w:val="32"/>
          <w:szCs w:val="28"/>
          <w:shd w:val="clear" w:color="auto" w:fill="FFFFFF"/>
        </w:rPr>
        <w:t>个被评价部门三公经费超预算，详见下表：</w:t>
      </w:r>
    </w:p>
    <w:p>
      <w:pPr>
        <w:spacing w:line="560" w:lineRule="exact"/>
        <w:jc w:val="center"/>
        <w:rPr>
          <w:rFonts w:ascii="仿宋_GB2312" w:hAnsi="宋体" w:eastAsia="仿宋" w:cs="宋体"/>
          <w:sz w:val="32"/>
          <w:szCs w:val="28"/>
          <w:shd w:val="clear" w:color="auto" w:fill="FFFFFF"/>
        </w:rPr>
      </w:pPr>
      <w:r>
        <w:rPr>
          <w:rFonts w:hint="eastAsia" w:ascii="仿宋_GB2312" w:hAnsi="宋体" w:eastAsia="仿宋" w:cs="仿宋_GB2312"/>
          <w:bCs/>
          <w:sz w:val="32"/>
          <w:lang w:bidi="ar"/>
        </w:rPr>
        <w:t>表17 2018年三公经费超预算情况表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49"/>
        <w:gridCol w:w="5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序号</w:t>
            </w:r>
          </w:p>
        </w:tc>
        <w:tc>
          <w:tcPr>
            <w:tcW w:w="2149" w:type="dxa"/>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部门</w:t>
            </w:r>
          </w:p>
        </w:tc>
        <w:tc>
          <w:tcPr>
            <w:tcW w:w="5793" w:type="dxa"/>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2018年三公经费超预算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shd w:val="clear" w:color="auto" w:fill="auto"/>
            <w:vAlign w:val="center"/>
          </w:tcPr>
          <w:p>
            <w:pPr>
              <w:spacing w:line="560" w:lineRule="exact"/>
              <w:ind w:firstLine="420"/>
              <w:jc w:val="center"/>
              <w:rPr>
                <w:rFonts w:ascii="仿宋_GB2312" w:hAnsi="宋体" w:eastAsia="仿宋"/>
                <w:sz w:val="32"/>
              </w:rPr>
            </w:pPr>
            <w:r>
              <w:rPr>
                <w:rFonts w:ascii="仿宋_GB2312" w:hAnsi="宋体" w:eastAsia="仿宋"/>
                <w:sz w:val="32"/>
              </w:rPr>
              <w:t>1</w:t>
            </w:r>
          </w:p>
        </w:tc>
        <w:tc>
          <w:tcPr>
            <w:tcW w:w="2149" w:type="dxa"/>
            <w:shd w:val="clear" w:color="auto" w:fill="auto"/>
            <w:vAlign w:val="center"/>
          </w:tcPr>
          <w:p>
            <w:pPr>
              <w:spacing w:line="560" w:lineRule="exact"/>
              <w:rPr>
                <w:rFonts w:ascii="仿宋_GB2312" w:hAnsi="宋体" w:eastAsia="仿宋"/>
                <w:sz w:val="32"/>
              </w:rPr>
            </w:pPr>
            <w:r>
              <w:rPr>
                <w:rFonts w:ascii="仿宋_GB2312" w:hAnsi="宋体" w:eastAsia="仿宋"/>
                <w:sz w:val="32"/>
              </w:rPr>
              <w:t>马尔康市公共服务中心</w:t>
            </w:r>
          </w:p>
        </w:tc>
        <w:tc>
          <w:tcPr>
            <w:tcW w:w="5793" w:type="dxa"/>
            <w:shd w:val="clear" w:color="auto" w:fill="auto"/>
            <w:vAlign w:val="center"/>
          </w:tcPr>
          <w:p>
            <w:pPr>
              <w:spacing w:line="560" w:lineRule="exact"/>
              <w:rPr>
                <w:rFonts w:ascii="仿宋_GB2312" w:hAnsi="宋体" w:eastAsia="仿宋"/>
                <w:sz w:val="32"/>
              </w:rPr>
            </w:pPr>
            <w:r>
              <w:rPr>
                <w:rFonts w:ascii="仿宋_GB2312" w:hAnsi="宋体" w:eastAsia="仿宋"/>
                <w:sz w:val="32"/>
              </w:rPr>
              <w:t>被评价单位2019年公务用车运行维护费实际执行4.83万元，年初预算2.28万元。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shd w:val="clear" w:color="auto" w:fill="auto"/>
            <w:vAlign w:val="center"/>
          </w:tcPr>
          <w:p>
            <w:pPr>
              <w:spacing w:line="560" w:lineRule="exact"/>
              <w:ind w:firstLine="420"/>
              <w:jc w:val="center"/>
              <w:rPr>
                <w:rFonts w:ascii="仿宋_GB2312" w:hAnsi="宋体" w:eastAsia="仿宋"/>
                <w:sz w:val="32"/>
              </w:rPr>
            </w:pPr>
            <w:r>
              <w:rPr>
                <w:rFonts w:ascii="仿宋_GB2312" w:hAnsi="宋体" w:eastAsia="仿宋"/>
                <w:sz w:val="32"/>
              </w:rPr>
              <w:t>2</w:t>
            </w:r>
          </w:p>
        </w:tc>
        <w:tc>
          <w:tcPr>
            <w:tcW w:w="2149" w:type="dxa"/>
            <w:shd w:val="clear" w:color="auto" w:fill="auto"/>
            <w:vAlign w:val="center"/>
          </w:tcPr>
          <w:p>
            <w:pPr>
              <w:spacing w:line="560" w:lineRule="exact"/>
              <w:rPr>
                <w:rFonts w:ascii="仿宋_GB2312" w:hAnsi="宋体" w:eastAsia="仿宋"/>
                <w:sz w:val="32"/>
              </w:rPr>
            </w:pPr>
            <w:r>
              <w:rPr>
                <w:rFonts w:ascii="仿宋_GB2312" w:hAnsi="宋体" w:eastAsia="仿宋"/>
                <w:sz w:val="32"/>
              </w:rPr>
              <w:t>马尔康市经济商务和信息化局</w:t>
            </w:r>
          </w:p>
        </w:tc>
        <w:tc>
          <w:tcPr>
            <w:tcW w:w="5793" w:type="dxa"/>
            <w:shd w:val="clear" w:color="auto" w:fill="auto"/>
            <w:vAlign w:val="center"/>
          </w:tcPr>
          <w:p>
            <w:pPr>
              <w:spacing w:line="560" w:lineRule="exact"/>
              <w:rPr>
                <w:rFonts w:ascii="仿宋_GB2312" w:hAnsi="宋体" w:eastAsia="仿宋"/>
                <w:sz w:val="32"/>
              </w:rPr>
            </w:pPr>
            <w:r>
              <w:rPr>
                <w:rFonts w:ascii="仿宋_GB2312" w:hAnsi="宋体" w:eastAsia="仿宋"/>
                <w:sz w:val="32"/>
              </w:rPr>
              <w:t>被评价单位2019年公务用车运行经费实际支出7.22万元，预算1.50万元。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shd w:val="clear" w:color="auto" w:fill="auto"/>
            <w:vAlign w:val="center"/>
          </w:tcPr>
          <w:p>
            <w:pPr>
              <w:spacing w:line="560" w:lineRule="exact"/>
              <w:ind w:firstLine="420"/>
              <w:jc w:val="center"/>
              <w:rPr>
                <w:rFonts w:ascii="仿宋_GB2312" w:hAnsi="宋体" w:eastAsia="仿宋"/>
                <w:sz w:val="32"/>
              </w:rPr>
            </w:pPr>
            <w:r>
              <w:rPr>
                <w:rFonts w:ascii="仿宋_GB2312" w:hAnsi="宋体" w:eastAsia="仿宋"/>
                <w:sz w:val="32"/>
              </w:rPr>
              <w:t>3</w:t>
            </w:r>
          </w:p>
        </w:tc>
        <w:tc>
          <w:tcPr>
            <w:tcW w:w="2149" w:type="dxa"/>
            <w:shd w:val="clear" w:color="auto" w:fill="auto"/>
            <w:vAlign w:val="center"/>
          </w:tcPr>
          <w:p>
            <w:pPr>
              <w:spacing w:line="560" w:lineRule="exact"/>
              <w:rPr>
                <w:rFonts w:ascii="仿宋_GB2312" w:hAnsi="宋体" w:eastAsia="仿宋"/>
                <w:sz w:val="32"/>
              </w:rPr>
            </w:pPr>
            <w:r>
              <w:rPr>
                <w:rFonts w:ascii="仿宋_GB2312" w:hAnsi="宋体" w:eastAsia="仿宋"/>
                <w:sz w:val="32"/>
              </w:rPr>
              <w:t>马尔康市自然资源局</w:t>
            </w:r>
          </w:p>
        </w:tc>
        <w:tc>
          <w:tcPr>
            <w:tcW w:w="5793" w:type="dxa"/>
            <w:shd w:val="clear" w:color="auto" w:fill="auto"/>
            <w:vAlign w:val="center"/>
          </w:tcPr>
          <w:p>
            <w:pPr>
              <w:spacing w:line="560" w:lineRule="exact"/>
              <w:rPr>
                <w:rFonts w:ascii="仿宋_GB2312" w:hAnsi="宋体" w:eastAsia="仿宋"/>
                <w:sz w:val="32"/>
              </w:rPr>
            </w:pPr>
            <w:r>
              <w:rPr>
                <w:rFonts w:ascii="仿宋_GB2312" w:hAnsi="宋体" w:eastAsia="仿宋"/>
                <w:sz w:val="32"/>
              </w:rPr>
              <w:t>被评价单位2019年公务用车运行预算金额31,239.91元，公务用车运行决算金额71,364.41万元。</w:t>
            </w:r>
          </w:p>
        </w:tc>
      </w:tr>
    </w:tbl>
    <w:p>
      <w:pPr>
        <w:spacing w:line="560" w:lineRule="exact"/>
        <w:ind w:firstLine="562"/>
        <w:rPr>
          <w:rFonts w:hint="eastAsia" w:ascii="仿宋_GB2312" w:hAnsi="宋体" w:eastAsia="仿宋" w:cs="宋体"/>
          <w:bCs/>
          <w:sz w:val="32"/>
          <w:szCs w:val="28"/>
          <w:shd w:val="clear" w:color="auto" w:fill="FFFFFF"/>
        </w:rPr>
      </w:pPr>
    </w:p>
    <w:p>
      <w:pPr>
        <w:pStyle w:val="40"/>
        <w:spacing w:before="156" w:after="156" w:line="560" w:lineRule="exact"/>
        <w:ind w:firstLine="640"/>
        <w:rPr>
          <w:rFonts w:hint="eastAsia" w:ascii="仿宋_GB2312" w:hAnsi="仿宋_GB2312" w:eastAsia="仿宋" w:cs="仿宋_GB2312"/>
          <w:b w:val="0"/>
          <w:color w:val="auto"/>
          <w:sz w:val="32"/>
          <w:szCs w:val="28"/>
        </w:rPr>
      </w:pPr>
      <w:bookmarkStart w:id="38" w:name="_Toc11727"/>
      <w:r>
        <w:rPr>
          <w:rFonts w:hint="eastAsia" w:ascii="仿宋_GB2312" w:hAnsi="仿宋_GB2312" w:eastAsia="仿宋" w:cs="仿宋_GB2312"/>
          <w:b w:val="0"/>
          <w:color w:val="auto"/>
          <w:sz w:val="32"/>
          <w:szCs w:val="28"/>
        </w:rPr>
        <w:t>——综合管理情况</w:t>
      </w:r>
      <w:bookmarkEnd w:id="38"/>
    </w:p>
    <w:p>
      <w:pPr>
        <w:spacing w:line="560" w:lineRule="exact"/>
        <w:ind w:firstLine="560"/>
        <w:rPr>
          <w:rFonts w:ascii="仿宋_GB2312" w:hAnsi="宋体" w:eastAsia="仿宋"/>
          <w:sz w:val="32"/>
          <w:szCs w:val="28"/>
        </w:rPr>
      </w:pPr>
      <w:r>
        <w:rPr>
          <w:rFonts w:hint="eastAsia" w:ascii="仿宋_GB2312" w:hAnsi="宋体" w:eastAsia="仿宋"/>
          <w:sz w:val="32"/>
          <w:szCs w:val="28"/>
        </w:rPr>
        <w:t>该指标权重为40.00分，实得3</w:t>
      </w:r>
      <w:r>
        <w:rPr>
          <w:rFonts w:ascii="仿宋_GB2312" w:hAnsi="宋体" w:eastAsia="仿宋"/>
          <w:sz w:val="32"/>
          <w:szCs w:val="28"/>
        </w:rPr>
        <w:t>0.98</w:t>
      </w:r>
      <w:r>
        <w:rPr>
          <w:rFonts w:hint="eastAsia" w:ascii="仿宋_GB2312" w:hAnsi="宋体" w:eastAsia="仿宋"/>
          <w:sz w:val="32"/>
          <w:szCs w:val="28"/>
        </w:rPr>
        <w:t>分，用于考察部门政府采购情况、资产管理情况、内控制度健全性、信息公开情况、绩效评价情况、依法接受财政监督情况。</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各分项指标得分和绩效分析如下：</w:t>
      </w:r>
    </w:p>
    <w:p>
      <w:pPr>
        <w:spacing w:line="560" w:lineRule="exact"/>
        <w:ind w:firstLine="482"/>
        <w:jc w:val="center"/>
        <w:rPr>
          <w:rFonts w:ascii="仿宋_GB2312" w:hAnsi="宋体" w:eastAsia="仿宋" w:cs="仿宋_GB2312"/>
          <w:bCs/>
          <w:sz w:val="32"/>
          <w:lang w:bidi="ar"/>
        </w:rPr>
      </w:pPr>
      <w:r>
        <w:rPr>
          <w:rFonts w:hint="eastAsia" w:ascii="仿宋_GB2312" w:hAnsi="宋体" w:eastAsia="仿宋" w:cs="仿宋_GB2312"/>
          <w:bCs/>
          <w:sz w:val="32"/>
          <w:lang w:bidi="ar"/>
        </w:rPr>
        <w:t>表18 综合管理类指标得分情况汇总表</w:t>
      </w:r>
    </w:p>
    <w:tbl>
      <w:tblPr>
        <w:tblStyle w:val="15"/>
        <w:tblpPr w:leftFromText="180" w:rightFromText="180" w:vertAnchor="text" w:horzAnchor="page" w:tblpXSpec="center" w:tblpY="322"/>
        <w:tblOverlap w:val="never"/>
        <w:tblW w:w="5000"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629"/>
        <w:gridCol w:w="2483"/>
        <w:gridCol w:w="2423"/>
        <w:gridCol w:w="246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blHeader/>
          <w:jc w:val="center"/>
        </w:trPr>
        <w:tc>
          <w:tcPr>
            <w:tcW w:w="905"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指标</w:t>
            </w:r>
          </w:p>
        </w:tc>
        <w:tc>
          <w:tcPr>
            <w:tcW w:w="1379"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权重</w:t>
            </w:r>
          </w:p>
        </w:tc>
        <w:tc>
          <w:tcPr>
            <w:tcW w:w="1346"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w:t>
            </w:r>
          </w:p>
        </w:tc>
        <w:tc>
          <w:tcPr>
            <w:tcW w:w="1370"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905" w:type="pct"/>
          </w:tcPr>
          <w:p>
            <w:pPr>
              <w:spacing w:line="560" w:lineRule="exact"/>
              <w:jc w:val="center"/>
              <w:rPr>
                <w:rFonts w:ascii="仿宋_GB2312" w:hAnsi="宋体" w:eastAsia="仿宋"/>
                <w:sz w:val="32"/>
              </w:rPr>
            </w:pPr>
            <w:r>
              <w:rPr>
                <w:rFonts w:ascii="仿宋_GB2312" w:hAnsi="宋体" w:eastAsia="仿宋"/>
                <w:sz w:val="32"/>
              </w:rPr>
              <w:t>综合管理</w:t>
            </w:r>
          </w:p>
        </w:tc>
        <w:tc>
          <w:tcPr>
            <w:tcW w:w="1379" w:type="pct"/>
            <w:vAlign w:val="center"/>
          </w:tcPr>
          <w:p>
            <w:pPr>
              <w:spacing w:line="560" w:lineRule="exact"/>
              <w:jc w:val="center"/>
              <w:rPr>
                <w:rFonts w:ascii="仿宋_GB2312" w:hAnsi="Arial Narrow" w:eastAsia="仿宋"/>
                <w:sz w:val="32"/>
              </w:rPr>
            </w:pPr>
            <w:r>
              <w:rPr>
                <w:rFonts w:ascii="仿宋_GB2312" w:hAnsi="宋体" w:eastAsia="仿宋"/>
                <w:sz w:val="32"/>
              </w:rPr>
              <w:t>40.00</w:t>
            </w:r>
          </w:p>
        </w:tc>
        <w:tc>
          <w:tcPr>
            <w:tcW w:w="1346" w:type="pct"/>
            <w:vAlign w:val="center"/>
          </w:tcPr>
          <w:p>
            <w:pPr>
              <w:spacing w:line="560" w:lineRule="exact"/>
              <w:jc w:val="center"/>
              <w:rPr>
                <w:rFonts w:ascii="仿宋_GB2312" w:hAnsi="Arial Narrow" w:eastAsia="仿宋"/>
                <w:sz w:val="32"/>
              </w:rPr>
            </w:pPr>
            <w:r>
              <w:rPr>
                <w:rFonts w:ascii="仿宋_GB2312" w:hAnsi="宋体" w:eastAsia="仿宋"/>
                <w:sz w:val="32"/>
              </w:rPr>
              <w:t>30.98</w:t>
            </w:r>
          </w:p>
        </w:tc>
        <w:tc>
          <w:tcPr>
            <w:tcW w:w="1370" w:type="pct"/>
            <w:vAlign w:val="center"/>
          </w:tcPr>
          <w:p>
            <w:pPr>
              <w:spacing w:line="560" w:lineRule="exact"/>
              <w:jc w:val="center"/>
              <w:rPr>
                <w:rFonts w:ascii="仿宋_GB2312" w:hAnsi="Arial Narrow" w:eastAsia="仿宋"/>
                <w:sz w:val="32"/>
              </w:rPr>
            </w:pPr>
            <w:r>
              <w:rPr>
                <w:rFonts w:ascii="仿宋_GB2312" w:hAnsi="宋体" w:eastAsia="仿宋"/>
                <w:sz w:val="32"/>
              </w:rPr>
              <w:t>77.44%</w:t>
            </w:r>
          </w:p>
        </w:tc>
      </w:tr>
    </w:tbl>
    <w:p>
      <w:pPr>
        <w:spacing w:line="560" w:lineRule="exact"/>
        <w:ind w:firstLine="562"/>
        <w:rPr>
          <w:rFonts w:hint="eastAsia" w:ascii="仿宋_GB2312" w:hAnsi="宋体" w:eastAsia="仿宋" w:cs="宋体"/>
          <w:sz w:val="32"/>
          <w:szCs w:val="28"/>
          <w:shd w:val="clear" w:color="auto" w:fill="FFFFFF"/>
        </w:rPr>
      </w:pPr>
      <w:r>
        <w:rPr>
          <w:rFonts w:hint="eastAsia" w:ascii="仿宋_GB2312" w:hAnsi="宋体" w:eastAsia="仿宋" w:cs="宋体"/>
          <w:bCs/>
          <w:sz w:val="32"/>
          <w:szCs w:val="28"/>
          <w:shd w:val="clear" w:color="auto" w:fill="FFFFFF"/>
        </w:rPr>
        <w:t>资产管理信息系统建设情况：</w:t>
      </w:r>
      <w:r>
        <w:rPr>
          <w:rFonts w:hint="eastAsia" w:ascii="仿宋_GB2312" w:hAnsi="宋体" w:eastAsia="仿宋" w:cs="宋体"/>
          <w:sz w:val="32"/>
          <w:szCs w:val="28"/>
          <w:shd w:val="clear" w:color="auto" w:fill="FFFFFF"/>
        </w:rPr>
        <w:t>涉及考核的9个部门中6个部门将国有资产及时纳入了资产信息系统管理情况，并落实了人员负责管理系统。</w:t>
      </w:r>
      <w:r>
        <w:rPr>
          <w:rFonts w:ascii="仿宋_GB2312" w:hAnsi="宋体" w:eastAsia="仿宋" w:cs="宋体"/>
          <w:sz w:val="32"/>
          <w:szCs w:val="28"/>
          <w:shd w:val="clear" w:color="auto" w:fill="FFFFFF"/>
        </w:rPr>
        <w:t>5</w:t>
      </w:r>
      <w:r>
        <w:rPr>
          <w:rFonts w:hint="eastAsia" w:ascii="仿宋_GB2312" w:hAnsi="宋体" w:eastAsia="仿宋" w:cs="宋体"/>
          <w:sz w:val="32"/>
          <w:szCs w:val="28"/>
          <w:shd w:val="clear" w:color="auto" w:fill="FFFFFF"/>
        </w:rPr>
        <w:t>个部门资产管理信息系统数据与决算报表数据不符，详见下表：</w:t>
      </w:r>
    </w:p>
    <w:p>
      <w:pPr>
        <w:spacing w:line="560" w:lineRule="exact"/>
        <w:jc w:val="center"/>
        <w:rPr>
          <w:rFonts w:hint="eastAsia" w:ascii="仿宋_GB2312" w:hAnsi="宋体" w:eastAsia="仿宋" w:cs="宋体"/>
          <w:sz w:val="32"/>
          <w:szCs w:val="28"/>
          <w:shd w:val="clear" w:color="auto" w:fill="FFFFFF"/>
        </w:rPr>
      </w:pPr>
      <w:r>
        <w:rPr>
          <w:rFonts w:hint="eastAsia" w:ascii="仿宋_GB2312" w:hAnsi="宋体" w:eastAsia="仿宋" w:cs="仿宋_GB2312"/>
          <w:bCs/>
          <w:sz w:val="32"/>
          <w:lang w:bidi="ar"/>
        </w:rPr>
        <w:t>表19 资产管理信息系统建设情况表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49"/>
        <w:gridCol w:w="5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序号</w:t>
            </w:r>
          </w:p>
        </w:tc>
        <w:tc>
          <w:tcPr>
            <w:tcW w:w="2149" w:type="dxa"/>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部门</w:t>
            </w:r>
          </w:p>
        </w:tc>
        <w:tc>
          <w:tcPr>
            <w:tcW w:w="5793" w:type="dxa"/>
            <w:shd w:val="clear" w:color="auto" w:fill="BEBEBE"/>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2018年资产清查情况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w:t>
            </w:r>
          </w:p>
        </w:tc>
        <w:tc>
          <w:tcPr>
            <w:tcW w:w="2149"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马尔康市林业和草原局</w:t>
            </w:r>
          </w:p>
        </w:tc>
        <w:tc>
          <w:tcPr>
            <w:tcW w:w="5793"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截止2019年12月31日 “行政事业单位资产管理系统”导出的固定资产卡片原值合计17,968,641.17元，与2019年总账数、决算报表固定资产原值20,571,119.33元不一致，差异2,602,478.16元;2、马尔康市林业和草原局2020年6月30日行政事业单位资产管理系统”导出的固定资产卡片原值合计18,052,422.17元，与2020年6月30日账面数20,255,366.16元不一致，差异2,202,943.99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w:t>
            </w:r>
          </w:p>
        </w:tc>
        <w:tc>
          <w:tcPr>
            <w:tcW w:w="2149"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马尔康市人民法院</w:t>
            </w:r>
          </w:p>
        </w:tc>
        <w:tc>
          <w:tcPr>
            <w:tcW w:w="5793"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市法院2019年12月31日、2020年6月30日行政事业单位资产管理系统导出的固定资产卡片原值合计2,180.45元，与总账数、决算报表固定资产原值2,201.16元不一致，均差异20.71元。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3</w:t>
            </w:r>
          </w:p>
        </w:tc>
        <w:tc>
          <w:tcPr>
            <w:tcW w:w="2149"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马尔康市卫生健康局</w:t>
            </w:r>
          </w:p>
        </w:tc>
        <w:tc>
          <w:tcPr>
            <w:tcW w:w="5793"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市卫健局2019年12月31日 “行政事业单位资产管理系统”导出的固定资产原值合计7,967.17万元，与2019决算报表固定资产原值8,045.85万元不一致，差异78.69万元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4</w:t>
            </w:r>
          </w:p>
        </w:tc>
        <w:tc>
          <w:tcPr>
            <w:tcW w:w="2149"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马尔康市人民检察院</w:t>
            </w:r>
          </w:p>
        </w:tc>
        <w:tc>
          <w:tcPr>
            <w:tcW w:w="5793"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1、马尔康市人民检察院2019年12月31日、2020年6月30日“行政事业单位资产管理系统”导出的固定资产卡片原值合计18,952,237.27元，与2019年总账数、决算报表固定资产原值19,123,987.27元不一致，差异171,750.00元，与2020年6月30日账面数19131287.27元不一致，差异179,050.00。2、马尔康市人民检察院2020年2月22日购入高拍仪1个，金额3500元；2020年4月27号凭证，购“云审判”平板，金额3800元，上述新增固定资产未纳入2020年国有资产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5</w:t>
            </w:r>
          </w:p>
        </w:tc>
        <w:tc>
          <w:tcPr>
            <w:tcW w:w="2149"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马尔康市松岗镇人民政府</w:t>
            </w:r>
          </w:p>
        </w:tc>
        <w:tc>
          <w:tcPr>
            <w:tcW w:w="5793"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松岗政府资产管理信息系统数据与决算报表数据不符。</w:t>
            </w:r>
          </w:p>
        </w:tc>
      </w:tr>
    </w:tbl>
    <w:p>
      <w:pPr>
        <w:spacing w:line="560" w:lineRule="exact"/>
        <w:ind w:firstLine="560"/>
        <w:rPr>
          <w:rFonts w:ascii="仿宋_GB2312" w:hAnsi="宋体" w:eastAsia="仿宋" w:cs="宋体"/>
          <w:sz w:val="32"/>
          <w:szCs w:val="28"/>
          <w:shd w:val="clear" w:color="auto" w:fill="FFFFFF"/>
        </w:rPr>
      </w:pPr>
    </w:p>
    <w:p>
      <w:pPr>
        <w:spacing w:line="560" w:lineRule="exact"/>
        <w:ind w:firstLine="562"/>
        <w:rPr>
          <w:rFonts w:ascii="仿宋_GB2312" w:hAnsi="宋体" w:eastAsia="仿宋" w:cs="宋体"/>
          <w:sz w:val="32"/>
          <w:szCs w:val="28"/>
          <w:shd w:val="clear" w:color="auto" w:fill="FFFFFF"/>
        </w:rPr>
      </w:pPr>
      <w:r>
        <w:rPr>
          <w:rFonts w:hint="eastAsia" w:ascii="仿宋_GB2312" w:hAnsi="宋体" w:eastAsia="仿宋" w:cs="宋体"/>
          <w:bCs/>
          <w:sz w:val="32"/>
          <w:szCs w:val="28"/>
          <w:shd w:val="clear" w:color="auto" w:fill="FFFFFF"/>
        </w:rPr>
        <w:t>行政事业单位资产清查开展情况</w:t>
      </w:r>
      <w:r>
        <w:rPr>
          <w:rFonts w:hint="eastAsia" w:ascii="仿宋_GB2312" w:hAnsi="宋体" w:eastAsia="仿宋" w:cs="宋体"/>
          <w:sz w:val="32"/>
          <w:szCs w:val="28"/>
          <w:shd w:val="clear" w:color="auto" w:fill="FFFFFF"/>
        </w:rPr>
        <w:t>：考核涉及的</w:t>
      </w:r>
      <w:r>
        <w:rPr>
          <w:rFonts w:ascii="仿宋_GB2312" w:hAnsi="宋体" w:eastAsia="仿宋" w:cs="宋体"/>
          <w:sz w:val="32"/>
          <w:szCs w:val="28"/>
          <w:shd w:val="clear" w:color="auto" w:fill="FFFFFF"/>
        </w:rPr>
        <w:t>9</w:t>
      </w:r>
      <w:r>
        <w:rPr>
          <w:rFonts w:hint="eastAsia" w:ascii="仿宋_GB2312" w:hAnsi="宋体" w:eastAsia="仿宋" w:cs="宋体"/>
          <w:sz w:val="32"/>
          <w:szCs w:val="28"/>
          <w:shd w:val="clear" w:color="auto" w:fill="FFFFFF"/>
        </w:rPr>
        <w:t>个部门均及时、准确、全面开展资产清查工作。</w:t>
      </w:r>
      <w:r>
        <w:rPr>
          <w:rFonts w:ascii="仿宋_GB2312" w:hAnsi="宋体" w:eastAsia="仿宋" w:cs="宋体"/>
          <w:sz w:val="32"/>
          <w:szCs w:val="28"/>
          <w:shd w:val="clear" w:color="auto" w:fill="FFFFFF"/>
        </w:rPr>
        <w:t>4</w:t>
      </w:r>
      <w:r>
        <w:rPr>
          <w:rFonts w:hint="eastAsia" w:ascii="仿宋_GB2312" w:hAnsi="宋体" w:eastAsia="仿宋" w:cs="宋体"/>
          <w:sz w:val="32"/>
          <w:szCs w:val="28"/>
          <w:shd w:val="clear" w:color="auto" w:fill="FFFFFF"/>
        </w:rPr>
        <w:t>个部门未对固定资产进行盘点：</w:t>
      </w:r>
    </w:p>
    <w:p>
      <w:pPr>
        <w:spacing w:line="560" w:lineRule="exact"/>
        <w:ind w:firstLine="560"/>
        <w:rPr>
          <w:rFonts w:hint="eastAsia" w:ascii="仿宋_GB2312" w:hAnsi="宋体" w:eastAsia="仿宋" w:cs="宋体"/>
          <w:sz w:val="32"/>
          <w:szCs w:val="28"/>
          <w:shd w:val="clear" w:color="auto" w:fill="FFFFFF"/>
        </w:rPr>
      </w:pPr>
      <w:r>
        <w:rPr>
          <w:rFonts w:hint="eastAsia" w:ascii="仿宋_GB2312" w:hAnsi="宋体" w:eastAsia="仿宋" w:cs="宋体"/>
          <w:sz w:val="32"/>
          <w:szCs w:val="28"/>
          <w:shd w:val="clear" w:color="auto" w:fill="FFFFFF"/>
        </w:rPr>
        <w:t>马尔康市经济商务和信息化局、马尔康市住房和城乡建设局、马尔康市应急管理局、马尔康市经济商务和信息化局</w:t>
      </w:r>
    </w:p>
    <w:p>
      <w:pPr>
        <w:spacing w:line="560" w:lineRule="exact"/>
        <w:ind w:firstLine="562"/>
        <w:rPr>
          <w:rFonts w:ascii="仿宋_GB2312" w:hAnsi="宋体" w:eastAsia="仿宋" w:cs="宋体"/>
          <w:sz w:val="32"/>
          <w:szCs w:val="28"/>
          <w:shd w:val="clear" w:color="auto" w:fill="FFFFFF"/>
        </w:rPr>
      </w:pPr>
      <w:r>
        <w:rPr>
          <w:rFonts w:hint="eastAsia" w:ascii="仿宋_GB2312" w:hAnsi="宋体" w:eastAsia="仿宋" w:cs="宋体"/>
          <w:bCs/>
          <w:sz w:val="32"/>
          <w:szCs w:val="28"/>
          <w:shd w:val="clear" w:color="auto" w:fill="FFFFFF"/>
        </w:rPr>
        <w:t>行政事业单位资产报表上报情况：</w:t>
      </w:r>
      <w:r>
        <w:rPr>
          <w:rFonts w:hint="eastAsia" w:ascii="仿宋_GB2312" w:hAnsi="宋体" w:eastAsia="仿宋" w:cs="宋体"/>
          <w:sz w:val="32"/>
          <w:szCs w:val="28"/>
          <w:shd w:val="clear" w:color="auto" w:fill="FFFFFF"/>
        </w:rPr>
        <w:t>考核的1</w:t>
      </w:r>
      <w:r>
        <w:rPr>
          <w:rFonts w:ascii="仿宋_GB2312" w:hAnsi="宋体" w:eastAsia="仿宋" w:cs="宋体"/>
          <w:sz w:val="32"/>
          <w:szCs w:val="28"/>
          <w:shd w:val="clear" w:color="auto" w:fill="FFFFFF"/>
        </w:rPr>
        <w:t>3</w:t>
      </w:r>
      <w:r>
        <w:rPr>
          <w:rFonts w:hint="eastAsia" w:ascii="仿宋_GB2312" w:hAnsi="宋体" w:eastAsia="仿宋" w:cs="宋体"/>
          <w:sz w:val="32"/>
          <w:szCs w:val="28"/>
          <w:shd w:val="clear" w:color="auto" w:fill="FFFFFF"/>
        </w:rPr>
        <w:t>个部门中</w:t>
      </w:r>
      <w:r>
        <w:rPr>
          <w:rFonts w:ascii="仿宋_GB2312" w:hAnsi="宋体" w:eastAsia="仿宋" w:cs="宋体"/>
          <w:sz w:val="32"/>
          <w:szCs w:val="28"/>
          <w:shd w:val="clear" w:color="auto" w:fill="FFFFFF"/>
        </w:rPr>
        <w:t>10</w:t>
      </w:r>
      <w:r>
        <w:rPr>
          <w:rFonts w:hint="eastAsia" w:ascii="仿宋_GB2312" w:hAnsi="宋体" w:eastAsia="仿宋" w:cs="宋体"/>
          <w:sz w:val="32"/>
          <w:szCs w:val="28"/>
          <w:shd w:val="clear" w:color="auto" w:fill="FFFFFF"/>
        </w:rPr>
        <w:t>个部门落实了专人负责资产报表，及时上报了资产报表，报表填报规范，内容完整，数据真实。</w:t>
      </w:r>
      <w:r>
        <w:rPr>
          <w:rFonts w:ascii="仿宋_GB2312" w:hAnsi="宋体" w:eastAsia="仿宋" w:cs="宋体"/>
          <w:sz w:val="32"/>
          <w:szCs w:val="28"/>
          <w:shd w:val="clear" w:color="auto" w:fill="FFFFFF"/>
        </w:rPr>
        <w:t>3</w:t>
      </w:r>
      <w:r>
        <w:rPr>
          <w:rFonts w:hint="eastAsia" w:ascii="仿宋_GB2312" w:hAnsi="宋体" w:eastAsia="仿宋" w:cs="宋体"/>
          <w:sz w:val="32"/>
          <w:szCs w:val="28"/>
          <w:shd w:val="clear" w:color="auto" w:fill="FFFFFF"/>
        </w:rPr>
        <w:t>个部门未提交分析报告，对资产变动情况未作分析说明，为马尔康市经济商务和信息化局、马尔康市人民法院、马尔康市经济商务和信息化局。</w:t>
      </w:r>
    </w:p>
    <w:p>
      <w:pPr>
        <w:spacing w:line="560" w:lineRule="exact"/>
        <w:ind w:firstLine="560"/>
        <w:rPr>
          <w:rFonts w:hint="eastAsia" w:ascii="仿宋_GB2312" w:hAnsi="宋体" w:eastAsia="仿宋" w:cs="宋体"/>
          <w:sz w:val="32"/>
          <w:szCs w:val="28"/>
          <w:shd w:val="clear" w:color="auto" w:fill="FFFFFF"/>
        </w:rPr>
      </w:pPr>
    </w:p>
    <w:p>
      <w:pPr>
        <w:spacing w:line="560" w:lineRule="exact"/>
        <w:ind w:firstLine="562"/>
        <w:rPr>
          <w:rFonts w:ascii="仿宋_GB2312" w:hAnsi="宋体" w:eastAsia="仿宋" w:cs="宋体"/>
          <w:sz w:val="32"/>
          <w:szCs w:val="28"/>
          <w:shd w:val="clear" w:color="auto" w:fill="FFFFFF"/>
        </w:rPr>
      </w:pPr>
      <w:r>
        <w:rPr>
          <w:rFonts w:hint="eastAsia" w:ascii="仿宋_GB2312" w:hAnsi="宋体" w:eastAsia="仿宋" w:cs="宋体"/>
          <w:bCs/>
          <w:sz w:val="32"/>
          <w:szCs w:val="28"/>
          <w:shd w:val="clear" w:color="auto" w:fill="FFFFFF"/>
        </w:rPr>
        <w:t>内部控制度健全完整方面：</w:t>
      </w:r>
      <w:r>
        <w:rPr>
          <w:rFonts w:hint="eastAsia" w:ascii="仿宋_GB2312" w:hAnsi="宋体" w:eastAsia="仿宋" w:cs="宋体"/>
          <w:sz w:val="32"/>
          <w:szCs w:val="28"/>
          <w:shd w:val="clear" w:color="auto" w:fill="FFFFFF"/>
        </w:rPr>
        <w:t>考核的1</w:t>
      </w:r>
      <w:r>
        <w:rPr>
          <w:rFonts w:ascii="仿宋_GB2312" w:hAnsi="宋体" w:eastAsia="仿宋" w:cs="宋体"/>
          <w:sz w:val="32"/>
          <w:szCs w:val="28"/>
          <w:shd w:val="clear" w:color="auto" w:fill="FFFFFF"/>
        </w:rPr>
        <w:t>1</w:t>
      </w:r>
      <w:r>
        <w:rPr>
          <w:rFonts w:hint="eastAsia" w:ascii="仿宋_GB2312" w:hAnsi="宋体" w:eastAsia="仿宋" w:cs="宋体"/>
          <w:sz w:val="32"/>
          <w:szCs w:val="28"/>
          <w:shd w:val="clear" w:color="auto" w:fill="FFFFFF"/>
        </w:rPr>
        <w:t>个部门内部控制制度健全完整并执行良好，评价过程中未发现造成单位出现廉政风险或发生重大责任事故情况，有</w:t>
      </w:r>
      <w:r>
        <w:rPr>
          <w:rFonts w:ascii="仿宋_GB2312" w:hAnsi="宋体" w:eastAsia="仿宋" w:cs="宋体"/>
          <w:sz w:val="32"/>
          <w:szCs w:val="28"/>
          <w:shd w:val="clear" w:color="auto" w:fill="FFFFFF"/>
        </w:rPr>
        <w:t>3</w:t>
      </w:r>
      <w:r>
        <w:rPr>
          <w:rFonts w:hint="eastAsia" w:ascii="仿宋_GB2312" w:hAnsi="宋体" w:eastAsia="仿宋" w:cs="宋体"/>
          <w:sz w:val="32"/>
          <w:szCs w:val="28"/>
          <w:shd w:val="clear" w:color="auto" w:fill="FFFFFF"/>
        </w:rPr>
        <w:t>个部门内控制度不完善。</w:t>
      </w:r>
    </w:p>
    <w:p>
      <w:pPr>
        <w:spacing w:line="560" w:lineRule="exact"/>
        <w:ind w:firstLine="560"/>
        <w:rPr>
          <w:rFonts w:hint="eastAsia" w:ascii="仿宋_GB2312" w:hAnsi="宋体" w:eastAsia="仿宋" w:cs="宋体"/>
          <w:sz w:val="32"/>
          <w:szCs w:val="28"/>
          <w:shd w:val="clear" w:color="auto" w:fill="FFFFFF"/>
        </w:rPr>
      </w:pPr>
      <w:r>
        <w:rPr>
          <w:rFonts w:hint="eastAsia" w:ascii="仿宋_GB2312" w:hAnsi="宋体" w:eastAsia="仿宋" w:cs="宋体"/>
          <w:sz w:val="32"/>
          <w:szCs w:val="28"/>
          <w:shd w:val="clear" w:color="auto" w:fill="FFFFFF"/>
        </w:rPr>
        <w:t>马尔康市融媒体中心、马尔康市水务局、马尔康市公共服务中心</w:t>
      </w:r>
    </w:p>
    <w:p>
      <w:pPr>
        <w:spacing w:line="560" w:lineRule="exact"/>
        <w:ind w:firstLine="562"/>
        <w:rPr>
          <w:rFonts w:ascii="仿宋_GB2312" w:hAnsi="宋体" w:eastAsia="仿宋" w:cs="宋体"/>
          <w:sz w:val="32"/>
          <w:szCs w:val="28"/>
          <w:shd w:val="clear" w:color="auto" w:fill="FFFFFF"/>
        </w:rPr>
      </w:pPr>
      <w:r>
        <w:rPr>
          <w:rFonts w:hint="eastAsia" w:ascii="仿宋_GB2312" w:hAnsi="宋体" w:eastAsia="仿宋" w:cs="宋体"/>
          <w:bCs/>
          <w:sz w:val="32"/>
          <w:szCs w:val="28"/>
          <w:shd w:val="clear" w:color="auto" w:fill="FFFFFF"/>
        </w:rPr>
        <w:t>预算公开方面：</w:t>
      </w:r>
      <w:r>
        <w:rPr>
          <w:rFonts w:hint="eastAsia" w:ascii="仿宋_GB2312" w:hAnsi="宋体" w:eastAsia="仿宋" w:cs="宋体"/>
          <w:sz w:val="32"/>
          <w:szCs w:val="28"/>
          <w:shd w:val="clear" w:color="auto" w:fill="FFFFFF"/>
        </w:rPr>
        <w:t>考核的1</w:t>
      </w:r>
      <w:r>
        <w:rPr>
          <w:rFonts w:ascii="仿宋_GB2312" w:hAnsi="宋体" w:eastAsia="仿宋" w:cs="宋体"/>
          <w:sz w:val="32"/>
          <w:szCs w:val="28"/>
          <w:shd w:val="clear" w:color="auto" w:fill="FFFFFF"/>
        </w:rPr>
        <w:t>3</w:t>
      </w:r>
      <w:r>
        <w:rPr>
          <w:rFonts w:hint="eastAsia" w:ascii="仿宋_GB2312" w:hAnsi="宋体" w:eastAsia="仿宋" w:cs="宋体"/>
          <w:sz w:val="32"/>
          <w:szCs w:val="28"/>
          <w:shd w:val="clear" w:color="auto" w:fill="FFFFFF"/>
        </w:rPr>
        <w:t>个部门中有1</w:t>
      </w:r>
      <w:r>
        <w:rPr>
          <w:rFonts w:ascii="仿宋_GB2312" w:hAnsi="宋体" w:eastAsia="仿宋" w:cs="宋体"/>
          <w:sz w:val="32"/>
          <w:szCs w:val="28"/>
          <w:shd w:val="clear" w:color="auto" w:fill="FFFFFF"/>
        </w:rPr>
        <w:t>2</w:t>
      </w:r>
      <w:r>
        <w:rPr>
          <w:rFonts w:hint="eastAsia" w:ascii="仿宋_GB2312" w:hAnsi="宋体" w:eastAsia="仿宋" w:cs="宋体"/>
          <w:sz w:val="32"/>
          <w:szCs w:val="28"/>
          <w:shd w:val="clear" w:color="auto" w:fill="FFFFFF"/>
        </w:rPr>
        <w:t>个部门201</w:t>
      </w:r>
      <w:r>
        <w:rPr>
          <w:rFonts w:ascii="仿宋_GB2312" w:hAnsi="宋体" w:eastAsia="仿宋" w:cs="宋体"/>
          <w:sz w:val="32"/>
          <w:szCs w:val="28"/>
          <w:shd w:val="clear" w:color="auto" w:fill="FFFFFF"/>
        </w:rPr>
        <w:t>9</w:t>
      </w:r>
      <w:r>
        <w:rPr>
          <w:rFonts w:hint="eastAsia" w:ascii="仿宋_GB2312" w:hAnsi="宋体" w:eastAsia="仿宋" w:cs="宋体"/>
          <w:sz w:val="32"/>
          <w:szCs w:val="28"/>
          <w:shd w:val="clear" w:color="auto" w:fill="FFFFFF"/>
        </w:rPr>
        <w:t>年部门预算公开均在财政部门批复后二十日内通过茂县人民政府官网向社会公开了本部门预算，其中1个部门公开信息不够完整：</w:t>
      </w:r>
    </w:p>
    <w:p>
      <w:pPr>
        <w:spacing w:line="560" w:lineRule="exact"/>
        <w:ind w:firstLine="560"/>
        <w:rPr>
          <w:rFonts w:hint="eastAsia" w:ascii="仿宋_GB2312" w:hAnsi="宋体" w:eastAsia="仿宋" w:cs="仿宋_GB2312"/>
          <w:sz w:val="32"/>
          <w:lang w:bidi="ar"/>
        </w:rPr>
      </w:pPr>
      <w:r>
        <w:rPr>
          <w:rFonts w:hint="eastAsia" w:ascii="仿宋_GB2312" w:hAnsi="宋体" w:eastAsia="仿宋" w:cs="仿宋_GB2312"/>
          <w:sz w:val="32"/>
          <w:szCs w:val="28"/>
          <w:lang w:bidi="ar"/>
        </w:rPr>
        <w:t>马尔康市卫生健康局</w:t>
      </w:r>
    </w:p>
    <w:p>
      <w:pPr>
        <w:spacing w:line="560" w:lineRule="exact"/>
        <w:ind w:firstLine="562"/>
        <w:rPr>
          <w:rFonts w:hint="eastAsia" w:ascii="仿宋_GB2312" w:hAnsi="宋体" w:eastAsia="仿宋" w:cs="宋体"/>
          <w:sz w:val="32"/>
          <w:szCs w:val="28"/>
          <w:shd w:val="clear" w:color="auto" w:fill="FFFFFF"/>
        </w:rPr>
      </w:pPr>
      <w:r>
        <w:rPr>
          <w:rFonts w:hint="eastAsia" w:ascii="仿宋_GB2312" w:hAnsi="宋体" w:eastAsia="仿宋" w:cs="宋体"/>
          <w:bCs/>
          <w:sz w:val="32"/>
          <w:szCs w:val="28"/>
          <w:shd w:val="clear" w:color="auto" w:fill="FFFFFF"/>
        </w:rPr>
        <w:t>绩效信息公开方面：</w:t>
      </w:r>
      <w:r>
        <w:rPr>
          <w:rFonts w:hint="eastAsia" w:ascii="仿宋_GB2312" w:hAnsi="宋体" w:eastAsia="仿宋" w:cs="宋体"/>
          <w:bCs/>
          <w:color w:val="FF0000"/>
          <w:sz w:val="32"/>
          <w:szCs w:val="28"/>
          <w:shd w:val="clear" w:color="auto" w:fill="FFFFFF"/>
        </w:rPr>
        <w:t>截止评价日，</w:t>
      </w:r>
      <w:r>
        <w:rPr>
          <w:rFonts w:hint="eastAsia" w:ascii="仿宋_GB2312" w:hAnsi="宋体" w:eastAsia="仿宋" w:cs="宋体"/>
          <w:color w:val="FF0000"/>
          <w:sz w:val="32"/>
          <w:szCs w:val="28"/>
          <w:shd w:val="clear" w:color="auto" w:fill="FFFFFF"/>
        </w:rPr>
        <w:t>考核的1</w:t>
      </w:r>
      <w:r>
        <w:rPr>
          <w:rFonts w:ascii="仿宋_GB2312" w:hAnsi="宋体" w:eastAsia="仿宋" w:cs="宋体"/>
          <w:color w:val="FF0000"/>
          <w:sz w:val="32"/>
          <w:szCs w:val="28"/>
          <w:shd w:val="clear" w:color="auto" w:fill="FFFFFF"/>
        </w:rPr>
        <w:t>3</w:t>
      </w:r>
      <w:r>
        <w:rPr>
          <w:rFonts w:hint="eastAsia" w:ascii="仿宋_GB2312" w:hAnsi="宋体" w:eastAsia="仿宋" w:cs="宋体"/>
          <w:color w:val="FF0000"/>
          <w:sz w:val="32"/>
          <w:szCs w:val="28"/>
          <w:shd w:val="clear" w:color="auto" w:fill="FFFFFF"/>
        </w:rPr>
        <w:t>个部门暂未公开部门整体支出绩效自评报告</w:t>
      </w:r>
    </w:p>
    <w:p>
      <w:pPr>
        <w:spacing w:line="560" w:lineRule="exact"/>
        <w:ind w:firstLine="562"/>
        <w:rPr>
          <w:rFonts w:hint="eastAsia" w:ascii="仿宋_GB2312" w:hAnsi="宋体" w:eastAsia="仿宋" w:cs="宋体"/>
          <w:sz w:val="32"/>
          <w:szCs w:val="28"/>
          <w:shd w:val="clear" w:color="auto" w:fill="FFFFFF"/>
        </w:rPr>
      </w:pPr>
      <w:r>
        <w:rPr>
          <w:rFonts w:hint="eastAsia" w:ascii="仿宋_GB2312" w:hAnsi="宋体" w:eastAsia="仿宋" w:cs="宋体"/>
          <w:bCs/>
          <w:sz w:val="32"/>
          <w:szCs w:val="28"/>
          <w:shd w:val="clear" w:color="auto" w:fill="FFFFFF"/>
        </w:rPr>
        <w:t>评价项目覆盖率：</w:t>
      </w:r>
      <w:r>
        <w:rPr>
          <w:rFonts w:hint="eastAsia" w:ascii="仿宋_GB2312" w:hAnsi="宋体" w:eastAsia="仿宋" w:cs="宋体"/>
          <w:sz w:val="32"/>
          <w:szCs w:val="28"/>
          <w:shd w:val="clear" w:color="auto" w:fill="FFFFFF"/>
        </w:rPr>
        <w:t>涉及预算编制重点项目的部门共计</w:t>
      </w:r>
      <w:r>
        <w:rPr>
          <w:rFonts w:ascii="仿宋_GB2312" w:hAnsi="宋体" w:eastAsia="仿宋" w:cs="宋体"/>
          <w:sz w:val="32"/>
          <w:szCs w:val="28"/>
          <w:shd w:val="clear" w:color="auto" w:fill="FFFFFF"/>
        </w:rPr>
        <w:t>3</w:t>
      </w:r>
      <w:r>
        <w:rPr>
          <w:rFonts w:hint="eastAsia" w:ascii="仿宋_GB2312" w:hAnsi="宋体" w:eastAsia="仿宋" w:cs="宋体"/>
          <w:sz w:val="32"/>
          <w:szCs w:val="28"/>
          <w:shd w:val="clear" w:color="auto" w:fill="FFFFFF"/>
        </w:rPr>
        <w:t xml:space="preserve">个，3个部门均完成了重点项目的绩效评价。 </w:t>
      </w:r>
    </w:p>
    <w:p>
      <w:pPr>
        <w:spacing w:line="560" w:lineRule="exact"/>
        <w:ind w:firstLine="562"/>
        <w:rPr>
          <w:rFonts w:hint="eastAsia" w:ascii="仿宋_GB2312" w:hAnsi="宋体" w:eastAsia="仿宋" w:cs="宋体"/>
          <w:sz w:val="32"/>
          <w:szCs w:val="28"/>
          <w:shd w:val="clear" w:color="auto" w:fill="FFFFFF"/>
        </w:rPr>
      </w:pPr>
      <w:r>
        <w:rPr>
          <w:rFonts w:hint="eastAsia" w:ascii="仿宋_GB2312" w:hAnsi="宋体" w:eastAsia="仿宋" w:cs="宋体"/>
          <w:bCs/>
          <w:sz w:val="32"/>
          <w:szCs w:val="28"/>
          <w:shd w:val="clear" w:color="auto" w:fill="FFFFFF"/>
        </w:rPr>
        <w:t>评价层次：</w:t>
      </w:r>
      <w:r>
        <w:rPr>
          <w:rFonts w:hint="eastAsia" w:ascii="仿宋_GB2312" w:hAnsi="宋体" w:eastAsia="仿宋" w:cs="宋体"/>
          <w:sz w:val="32"/>
          <w:szCs w:val="28"/>
          <w:shd w:val="clear" w:color="auto" w:fill="FFFFFF"/>
        </w:rPr>
        <w:t>考核的1</w:t>
      </w:r>
      <w:r>
        <w:rPr>
          <w:rFonts w:ascii="仿宋_GB2312" w:hAnsi="宋体" w:eastAsia="仿宋" w:cs="宋体"/>
          <w:sz w:val="32"/>
          <w:szCs w:val="28"/>
          <w:shd w:val="clear" w:color="auto" w:fill="FFFFFF"/>
        </w:rPr>
        <w:t>3</w:t>
      </w:r>
      <w:r>
        <w:rPr>
          <w:rFonts w:hint="eastAsia" w:ascii="仿宋_GB2312" w:hAnsi="宋体" w:eastAsia="仿宋" w:cs="宋体"/>
          <w:sz w:val="32"/>
          <w:szCs w:val="28"/>
          <w:shd w:val="clear" w:color="auto" w:fill="FFFFFF"/>
        </w:rPr>
        <w:t>个部门中，共</w:t>
      </w:r>
      <w:r>
        <w:rPr>
          <w:rFonts w:ascii="仿宋_GB2312" w:hAnsi="宋体" w:eastAsia="仿宋" w:cs="宋体"/>
          <w:sz w:val="32"/>
          <w:szCs w:val="28"/>
          <w:shd w:val="clear" w:color="auto" w:fill="FFFFFF"/>
        </w:rPr>
        <w:t>1</w:t>
      </w:r>
      <w:r>
        <w:rPr>
          <w:rFonts w:hint="eastAsia" w:ascii="仿宋_GB2312" w:hAnsi="宋体" w:eastAsia="仿宋" w:cs="宋体"/>
          <w:sz w:val="32"/>
          <w:szCs w:val="28"/>
          <w:shd w:val="clear" w:color="auto" w:fill="FFFFFF"/>
        </w:rPr>
        <w:t>个部门在201</w:t>
      </w:r>
      <w:r>
        <w:rPr>
          <w:rFonts w:ascii="仿宋_GB2312" w:hAnsi="宋体" w:eastAsia="仿宋" w:cs="宋体"/>
          <w:sz w:val="32"/>
          <w:szCs w:val="28"/>
          <w:shd w:val="clear" w:color="auto" w:fill="FFFFFF"/>
        </w:rPr>
        <w:t>9</w:t>
      </w:r>
      <w:r>
        <w:rPr>
          <w:rFonts w:hint="eastAsia" w:ascii="仿宋_GB2312" w:hAnsi="宋体" w:eastAsia="仿宋" w:cs="宋体"/>
          <w:sz w:val="32"/>
          <w:szCs w:val="28"/>
          <w:shd w:val="clear" w:color="auto" w:fill="FFFFFF"/>
        </w:rPr>
        <w:t>年1月至2019年</w:t>
      </w:r>
      <w:r>
        <w:rPr>
          <w:rFonts w:ascii="仿宋_GB2312" w:hAnsi="宋体" w:eastAsia="仿宋" w:cs="宋体"/>
          <w:sz w:val="32"/>
          <w:szCs w:val="28"/>
          <w:shd w:val="clear" w:color="auto" w:fill="FFFFFF"/>
        </w:rPr>
        <w:t>12</w:t>
      </w:r>
      <w:r>
        <w:rPr>
          <w:rFonts w:hint="eastAsia" w:ascii="仿宋_GB2312" w:hAnsi="宋体" w:eastAsia="仿宋" w:cs="宋体"/>
          <w:sz w:val="32"/>
          <w:szCs w:val="28"/>
          <w:shd w:val="clear" w:color="auto" w:fill="FFFFFF"/>
        </w:rPr>
        <w:t>月期间对下级预算单位的得开展整体绩效评价，其余部门不涉及下级预算单位。</w:t>
      </w:r>
    </w:p>
    <w:p>
      <w:pPr>
        <w:spacing w:line="560" w:lineRule="exact"/>
        <w:ind w:firstLine="562"/>
        <w:rPr>
          <w:rFonts w:hint="eastAsia" w:ascii="仿宋_GB2312" w:hAnsi="宋体" w:eastAsia="仿宋" w:cs="宋体"/>
          <w:sz w:val="32"/>
          <w:szCs w:val="28"/>
          <w:shd w:val="clear" w:color="auto" w:fill="FFFFFF"/>
        </w:rPr>
      </w:pPr>
      <w:r>
        <w:rPr>
          <w:rFonts w:hint="eastAsia" w:ascii="仿宋_GB2312" w:hAnsi="宋体" w:eastAsia="仿宋" w:cs="宋体"/>
          <w:bCs/>
          <w:sz w:val="32"/>
          <w:szCs w:val="28"/>
          <w:shd w:val="clear" w:color="auto" w:fill="FFFFFF"/>
        </w:rPr>
        <w:t>评价结果报告：</w:t>
      </w:r>
      <w:r>
        <w:rPr>
          <w:rFonts w:hint="eastAsia" w:ascii="仿宋_GB2312" w:hAnsi="宋体" w:eastAsia="仿宋" w:cs="宋体"/>
          <w:sz w:val="32"/>
          <w:szCs w:val="28"/>
          <w:shd w:val="clear" w:color="auto" w:fill="FFFFFF"/>
        </w:rPr>
        <w:t>考核的1</w:t>
      </w:r>
      <w:r>
        <w:rPr>
          <w:rFonts w:ascii="仿宋_GB2312" w:hAnsi="宋体" w:eastAsia="仿宋" w:cs="宋体"/>
          <w:sz w:val="32"/>
          <w:szCs w:val="28"/>
          <w:shd w:val="clear" w:color="auto" w:fill="FFFFFF"/>
        </w:rPr>
        <w:t>3</w:t>
      </w:r>
      <w:r>
        <w:rPr>
          <w:rFonts w:hint="eastAsia" w:ascii="仿宋_GB2312" w:hAnsi="宋体" w:eastAsia="仿宋" w:cs="宋体"/>
          <w:sz w:val="32"/>
          <w:szCs w:val="28"/>
          <w:shd w:val="clear" w:color="auto" w:fill="FFFFFF"/>
        </w:rPr>
        <w:t>个部门均按要求向财政部门报告自评报告等相关绩效信息。</w:t>
      </w:r>
    </w:p>
    <w:p>
      <w:pPr>
        <w:spacing w:line="560" w:lineRule="exact"/>
        <w:ind w:firstLine="562"/>
        <w:rPr>
          <w:rFonts w:hint="eastAsia" w:ascii="仿宋_GB2312" w:hAnsi="宋体" w:eastAsia="仿宋" w:cs="宋体"/>
          <w:sz w:val="32"/>
          <w:szCs w:val="28"/>
          <w:shd w:val="clear" w:color="auto" w:fill="FFFFFF"/>
        </w:rPr>
      </w:pPr>
      <w:r>
        <w:rPr>
          <w:rFonts w:hint="eastAsia" w:ascii="仿宋_GB2312" w:hAnsi="宋体" w:eastAsia="仿宋" w:cs="宋体"/>
          <w:bCs/>
          <w:sz w:val="32"/>
          <w:szCs w:val="28"/>
          <w:shd w:val="clear" w:color="auto" w:fill="FFFFFF"/>
        </w:rPr>
        <w:t>是否按要求开展自查自纠：</w:t>
      </w:r>
      <w:r>
        <w:rPr>
          <w:rFonts w:hint="eastAsia" w:ascii="仿宋_GB2312" w:hAnsi="宋体" w:eastAsia="仿宋" w:cs="宋体"/>
          <w:sz w:val="32"/>
          <w:szCs w:val="28"/>
          <w:shd w:val="clear" w:color="auto" w:fill="FFFFFF"/>
        </w:rPr>
        <w:t>考核的10个部门中</w:t>
      </w:r>
      <w:r>
        <w:rPr>
          <w:rFonts w:ascii="仿宋_GB2312" w:hAnsi="宋体" w:eastAsia="仿宋" w:cs="宋体"/>
          <w:sz w:val="32"/>
          <w:szCs w:val="28"/>
          <w:shd w:val="clear" w:color="auto" w:fill="FFFFFF"/>
        </w:rPr>
        <w:t>10</w:t>
      </w:r>
      <w:r>
        <w:rPr>
          <w:rFonts w:hint="eastAsia" w:ascii="仿宋_GB2312" w:hAnsi="宋体" w:eastAsia="仿宋" w:cs="宋体"/>
          <w:sz w:val="32"/>
          <w:szCs w:val="28"/>
          <w:shd w:val="clear" w:color="auto" w:fill="FFFFFF"/>
        </w:rPr>
        <w:t>个部门均已开展了自查自纠，</w:t>
      </w:r>
      <w:r>
        <w:rPr>
          <w:rFonts w:ascii="仿宋_GB2312" w:hAnsi="宋体" w:eastAsia="仿宋" w:cs="宋体"/>
          <w:sz w:val="32"/>
          <w:szCs w:val="28"/>
          <w:shd w:val="clear" w:color="auto" w:fill="FFFFFF"/>
        </w:rPr>
        <w:t>3</w:t>
      </w:r>
      <w:r>
        <w:rPr>
          <w:rFonts w:hint="eastAsia" w:ascii="仿宋_GB2312" w:hAnsi="宋体" w:eastAsia="仿宋" w:cs="宋体"/>
          <w:sz w:val="32"/>
          <w:szCs w:val="28"/>
          <w:shd w:val="clear" w:color="auto" w:fill="FFFFFF"/>
        </w:rPr>
        <w:t>个部门未开展自查自纠，如下：</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马尔康市公共服务中心、马尔康市生态环境局、马尔康市水务局</w:t>
      </w:r>
    </w:p>
    <w:p>
      <w:pPr>
        <w:spacing w:line="560" w:lineRule="exact"/>
        <w:ind w:firstLine="562"/>
        <w:rPr>
          <w:rFonts w:ascii="仿宋_GB2312" w:hAnsi="宋体" w:eastAsia="仿宋" w:cs="宋体"/>
          <w:sz w:val="32"/>
          <w:szCs w:val="28"/>
          <w:shd w:val="clear" w:color="auto" w:fill="FFFFFF"/>
        </w:rPr>
      </w:pPr>
      <w:r>
        <w:rPr>
          <w:rFonts w:hint="eastAsia" w:ascii="仿宋_GB2312" w:hAnsi="宋体" w:eastAsia="仿宋" w:cs="宋体"/>
          <w:bCs/>
          <w:sz w:val="32"/>
          <w:szCs w:val="28"/>
          <w:shd w:val="clear" w:color="auto" w:fill="FFFFFF"/>
        </w:rPr>
        <w:t>重点检查发现违规违纪问题：</w:t>
      </w:r>
      <w:r>
        <w:rPr>
          <w:rFonts w:hint="eastAsia" w:ascii="仿宋_GB2312" w:hAnsi="宋体" w:eastAsia="仿宋" w:cs="宋体"/>
          <w:sz w:val="32"/>
          <w:szCs w:val="28"/>
          <w:shd w:val="clear" w:color="auto" w:fill="FFFFFF"/>
        </w:rPr>
        <w:t>考核的1</w:t>
      </w:r>
      <w:r>
        <w:rPr>
          <w:rFonts w:ascii="仿宋_GB2312" w:hAnsi="宋体" w:eastAsia="仿宋" w:cs="宋体"/>
          <w:sz w:val="32"/>
          <w:szCs w:val="28"/>
          <w:shd w:val="clear" w:color="auto" w:fill="FFFFFF"/>
        </w:rPr>
        <w:t>3</w:t>
      </w:r>
      <w:r>
        <w:rPr>
          <w:rFonts w:hint="eastAsia" w:ascii="仿宋_GB2312" w:hAnsi="宋体" w:eastAsia="仿宋" w:cs="宋体"/>
          <w:sz w:val="32"/>
          <w:szCs w:val="28"/>
          <w:shd w:val="clear" w:color="auto" w:fill="FFFFFF"/>
        </w:rPr>
        <w:t>个部门中，有</w:t>
      </w:r>
      <w:r>
        <w:rPr>
          <w:rFonts w:ascii="仿宋_GB2312" w:hAnsi="宋体" w:eastAsia="仿宋" w:cs="宋体"/>
          <w:sz w:val="32"/>
          <w:szCs w:val="28"/>
          <w:shd w:val="clear" w:color="auto" w:fill="FFFFFF"/>
        </w:rPr>
        <w:t>5</w:t>
      </w:r>
      <w:r>
        <w:rPr>
          <w:rFonts w:hint="eastAsia" w:ascii="仿宋_GB2312" w:hAnsi="宋体" w:eastAsia="仿宋" w:cs="宋体"/>
          <w:sz w:val="32"/>
          <w:szCs w:val="28"/>
          <w:shd w:val="clear" w:color="auto" w:fill="FFFFFF"/>
        </w:rPr>
        <w:t>个发现违规违纪问题。</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马尔康市融媒体中心、马尔康市公共服务中心、马尔康市生态环境局、马尔康市人民法院、马尔康市卫生健康局</w:t>
      </w:r>
    </w:p>
    <w:p>
      <w:pPr>
        <w:spacing w:line="560" w:lineRule="exact"/>
        <w:ind w:firstLine="560"/>
        <w:rPr>
          <w:rFonts w:hint="eastAsia" w:ascii="仿宋_GB2312" w:hAnsi="宋体" w:eastAsia="仿宋" w:cs="仿宋_GB2312"/>
          <w:sz w:val="32"/>
          <w:szCs w:val="28"/>
          <w:lang w:bidi="ar"/>
        </w:rPr>
      </w:pPr>
    </w:p>
    <w:p>
      <w:pPr>
        <w:pStyle w:val="40"/>
        <w:spacing w:before="156" w:after="156" w:line="560" w:lineRule="exact"/>
        <w:ind w:firstLine="640"/>
        <w:rPr>
          <w:rFonts w:ascii="仿宋_GB2312" w:hAnsi="仿宋_GB2312" w:eastAsia="仿宋" w:cs="仿宋_GB2312"/>
          <w:b w:val="0"/>
          <w:color w:val="auto"/>
          <w:sz w:val="32"/>
          <w:szCs w:val="28"/>
        </w:rPr>
      </w:pPr>
      <w:bookmarkStart w:id="39" w:name="_Toc6784"/>
      <w:r>
        <w:rPr>
          <w:rFonts w:hint="eastAsia" w:ascii="仿宋_GB2312" w:hAnsi="仿宋_GB2312" w:eastAsia="仿宋" w:cs="仿宋_GB2312"/>
          <w:b w:val="0"/>
          <w:color w:val="auto"/>
          <w:sz w:val="32"/>
          <w:szCs w:val="28"/>
        </w:rPr>
        <w:t>——整体效益</w:t>
      </w:r>
      <w:bookmarkEnd w:id="39"/>
    </w:p>
    <w:p>
      <w:pPr>
        <w:spacing w:line="560" w:lineRule="exact"/>
        <w:ind w:firstLine="560"/>
        <w:rPr>
          <w:rFonts w:hint="eastAsia" w:ascii="仿宋_GB2312" w:hAnsi="宋体" w:eastAsia="仿宋" w:cs="仿宋_GB2312"/>
          <w:bCs/>
          <w:sz w:val="32"/>
          <w:lang w:bidi="ar"/>
        </w:rPr>
      </w:pPr>
      <w:r>
        <w:rPr>
          <w:rFonts w:hint="eastAsia" w:ascii="仿宋_GB2312" w:hAnsi="宋体" w:eastAsia="仿宋" w:cs="仿宋_GB2312"/>
          <w:sz w:val="32"/>
          <w:szCs w:val="28"/>
          <w:lang w:bidi="ar"/>
        </w:rPr>
        <w:t>该指标</w:t>
      </w:r>
      <w:r>
        <w:rPr>
          <w:rFonts w:ascii="仿宋_GB2312" w:hAnsi="宋体" w:eastAsia="仿宋" w:cs="仿宋_GB2312"/>
          <w:sz w:val="32"/>
          <w:szCs w:val="28"/>
          <w:lang w:bidi="ar"/>
        </w:rPr>
        <w:t>权重为</w:t>
      </w:r>
      <w:r>
        <w:rPr>
          <w:rFonts w:hint="eastAsia" w:ascii="仿宋_GB2312" w:hAnsi="宋体" w:eastAsia="仿宋" w:cs="仿宋_GB2312"/>
          <w:sz w:val="32"/>
          <w:szCs w:val="28"/>
          <w:lang w:bidi="ar"/>
        </w:rPr>
        <w:t>30.00</w:t>
      </w:r>
      <w:r>
        <w:rPr>
          <w:rFonts w:ascii="仿宋_GB2312" w:hAnsi="宋体" w:eastAsia="仿宋" w:cs="仿宋_GB2312"/>
          <w:sz w:val="32"/>
          <w:szCs w:val="28"/>
          <w:lang w:bidi="ar"/>
        </w:rPr>
        <w:t>分，</w:t>
      </w:r>
      <w:r>
        <w:rPr>
          <w:rFonts w:hint="eastAsia" w:ascii="仿宋_GB2312" w:hAnsi="宋体" w:eastAsia="仿宋" w:cs="仿宋_GB2312"/>
          <w:sz w:val="32"/>
          <w:szCs w:val="28"/>
          <w:lang w:bidi="ar"/>
        </w:rPr>
        <w:t>实得</w:t>
      </w:r>
      <w:r>
        <w:rPr>
          <w:rFonts w:ascii="仿宋_GB2312" w:hAnsi="宋体" w:eastAsia="仿宋" w:cs="仿宋_GB2312"/>
          <w:sz w:val="32"/>
          <w:szCs w:val="28"/>
          <w:lang w:bidi="ar"/>
        </w:rPr>
        <w:t>24.67</w:t>
      </w:r>
      <w:r>
        <w:rPr>
          <w:rFonts w:hint="eastAsia" w:ascii="仿宋_GB2312" w:hAnsi="宋体" w:eastAsia="仿宋" w:cs="仿宋_GB2312"/>
          <w:sz w:val="32"/>
          <w:szCs w:val="28"/>
          <w:lang w:bidi="ar"/>
        </w:rPr>
        <w:t>分，</w:t>
      </w:r>
      <w:r>
        <w:rPr>
          <w:rFonts w:ascii="仿宋_GB2312" w:hAnsi="宋体" w:eastAsia="仿宋" w:cs="仿宋_GB2312"/>
          <w:sz w:val="32"/>
          <w:szCs w:val="28"/>
          <w:lang w:bidi="ar"/>
        </w:rPr>
        <w:t>用于考察</w:t>
      </w:r>
      <w:r>
        <w:rPr>
          <w:rFonts w:hint="eastAsia" w:ascii="仿宋_GB2312" w:hAnsi="宋体" w:eastAsia="仿宋" w:cs="仿宋_GB2312"/>
          <w:sz w:val="32"/>
          <w:szCs w:val="28"/>
          <w:lang w:bidi="ar"/>
        </w:rPr>
        <w:t>部门重点项目绩效评价结果和部门职能完成情况特性指标。各分项指标得分和绩效分析如下：</w:t>
      </w:r>
    </w:p>
    <w:p>
      <w:pPr>
        <w:spacing w:line="560" w:lineRule="exact"/>
        <w:ind w:firstLine="482"/>
        <w:jc w:val="center"/>
        <w:rPr>
          <w:rFonts w:ascii="仿宋_GB2312" w:hAnsi="宋体" w:eastAsia="仿宋" w:cs="仿宋_GB2312"/>
          <w:bCs/>
          <w:sz w:val="32"/>
          <w:lang w:bidi="ar"/>
        </w:rPr>
      </w:pPr>
      <w:r>
        <w:rPr>
          <w:rFonts w:hint="eastAsia" w:ascii="仿宋_GB2312" w:hAnsi="宋体" w:eastAsia="仿宋" w:cs="仿宋_GB2312"/>
          <w:bCs/>
          <w:sz w:val="32"/>
          <w:lang w:bidi="ar"/>
        </w:rPr>
        <w:t>表21 整体效益类指标得分情况汇总表</w:t>
      </w:r>
    </w:p>
    <w:tbl>
      <w:tblPr>
        <w:tblStyle w:val="15"/>
        <w:tblpPr w:leftFromText="180" w:rightFromText="180" w:vertAnchor="text" w:horzAnchor="page" w:tblpXSpec="center" w:tblpY="40"/>
        <w:tblOverlap w:val="never"/>
        <w:tblW w:w="5000"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629"/>
        <w:gridCol w:w="2483"/>
        <w:gridCol w:w="2423"/>
        <w:gridCol w:w="246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blHeader/>
          <w:jc w:val="center"/>
        </w:trPr>
        <w:tc>
          <w:tcPr>
            <w:tcW w:w="905"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指标</w:t>
            </w:r>
          </w:p>
        </w:tc>
        <w:tc>
          <w:tcPr>
            <w:tcW w:w="1379"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权重</w:t>
            </w:r>
          </w:p>
        </w:tc>
        <w:tc>
          <w:tcPr>
            <w:tcW w:w="1346"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w:t>
            </w:r>
          </w:p>
        </w:tc>
        <w:tc>
          <w:tcPr>
            <w:tcW w:w="1370"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905" w:type="pct"/>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整体效益</w:t>
            </w:r>
          </w:p>
        </w:tc>
        <w:tc>
          <w:tcPr>
            <w:tcW w:w="1379"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30.00</w:t>
            </w:r>
          </w:p>
        </w:tc>
        <w:tc>
          <w:tcPr>
            <w:tcW w:w="1346"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24.67</w:t>
            </w:r>
          </w:p>
        </w:tc>
        <w:tc>
          <w:tcPr>
            <w:tcW w:w="1370"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82.23%</w:t>
            </w:r>
          </w:p>
        </w:tc>
      </w:tr>
    </w:tbl>
    <w:p>
      <w:pPr>
        <w:spacing w:line="560" w:lineRule="exact"/>
        <w:ind w:firstLine="562"/>
        <w:rPr>
          <w:rFonts w:ascii="仿宋_GB2312" w:hAnsi="宋体" w:eastAsia="仿宋" w:cs="仿宋_GB2312"/>
          <w:bCs/>
          <w:sz w:val="32"/>
          <w:szCs w:val="28"/>
          <w:lang w:bidi="ar"/>
        </w:rPr>
      </w:pPr>
      <w:r>
        <w:rPr>
          <w:rFonts w:ascii="仿宋_GB2312" w:hAnsi="宋体" w:eastAsia="仿宋" w:cs="仿宋_GB2312"/>
          <w:bCs/>
          <w:sz w:val="32"/>
          <w:szCs w:val="28"/>
          <w:lang w:bidi="ar"/>
        </w:rPr>
        <w:t>重点项目绩效评价结果</w:t>
      </w:r>
      <w:r>
        <w:rPr>
          <w:rFonts w:hint="eastAsia" w:ascii="仿宋_GB2312" w:hAnsi="宋体" w:eastAsia="仿宋" w:cs="仿宋_GB2312"/>
          <w:bCs/>
          <w:sz w:val="32"/>
          <w:szCs w:val="28"/>
          <w:lang w:bidi="ar"/>
        </w:rPr>
        <w:t>：阿底村防洪堤工程的建成改善了马尔康市汛期河流水位暴涨时严重威胁两岸居民生命财产及农田设施的情况，为保护两岸居民生命财产和解除贫困村发展致富的后顾之忧，改善当地老百姓生活生产条件，提升阿底村的综合环境方面起到了较大的作用。</w:t>
      </w:r>
    </w:p>
    <w:p>
      <w:pPr>
        <w:spacing w:line="560" w:lineRule="exact"/>
        <w:ind w:firstLine="560"/>
        <w:rPr>
          <w:rFonts w:ascii="仿宋_GB2312" w:hAnsi="宋体" w:eastAsia="仿宋" w:cs="仿宋_GB2312"/>
          <w:bCs/>
          <w:sz w:val="32"/>
          <w:szCs w:val="28"/>
          <w:lang w:bidi="ar"/>
        </w:rPr>
      </w:pPr>
      <w:r>
        <w:rPr>
          <w:rFonts w:hint="eastAsia" w:ascii="仿宋_GB2312" w:hAnsi="宋体" w:eastAsia="仿宋" w:cs="仿宋_GB2312"/>
          <w:bCs/>
          <w:sz w:val="32"/>
          <w:szCs w:val="28"/>
          <w:lang w:bidi="ar"/>
        </w:rPr>
        <w:t>地质灾害防治项目-地质灾害避险搬迁安置项目2019年完成搬迁3户，地质灾害综合防治体系建设专职检测项目完成专职检测点数365个，地质灾害综合防治体系建设避险搬迁安置项目完成搬迁安置户数2户，地质灾害防治项目-州档案局后山危岩排危除险项目、地质灾害防治项目-木尔宗乡斯米村德塔滑坡排危除险2019年项目未开工，2020年6月开工；地质灾害防治项目-马尔康镇昌木桥沟坝体下沟槽维修加固项目2019年未实施，2020年7月已移交给马尔康镇人民政府组织实施；地质灾害防治项目-龙尔甲乡石木榴村呷堆泥石流治理工程清淤项目2019年未实施，2020年7月已移交给龙尔甲乡人民政府组织实施。</w:t>
      </w:r>
    </w:p>
    <w:p>
      <w:pPr>
        <w:spacing w:line="560" w:lineRule="exact"/>
        <w:ind w:firstLine="560"/>
        <w:rPr>
          <w:rFonts w:hint="eastAsia" w:ascii="仿宋_GB2312" w:hAnsi="宋体" w:eastAsia="仿宋" w:cs="宋体"/>
          <w:sz w:val="32"/>
          <w:szCs w:val="28"/>
          <w:shd w:val="clear" w:color="auto" w:fill="FFFFFF"/>
        </w:rPr>
      </w:pPr>
      <w:r>
        <w:rPr>
          <w:rFonts w:hint="eastAsia" w:ascii="仿宋_GB2312" w:hAnsi="宋体" w:eastAsia="仿宋" w:cs="宋体"/>
          <w:sz w:val="32"/>
          <w:szCs w:val="28"/>
          <w:shd w:val="clear" w:color="auto" w:fill="FFFFFF"/>
        </w:rPr>
        <w:t>重要道路绿化及城区绿化提升项目使项目区的植被得以恢复，对区域内的水土保持起到一定作用，增加了G317路段和S209路段道路两侧、马尔康城区范围的绿化效果，部分改善了项目区域的生态环境，改善了城市形象，美化了旅游环境，提升了州内旅游体验，为美丽阿坝州起到了基础性支撑。</w:t>
      </w: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bCs/>
          <w:sz w:val="32"/>
          <w:szCs w:val="28"/>
          <w:lang w:bidi="ar"/>
        </w:rPr>
        <w:t>部门职能完成情况特性指标：</w:t>
      </w:r>
      <w:r>
        <w:rPr>
          <w:rFonts w:hint="eastAsia" w:ascii="仿宋_GB2312" w:hAnsi="宋体" w:eastAsia="仿宋" w:cs="仿宋_GB2312"/>
          <w:sz w:val="32"/>
          <w:szCs w:val="28"/>
          <w:lang w:bidi="ar"/>
        </w:rPr>
        <w:t>201</w:t>
      </w:r>
      <w:r>
        <w:rPr>
          <w:rFonts w:ascii="仿宋_GB2312" w:hAnsi="宋体" w:eastAsia="仿宋" w:cs="仿宋_GB2312"/>
          <w:sz w:val="32"/>
          <w:szCs w:val="28"/>
          <w:lang w:bidi="ar"/>
        </w:rPr>
        <w:t>9</w:t>
      </w:r>
      <w:r>
        <w:rPr>
          <w:rFonts w:hint="eastAsia" w:ascii="仿宋_GB2312" w:hAnsi="宋体" w:eastAsia="仿宋" w:cs="仿宋_GB2312"/>
          <w:sz w:val="32"/>
          <w:szCs w:val="28"/>
          <w:lang w:bidi="ar"/>
        </w:rPr>
        <w:t>年涉及考核的1</w:t>
      </w:r>
      <w:r>
        <w:rPr>
          <w:rFonts w:ascii="仿宋_GB2312" w:hAnsi="宋体" w:eastAsia="仿宋" w:cs="仿宋_GB2312"/>
          <w:sz w:val="32"/>
          <w:szCs w:val="28"/>
          <w:lang w:bidi="ar"/>
        </w:rPr>
        <w:t>3</w:t>
      </w:r>
      <w:r>
        <w:rPr>
          <w:rFonts w:hint="eastAsia" w:ascii="仿宋_GB2312" w:hAnsi="宋体" w:eastAsia="仿宋" w:cs="仿宋_GB2312"/>
          <w:sz w:val="32"/>
          <w:szCs w:val="28"/>
          <w:lang w:bidi="ar"/>
        </w:rPr>
        <w:t>个部门完成工作（部分）情况如下表：</w:t>
      </w: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sectPr>
          <w:headerReference r:id="rId5" w:type="first"/>
          <w:footerReference r:id="rId8" w:type="first"/>
          <w:headerReference r:id="rId3" w:type="default"/>
          <w:footerReference r:id="rId6" w:type="default"/>
          <w:headerReference r:id="rId4" w:type="even"/>
          <w:footerReference r:id="rId7" w:type="even"/>
          <w:pgSz w:w="11906" w:h="16838"/>
          <w:pgMar w:top="1304" w:right="1418" w:bottom="1276" w:left="1418" w:header="851" w:footer="992" w:gutter="284"/>
          <w:pgNumType w:start="1"/>
          <w:cols w:space="720" w:num="1"/>
          <w:docGrid w:type="lines" w:linePitch="312" w:charSpace="0"/>
        </w:sect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712"/>
        <w:gridCol w:w="10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shd w:val="clear" w:color="auto" w:fill="BEBEBE"/>
            <w:vAlign w:val="center"/>
          </w:tcPr>
          <w:p>
            <w:pPr>
              <w:spacing w:line="560" w:lineRule="exact"/>
              <w:jc w:val="center"/>
              <w:rPr>
                <w:rFonts w:ascii="仿宋_GB2312" w:hAnsi="宋体" w:eastAsia="仿宋" w:cs="仿宋_GB2312"/>
                <w:sz w:val="32"/>
                <w:lang w:bidi="ar"/>
              </w:rPr>
            </w:pPr>
            <w:r>
              <w:rPr>
                <w:rFonts w:ascii="仿宋_GB2312" w:hAnsi="宋体" w:eastAsia="仿宋" w:cs="仿宋_GB2312"/>
                <w:bCs/>
                <w:sz w:val="32"/>
                <w:lang w:bidi="ar"/>
              </w:rPr>
              <w:t>序号</w:t>
            </w:r>
          </w:p>
        </w:tc>
        <w:tc>
          <w:tcPr>
            <w:tcW w:w="2712" w:type="dxa"/>
            <w:shd w:val="clear" w:color="auto" w:fill="BEBEBE"/>
            <w:vAlign w:val="center"/>
          </w:tcPr>
          <w:p>
            <w:pPr>
              <w:spacing w:line="560" w:lineRule="exact"/>
              <w:jc w:val="center"/>
              <w:rPr>
                <w:rFonts w:ascii="仿宋_GB2312" w:hAnsi="宋体" w:eastAsia="仿宋" w:cs="仿宋_GB2312"/>
                <w:sz w:val="32"/>
                <w:lang w:bidi="ar"/>
              </w:rPr>
            </w:pPr>
            <w:r>
              <w:rPr>
                <w:rFonts w:ascii="仿宋_GB2312" w:hAnsi="宋体" w:eastAsia="仿宋" w:cs="仿宋_GB2312"/>
                <w:bCs/>
                <w:sz w:val="32"/>
                <w:lang w:bidi="ar"/>
              </w:rPr>
              <w:t>部门</w:t>
            </w:r>
          </w:p>
        </w:tc>
        <w:tc>
          <w:tcPr>
            <w:tcW w:w="10766" w:type="dxa"/>
            <w:shd w:val="clear" w:color="auto" w:fill="BEBEBE"/>
            <w:vAlign w:val="center"/>
          </w:tcPr>
          <w:p>
            <w:pPr>
              <w:spacing w:line="560" w:lineRule="exact"/>
              <w:jc w:val="center"/>
              <w:rPr>
                <w:rFonts w:ascii="仿宋_GB2312" w:hAnsi="宋体" w:eastAsia="仿宋" w:cs="仿宋_GB2312"/>
                <w:sz w:val="32"/>
                <w:lang w:bidi="ar"/>
              </w:rPr>
            </w:pPr>
            <w:r>
              <w:rPr>
                <w:rFonts w:ascii="仿宋_GB2312" w:hAnsi="宋体" w:eastAsia="仿宋" w:cs="仿宋_GB2312"/>
                <w:bCs/>
                <w:sz w:val="32"/>
                <w:lang w:bidi="ar"/>
              </w:rPr>
              <w:t>部门职能完成情况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w:t>
            </w:r>
          </w:p>
        </w:tc>
        <w:tc>
          <w:tcPr>
            <w:tcW w:w="2712"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马尔康市融媒体中心</w:t>
            </w:r>
          </w:p>
        </w:tc>
        <w:tc>
          <w:tcPr>
            <w:tcW w:w="10766"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围绕市委、市政府工作大局和中心工作，开辟了“新中国成立70周年”、“不忘初心牢记使命”、“精准扶贫在行动”、“绿水青山就是金山银山”、“我身边的共产党员”、“最美马尔康人”、“盛世嘉绒.舞动吉祥”、“民族团结进步”等主题宣传专栏，及时宣传报道马尔康市贯彻落实中央、省委、州委新思路、新举措，充分展示马尔康市各条战线在十九大精神指引下取得的新进展、新成效，进一步激发全县上下干事创业的激情和动力。9月17日，正式挂牌融媒体中心以来，完成“马尔康在线”综合点击量达3万人次。市融媒体中心全新制播本土文艺作品《每周一歌》，法治栏目《普法故事会》、《法网》;历史剧《大揭密》、《档案》等栏目。在黄金时段还安排播出有一批市直相关单位提供的与全市中心工作紧密相关的视频类公益广告，字幕类的公益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w:t>
            </w:r>
          </w:p>
        </w:tc>
        <w:tc>
          <w:tcPr>
            <w:tcW w:w="2712"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马尔康市生态环境局</w:t>
            </w:r>
          </w:p>
        </w:tc>
        <w:tc>
          <w:tcPr>
            <w:tcW w:w="10766"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按照环境保护督察总体部署，中央、省、对马尔康市开展了环保督察，并向马尔康市反馈和移交了相关环境信访问题。根据整改问题清单，截止目前，中央第五环境保护督察组向四川反馈督察意见，全市涉及5大类28项，完成整改任务21项、销号10项，完成率75%;中央环保督察信访举报问题涉及全市3项，完成整改任务3项、销号3项，完成率100%; 省环保督察反馈全市问题14项，完成整改任务13项、销号12项，垃圾填埋场问题已整改完成未销号，完成率93%;省环保督察“回头看”阿坝州督察组移交现场核查问题线索涉及全市6项，完成整改任务4项、销号3项、梭磨河下游沿线本真村等已完成砂石治理但未销号，完成率66.67%;自然保护区专项督察问题1项，完成1项、销号1项。完成率100%。建立健全生态环境保护长效机制，持续推进马尔康市生态文明建设，制定了《马尔康市环境保护委员会议事规则》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3</w:t>
            </w:r>
          </w:p>
        </w:tc>
        <w:tc>
          <w:tcPr>
            <w:tcW w:w="2712"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马尔康市公共服务中心</w:t>
            </w:r>
          </w:p>
        </w:tc>
        <w:tc>
          <w:tcPr>
            <w:tcW w:w="10766"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继续完善工作措施、加大对各项工作的监管和服务力度，确保顺利完成各项工作目标任务。其主要工作思路是：深入贯彻学习党的十九大</w:t>
            </w:r>
            <w:bookmarkStart w:id="59" w:name="_GoBack"/>
            <w:bookmarkEnd w:id="59"/>
            <w:r>
              <w:rPr>
                <w:rFonts w:ascii="仿宋_GB2312" w:hAnsi="宋体" w:eastAsia="仿宋" w:cs="仿宋_GB2312"/>
                <w:sz w:val="32"/>
                <w:lang w:bidi="ar"/>
              </w:rPr>
              <w:t>精神、以习近平总书记来川视察重要讲话精神为指导，认真执行党和国家的各项路线、方针、政策，紧紧围绕市委、市人民政府的中心工作，进一步规范和完善管理职能，不断提高服务水平和保障能力，为全市经济社会又好又快发展作出积极贡献。进一步提升政务接待水平，提升队伍整体素质强化制度建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4</w:t>
            </w:r>
          </w:p>
        </w:tc>
        <w:tc>
          <w:tcPr>
            <w:tcW w:w="2712"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马尔康市住房和城乡建设局</w:t>
            </w:r>
          </w:p>
        </w:tc>
        <w:tc>
          <w:tcPr>
            <w:tcW w:w="10766"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市住建局阿底村防洪堤综合治理工程项目、阿底村安置房配套基础设施建设项目等项目已完工，正在审计阶段。维宏达广场基础设施建设（一、二期）项目已完成总工程量的90%。马尔康市红星桥建设等8个项目开展前期工作，市住建局针对马店民贸公司、嘉绒憩宫火柴厂、街心花园3个地块旧城改造进行摸底调查、效益初步分析、房屋土地测绘评估等，并根据目前的设计方案及市场情况对3个地块的开发成本进行了初步测算。委托第三方对31户藏区新居建设实行全程质量安全监管，目前竣工29户，藏区新居惠民惠农 “一卡通”支付23户，57万元补助资金。完成马尔康市240套公租房。招标审批备案76项，并对这76个建设项目招标会议进行现场监督等工作。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5</w:t>
            </w:r>
          </w:p>
        </w:tc>
        <w:tc>
          <w:tcPr>
            <w:tcW w:w="2712"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马尔康市松岗镇人民政府</w:t>
            </w:r>
          </w:p>
        </w:tc>
        <w:tc>
          <w:tcPr>
            <w:tcW w:w="10766"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全镇蔬菜种植153亩，主要种植莴笋、莲花白、白菜等蔬菜。中药材种植521余亩，主要种植大黄、赤芍、秦艽。洛威村45亩花椒种植初具规模。全镇养殖牲畜达10308余头，其中养殖猪3657余头，牛6451余头，羊200只。</w:t>
            </w:r>
          </w:p>
          <w:p>
            <w:pPr>
              <w:spacing w:line="560" w:lineRule="exact"/>
              <w:rPr>
                <w:rFonts w:ascii="仿宋_GB2312" w:hAnsi="宋体" w:eastAsia="仿宋" w:cs="仿宋_GB2312"/>
                <w:sz w:val="32"/>
                <w:lang w:bidi="ar"/>
              </w:rPr>
            </w:pPr>
            <w:r>
              <w:rPr>
                <w:rFonts w:ascii="仿宋_GB2312" w:hAnsi="宋体" w:eastAsia="仿宋" w:cs="仿宋_GB2312"/>
                <w:sz w:val="32"/>
                <w:lang w:bidi="ar"/>
              </w:rPr>
              <w:t>集体经济发展持续向好，全镇8个行政村因村施策建立了村集体经济，各村集体经济收入超出指标任务。</w:t>
            </w:r>
          </w:p>
          <w:p>
            <w:pPr>
              <w:spacing w:line="560" w:lineRule="exact"/>
              <w:rPr>
                <w:rFonts w:ascii="仿宋_GB2312" w:hAnsi="宋体" w:eastAsia="仿宋" w:cs="仿宋_GB2312"/>
                <w:sz w:val="32"/>
                <w:lang w:bidi="ar"/>
              </w:rPr>
            </w:pPr>
            <w:r>
              <w:rPr>
                <w:rFonts w:ascii="仿宋_GB2312" w:hAnsi="宋体" w:eastAsia="仿宋" w:cs="仿宋_GB2312"/>
                <w:sz w:val="32"/>
                <w:lang w:bidi="ar"/>
              </w:rPr>
              <w:t>镇建档立卡贫困户74户274人，今年已全脱贫，巩固提升和回头看、回头帮工作正有序推进。全镇共发放民政保障资金1077280元。全镇九年义务教育普及率达到100％，初中入学率100％。全年公共服务共接件2980余件，办结2980余件，办结率100%，群众满意率达98%。</w:t>
            </w:r>
          </w:p>
        </w:tc>
      </w:tr>
    </w:tbl>
    <w:p>
      <w:pPr>
        <w:spacing w:line="560" w:lineRule="exact"/>
        <w:ind w:firstLine="560"/>
        <w:rPr>
          <w:rFonts w:ascii="仿宋_GB2312" w:hAnsi="宋体" w:eastAsia="仿宋" w:cs="仿宋_GB2312"/>
          <w:sz w:val="32"/>
          <w:szCs w:val="28"/>
          <w:lang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713"/>
        <w:gridCol w:w="10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BEBEBE"/>
            <w:vAlign w:val="center"/>
          </w:tcPr>
          <w:p>
            <w:pPr>
              <w:spacing w:line="560" w:lineRule="exact"/>
              <w:jc w:val="center"/>
              <w:rPr>
                <w:rFonts w:ascii="仿宋_GB2312" w:hAnsi="宋体" w:eastAsia="仿宋" w:cs="仿宋_GB2312"/>
                <w:sz w:val="32"/>
                <w:lang w:bidi="ar"/>
              </w:rPr>
            </w:pPr>
            <w:r>
              <w:rPr>
                <w:rFonts w:ascii="仿宋_GB2312" w:hAnsi="宋体" w:eastAsia="仿宋" w:cs="仿宋_GB2312"/>
                <w:bCs/>
                <w:sz w:val="32"/>
                <w:lang w:bidi="ar"/>
              </w:rPr>
              <w:t>序号</w:t>
            </w:r>
          </w:p>
        </w:tc>
        <w:tc>
          <w:tcPr>
            <w:tcW w:w="2713" w:type="dxa"/>
            <w:shd w:val="clear" w:color="auto" w:fill="BEBEBE"/>
            <w:vAlign w:val="center"/>
          </w:tcPr>
          <w:p>
            <w:pPr>
              <w:spacing w:line="560" w:lineRule="exact"/>
              <w:jc w:val="center"/>
              <w:rPr>
                <w:rFonts w:ascii="仿宋_GB2312" w:hAnsi="宋体" w:eastAsia="仿宋" w:cs="仿宋_GB2312"/>
                <w:sz w:val="32"/>
                <w:lang w:bidi="ar"/>
              </w:rPr>
            </w:pPr>
            <w:r>
              <w:rPr>
                <w:rFonts w:ascii="仿宋_GB2312" w:hAnsi="宋体" w:eastAsia="仿宋" w:cs="仿宋_GB2312"/>
                <w:bCs/>
                <w:sz w:val="32"/>
                <w:lang w:bidi="ar"/>
              </w:rPr>
              <w:t>部门</w:t>
            </w:r>
          </w:p>
        </w:tc>
        <w:tc>
          <w:tcPr>
            <w:tcW w:w="10753" w:type="dxa"/>
            <w:shd w:val="clear" w:color="auto" w:fill="BEBEBE"/>
            <w:vAlign w:val="center"/>
          </w:tcPr>
          <w:p>
            <w:pPr>
              <w:spacing w:line="560" w:lineRule="exact"/>
              <w:jc w:val="center"/>
              <w:rPr>
                <w:rFonts w:ascii="仿宋_GB2312" w:hAnsi="宋体" w:eastAsia="仿宋" w:cs="仿宋_GB2312"/>
                <w:sz w:val="32"/>
                <w:lang w:bidi="ar"/>
              </w:rPr>
            </w:pPr>
            <w:r>
              <w:rPr>
                <w:rFonts w:ascii="仿宋_GB2312" w:hAnsi="宋体" w:eastAsia="仿宋" w:cs="仿宋_GB2312"/>
                <w:bCs/>
                <w:sz w:val="32"/>
                <w:lang w:bidi="ar"/>
              </w:rPr>
              <w:t>部门职能完成情况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6</w:t>
            </w:r>
          </w:p>
        </w:tc>
        <w:tc>
          <w:tcPr>
            <w:tcW w:w="2713"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马尔康市应急管理局</w:t>
            </w:r>
          </w:p>
        </w:tc>
        <w:tc>
          <w:tcPr>
            <w:tcW w:w="10753"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市应急局继续加强安全生产工作的监督管理。2019年共排查非煤矿山、烟花爆竹、危险化学品等重点企业158家次，发现隐患问题629条，完成整改629条。同时进一步做好春运、全国两会、国庆等重点时期安全生产工作，组织开展联合检查25次，专项安全检查40次，督查巡查17次，对全市14个乡镇进行全覆盖督查检查工作。加强对各乡镇、部门、各企业管理人员、安全员和作业人员的安全生产法律法规和技能宣传教育培训，组织培训班3期，培训人员共计300余人，发放各类宣传资料25000余份。市应急局切实加强应急救援预案体系建设。2019年先后开展防汛抗洪、危化、道路交通、旅游景区等应急演练6场，参演人数2618人，通过演练，有效提升了应急救援快速反映、快速处置、抢险救援能力。加强宣传教育，增强防灾减灾意识，举办5.12防灾减灾宣传活动，现场培训教育群众使用防灾减灾应急处置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7</w:t>
            </w:r>
          </w:p>
        </w:tc>
        <w:tc>
          <w:tcPr>
            <w:tcW w:w="2713"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马尔康市经济商务和信息化局</w:t>
            </w:r>
          </w:p>
        </w:tc>
        <w:tc>
          <w:tcPr>
            <w:tcW w:w="10753"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市经信局工业经济发展向好。大禹水电龙头滩电站顺利投产，助力金鑫公司生产自救，促进工业产值达上千万。深化“一岗双责”责任体系，与加油站、民爆公司等企业签订安全生产责任书28份。积极开展电力设施隐患治理工作、汛期地质灾害排查、“安全生产月”等活动，做到每月至少深入企业进行安全生产检查1次等，查出安全隐患22处，已全部整改完成。与州经信局、各通信企业、公安、武警等部门联合开展“法律进企业”集中法治宣传教育活动，外引内推，助力招商引资项目落地。通过点对点、产业化招商、招商推介会等成功签约4个招商引资项目，总投资达3.16亿。2019年，招商引资累计完成108478万元，完成州下达目标任务130%，其中国内省外到位资金99158万元，完成州下达任务的220%。引培并重，推动电子商务平稳发展。促进电信、移动等公司投资1200万元，新建+改造基站43个。无线电监测不断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8</w:t>
            </w:r>
          </w:p>
        </w:tc>
        <w:tc>
          <w:tcPr>
            <w:tcW w:w="2713"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马尔康市自然资源局</w:t>
            </w:r>
          </w:p>
        </w:tc>
        <w:tc>
          <w:tcPr>
            <w:tcW w:w="10753"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农村宅基地审批共9宗，其中新建4宗，总面积1.12亩；原拆原建5件，总面积1.5亩；划拨用地3宗，共计13.7133亩，实现土地收益303.1073万元。完成马尔康市卓阿组团日瓦坝片区（B04-9）地块西侧部分国有建设用地土地使用权拍卖工作，出让面积10000平方米，实现土地收入1750万元。完成马尔康市老城区组团C03-4、C03-5地块（阿底村红十字会旁）国有建设用地土地使用权拍卖工作，出让面积6600平方米，实现土地收入915万元。完成全市二期14个乡镇规划区内测量，总面积6平方公里，包含宗地857块。不动产查档查询2510宗；法院查解封10宗。登记颁证数量质量均居全州首位。着力加强生态治理，狠抓地质灾害治理工作，完成了马尔康镇达萨社区公墓沟泥石流治理工程的施工建设任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9</w:t>
            </w:r>
          </w:p>
        </w:tc>
        <w:tc>
          <w:tcPr>
            <w:tcW w:w="2713"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马尔康市人民法院</w:t>
            </w:r>
          </w:p>
        </w:tc>
        <w:tc>
          <w:tcPr>
            <w:tcW w:w="10753"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市法院受理各类案件621件。其中，受理民事案件354件、审结336件，审结率94.9%；刑事案件39件、审结37件，审结率95%；行政案件10件，审结10件，审结率100%；执行案件214件、执结198件，执结率92.5%；司法救助2件，诉前财产保全2件，案件总数比去年同期增长48.2%。主要办案质量、效率、效果指标继续保持在全州法院前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10</w:t>
            </w:r>
          </w:p>
        </w:tc>
        <w:tc>
          <w:tcPr>
            <w:tcW w:w="2713"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马尔康市人民检察院</w:t>
            </w:r>
          </w:p>
        </w:tc>
        <w:tc>
          <w:tcPr>
            <w:tcW w:w="10753"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市检察院2019年受理提请审查逮捕案件40件68人，经审查批准逮捕57人，决定逮捕1人，不批准逮捕9人，在办1人。共受理审查起诉各类刑事案件50件102人，其中上年积存7件9人，目前已经提起公诉39件71人，8件28人正在审查办理中，不起诉3件3人。开展案件“回头看”，共制定大型宣传标语21幅，发放宣传资料11200余份，开展法治宣传163次，接受法律咨询265余次。依法办理国家司法救助案件3件3人，共计发放司法救助金2万元。“格桑梅朵”青少年法治教育实践基地开馆以来，将“走出去”与“请进来”有机结合，采取“菜单式”和“订单式”相结合的方式，先后组织80批次6000余名中小学生开展“祖国在心中·法治伴成长”爱国主义教育、“双牵手”亲职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11</w:t>
            </w:r>
          </w:p>
        </w:tc>
        <w:tc>
          <w:tcPr>
            <w:tcW w:w="2713"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马尔康市卫生健康局</w:t>
            </w:r>
          </w:p>
        </w:tc>
        <w:tc>
          <w:tcPr>
            <w:tcW w:w="10753" w:type="dxa"/>
            <w:shd w:val="clear" w:color="auto" w:fill="auto"/>
            <w:vAlign w:val="center"/>
          </w:tcPr>
          <w:p>
            <w:pPr>
              <w:spacing w:line="560" w:lineRule="exact"/>
              <w:rPr>
                <w:rFonts w:ascii="仿宋_GB2312" w:hAnsi="宋体" w:eastAsia="仿宋" w:cs="宋体"/>
                <w:sz w:val="32"/>
              </w:rPr>
            </w:pPr>
            <w:r>
              <w:rPr>
                <w:rFonts w:ascii="仿宋_GB2312" w:hAnsi="宋体" w:eastAsia="仿宋" w:cs="宋体"/>
                <w:sz w:val="32"/>
              </w:rPr>
              <w:t>巩固完善基本药物制度和基层运行新机制。医疗联合体的初步建立。州人民医院派驻1名常务副院长、4名专家不定期坐诊，对市人民医院做到了管理指导、技术帮扶和人员培训三到位，实现了科室内会诊。加快推进家庭医生签约服务。已组建家庭医生团队32个，签约51370人，签约率达到87%。医疗卫生服务硬件能力建设持续推进。建立了马尔康包虫病防控实验室等；马尔康市沙尔宗镇卫生院业务用房扩建及附属设施建设项目的建设。公共卫生工作持续加强。传染病管理和疾病防控能力得到提升。发挥卫计行业优势助力脱贫攻坚。一是全市3666位建档立卡贫困人员的个人参合费由市级财政全额解决，参合率达到100%。实现贫困患者在市域内住院、依规转诊至市域外住院、慢性病门诊维持治疗医疗费用个人支付占比均控制在5%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12</w:t>
            </w:r>
          </w:p>
        </w:tc>
        <w:tc>
          <w:tcPr>
            <w:tcW w:w="2713"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马尔康市林业和草原局</w:t>
            </w:r>
          </w:p>
        </w:tc>
        <w:tc>
          <w:tcPr>
            <w:tcW w:w="10753" w:type="dxa"/>
            <w:shd w:val="clear" w:color="auto" w:fill="auto"/>
            <w:vAlign w:val="center"/>
          </w:tcPr>
          <w:p>
            <w:pPr>
              <w:spacing w:line="560" w:lineRule="exact"/>
              <w:rPr>
                <w:rFonts w:ascii="仿宋_GB2312" w:hAnsi="宋体" w:eastAsia="仿宋" w:cs="宋体"/>
                <w:sz w:val="32"/>
              </w:rPr>
            </w:pPr>
            <w:r>
              <w:rPr>
                <w:rFonts w:ascii="仿宋_GB2312" w:hAnsi="宋体" w:eastAsia="仿宋" w:cs="宋体"/>
                <w:sz w:val="32"/>
              </w:rPr>
              <w:t>2019年兑现面积8,000.00亩（2005年7,000.00亩，2006年1,000.00亩），前一轮退耕还林工程完善政策补助资金208万元和2017年6,000.00亩补助资金180万元。扎实开展森林防火工作，圆满完成了州下达的一般森林火灾损失率控制在0.1‰以内和无人员伤亡事故发生的年度目标任务。林草局承担建设脚梭两河绿色走廊项目1个，即马尔康市重要道路绿化项目。该项目于2019年3月12日开工建设以来，施工单位已经按照合同约定全面完成了设计内的82.19公里的绿化工作并已转入养护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13</w:t>
            </w:r>
          </w:p>
        </w:tc>
        <w:tc>
          <w:tcPr>
            <w:tcW w:w="2713"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马尔康市水务局</w:t>
            </w:r>
          </w:p>
        </w:tc>
        <w:tc>
          <w:tcPr>
            <w:tcW w:w="10753" w:type="dxa"/>
            <w:shd w:val="clear" w:color="auto" w:fill="auto"/>
            <w:vAlign w:val="center"/>
          </w:tcPr>
          <w:p>
            <w:pPr>
              <w:spacing w:line="560" w:lineRule="exact"/>
              <w:rPr>
                <w:rFonts w:ascii="仿宋_GB2312" w:hAnsi="宋体" w:eastAsia="仿宋" w:cs="宋体"/>
                <w:sz w:val="32"/>
              </w:rPr>
            </w:pPr>
            <w:r>
              <w:rPr>
                <w:rFonts w:ascii="仿宋_GB2312" w:hAnsi="宋体" w:eastAsia="仿宋" w:cs="宋体"/>
                <w:sz w:val="32"/>
              </w:rPr>
              <w:t>着力推进农村安全饮水工作。积极推进马尔康市农村饮水安全巩固提升项目，共涉及9个乡镇，17个行政村、2处寺庙。建设集中供水工程24处，分散供水9处。积极推进梭磨两河水利工程工作、高效节水灌溉工程等。全面推行河长制工作。编制出台了《马尔康市总河长制运行规则》。对辖区内的河道开展定期与不定期的巡查，严厉打击非法制砂行为，已关停63家砂石加工点、撤除砂石加工点43家、清理撤除8艘抽砂船舶。落实水旱灾害防御工作，积极推进水土保持工作及堤防建设工作。</w:t>
            </w:r>
          </w:p>
        </w:tc>
      </w:tr>
    </w:tbl>
    <w:p>
      <w:pPr>
        <w:spacing w:line="560" w:lineRule="exact"/>
        <w:rPr>
          <w:rFonts w:hint="eastAsia" w:eastAsia="仿宋"/>
          <w:sz w:val="32"/>
          <w:szCs w:val="30"/>
        </w:rPr>
        <w:sectPr>
          <w:footerReference r:id="rId9" w:type="default"/>
          <w:pgSz w:w="16838" w:h="11906" w:orient="landscape"/>
          <w:pgMar w:top="1418" w:right="1304" w:bottom="1418" w:left="1276" w:header="851" w:footer="992" w:gutter="284"/>
          <w:cols w:space="720" w:num="1"/>
          <w:docGrid w:type="lines" w:linePitch="312" w:charSpace="0"/>
        </w:sectPr>
      </w:pPr>
    </w:p>
    <w:p>
      <w:pPr>
        <w:pStyle w:val="40"/>
        <w:spacing w:before="156" w:after="156" w:line="560" w:lineRule="exact"/>
        <w:ind w:firstLine="640"/>
        <w:rPr>
          <w:rFonts w:eastAsia="仿宋"/>
          <w:b w:val="0"/>
          <w:color w:val="auto"/>
          <w:sz w:val="32"/>
        </w:rPr>
      </w:pPr>
      <w:bookmarkStart w:id="40" w:name="_Toc10993"/>
      <w:r>
        <w:rPr>
          <w:rFonts w:eastAsia="仿宋"/>
          <w:b w:val="0"/>
          <w:color w:val="auto"/>
          <w:sz w:val="32"/>
        </w:rPr>
        <w:t>3</w:t>
      </w:r>
      <w:r>
        <w:rPr>
          <w:rFonts w:hint="eastAsia" w:eastAsia="仿宋"/>
          <w:b w:val="0"/>
          <w:color w:val="auto"/>
          <w:sz w:val="32"/>
        </w:rPr>
        <w:t>、财政政策</w:t>
      </w:r>
    </w:p>
    <w:p>
      <w:pPr>
        <w:pStyle w:val="40"/>
        <w:spacing w:before="156" w:after="156" w:line="560" w:lineRule="exact"/>
        <w:ind w:firstLine="640"/>
        <w:rPr>
          <w:rFonts w:hint="eastAsia" w:ascii="仿宋_GB2312" w:hAnsi="仿宋_GB2312" w:eastAsia="仿宋" w:cs="仿宋_GB2312"/>
          <w:b w:val="0"/>
          <w:color w:val="auto"/>
          <w:sz w:val="32"/>
          <w:szCs w:val="28"/>
        </w:rPr>
      </w:pPr>
      <w:r>
        <w:rPr>
          <w:rFonts w:hint="eastAsia" w:ascii="仿宋_GB2312" w:hAnsi="仿宋_GB2312" w:eastAsia="仿宋" w:cs="仿宋_GB2312"/>
          <w:b w:val="0"/>
          <w:color w:val="auto"/>
          <w:sz w:val="32"/>
          <w:szCs w:val="28"/>
        </w:rPr>
        <w:t>——经济性分析</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该指标</w:t>
      </w:r>
      <w:r>
        <w:rPr>
          <w:rFonts w:ascii="仿宋_GB2312" w:hAnsi="宋体" w:eastAsia="仿宋" w:cs="仿宋_GB2312"/>
          <w:sz w:val="32"/>
          <w:szCs w:val="28"/>
          <w:lang w:bidi="ar"/>
        </w:rPr>
        <w:t>权重为</w:t>
      </w:r>
      <w:r>
        <w:rPr>
          <w:rFonts w:hint="eastAsia" w:ascii="仿宋_GB2312" w:hAnsi="宋体" w:eastAsia="仿宋" w:cs="仿宋_GB2312"/>
          <w:sz w:val="32"/>
          <w:szCs w:val="28"/>
          <w:lang w:bidi="ar"/>
        </w:rPr>
        <w:t>20</w:t>
      </w:r>
      <w:r>
        <w:rPr>
          <w:rFonts w:ascii="仿宋_GB2312" w:hAnsi="宋体" w:eastAsia="仿宋" w:cs="仿宋_GB2312"/>
          <w:sz w:val="32"/>
          <w:szCs w:val="28"/>
          <w:lang w:bidi="ar"/>
        </w:rPr>
        <w:t>分，</w:t>
      </w:r>
      <w:r>
        <w:rPr>
          <w:rFonts w:hint="eastAsia" w:ascii="仿宋_GB2312" w:hAnsi="宋体" w:eastAsia="仿宋" w:cs="仿宋_GB2312"/>
          <w:sz w:val="32"/>
          <w:szCs w:val="28"/>
          <w:lang w:bidi="ar"/>
        </w:rPr>
        <w:t>实得</w:t>
      </w:r>
      <w:r>
        <w:rPr>
          <w:rFonts w:ascii="仿宋_GB2312" w:hAnsi="宋体" w:eastAsia="仿宋" w:cs="仿宋_GB2312"/>
          <w:sz w:val="32"/>
          <w:szCs w:val="28"/>
          <w:lang w:bidi="ar"/>
        </w:rPr>
        <w:t>20</w:t>
      </w:r>
      <w:r>
        <w:rPr>
          <w:rFonts w:hint="eastAsia" w:ascii="仿宋_GB2312" w:hAnsi="宋体" w:eastAsia="仿宋" w:cs="仿宋_GB2312"/>
          <w:sz w:val="32"/>
          <w:szCs w:val="28"/>
          <w:lang w:bidi="ar"/>
        </w:rPr>
        <w:t>分，</w:t>
      </w:r>
      <w:r>
        <w:rPr>
          <w:rFonts w:ascii="仿宋_GB2312" w:hAnsi="宋体" w:eastAsia="仿宋" w:cs="仿宋_GB2312"/>
          <w:sz w:val="32"/>
          <w:szCs w:val="28"/>
          <w:lang w:bidi="ar"/>
        </w:rPr>
        <w:t>用于考察项目</w:t>
      </w:r>
      <w:r>
        <w:rPr>
          <w:rFonts w:hint="eastAsia" w:ascii="仿宋_GB2312" w:hAnsi="宋体" w:eastAsia="仿宋" w:cs="仿宋_GB2312"/>
          <w:sz w:val="32"/>
          <w:szCs w:val="28"/>
          <w:lang w:bidi="ar"/>
        </w:rPr>
        <w:t>政策是否与国家、地方政策及发展战略相关、政策设定是否符合目标区域、目标群体需求。</w:t>
      </w:r>
    </w:p>
    <w:p>
      <w:pPr>
        <w:spacing w:line="560" w:lineRule="exact"/>
        <w:ind w:firstLine="560"/>
        <w:rPr>
          <w:rFonts w:ascii="仿宋_GB2312" w:hAnsi="宋体" w:eastAsia="仿宋" w:cs="仿宋_GB2312"/>
          <w:sz w:val="32"/>
          <w:szCs w:val="28"/>
          <w:lang w:bidi="ar"/>
        </w:rPr>
      </w:pPr>
      <w:r>
        <w:rPr>
          <w:rFonts w:ascii="仿宋_GB2312" w:hAnsi="宋体" w:eastAsia="仿宋" w:cs="仿宋_GB2312"/>
          <w:sz w:val="32"/>
          <w:szCs w:val="28"/>
          <w:lang w:bidi="ar"/>
        </w:rPr>
        <w:t>具体评价指标和得分情况如下：</w:t>
      </w:r>
    </w:p>
    <w:p>
      <w:pPr>
        <w:spacing w:line="560" w:lineRule="exact"/>
        <w:ind w:firstLine="482"/>
        <w:jc w:val="center"/>
        <w:rPr>
          <w:rFonts w:ascii="仿宋_GB2312" w:hAnsi="宋体" w:eastAsia="仿宋" w:cs="仿宋_GB2312"/>
          <w:bCs/>
          <w:sz w:val="32"/>
          <w:lang w:bidi="ar"/>
        </w:rPr>
      </w:pPr>
      <w:r>
        <w:rPr>
          <w:rFonts w:hint="eastAsia" w:ascii="仿宋_GB2312" w:hAnsi="宋体" w:eastAsia="仿宋" w:cs="仿宋_GB2312"/>
          <w:bCs/>
          <w:sz w:val="32"/>
          <w:lang w:bidi="ar"/>
        </w:rPr>
        <w:t>经济性指标得分情况汇总表</w:t>
      </w:r>
    </w:p>
    <w:tbl>
      <w:tblPr>
        <w:tblStyle w:val="15"/>
        <w:tblpPr w:leftFromText="180" w:rightFromText="180" w:vertAnchor="text" w:horzAnchor="page" w:tblpXSpec="center" w:tblpY="40"/>
        <w:tblOverlap w:val="never"/>
        <w:tblW w:w="5000"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629"/>
        <w:gridCol w:w="2483"/>
        <w:gridCol w:w="2423"/>
        <w:gridCol w:w="246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blHeader/>
          <w:jc w:val="center"/>
        </w:trPr>
        <w:tc>
          <w:tcPr>
            <w:tcW w:w="905"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指标</w:t>
            </w:r>
          </w:p>
        </w:tc>
        <w:tc>
          <w:tcPr>
            <w:tcW w:w="1379"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权重</w:t>
            </w:r>
          </w:p>
        </w:tc>
        <w:tc>
          <w:tcPr>
            <w:tcW w:w="1346"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w:t>
            </w:r>
          </w:p>
        </w:tc>
        <w:tc>
          <w:tcPr>
            <w:tcW w:w="1370"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905" w:type="pct"/>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经济性</w:t>
            </w:r>
          </w:p>
        </w:tc>
        <w:tc>
          <w:tcPr>
            <w:tcW w:w="1379"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20.00</w:t>
            </w:r>
          </w:p>
        </w:tc>
        <w:tc>
          <w:tcPr>
            <w:tcW w:w="1346"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20.00</w:t>
            </w:r>
          </w:p>
        </w:tc>
        <w:tc>
          <w:tcPr>
            <w:tcW w:w="1370"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100.00%</w:t>
            </w:r>
          </w:p>
        </w:tc>
      </w:tr>
    </w:tbl>
    <w:p>
      <w:pPr>
        <w:spacing w:line="560" w:lineRule="exact"/>
        <w:ind w:firstLine="562"/>
        <w:rPr>
          <w:rFonts w:ascii="仿宋_GB2312" w:hAnsi="宋体" w:eastAsia="仿宋" w:cs="仿宋_GB2312"/>
          <w:sz w:val="32"/>
          <w:szCs w:val="28"/>
          <w:lang w:bidi="ar"/>
        </w:rPr>
      </w:pPr>
      <w:r>
        <w:rPr>
          <w:rFonts w:hint="eastAsia" w:ascii="仿宋_GB2312" w:hAnsi="宋体" w:eastAsia="仿宋" w:cs="仿宋_GB2312"/>
          <w:bCs/>
          <w:sz w:val="32"/>
          <w:szCs w:val="28"/>
          <w:lang w:bidi="ar"/>
        </w:rPr>
        <w:t>科学性、合理性：</w:t>
      </w:r>
      <w:r>
        <w:rPr>
          <w:rFonts w:hint="eastAsia" w:ascii="仿宋_GB2312" w:hAnsi="宋体" w:eastAsia="仿宋" w:cs="仿宋_GB2312"/>
          <w:sz w:val="32"/>
          <w:szCs w:val="28"/>
          <w:lang w:bidi="ar"/>
        </w:rPr>
        <w:t>共</w:t>
      </w:r>
      <w:r>
        <w:rPr>
          <w:rFonts w:ascii="仿宋_GB2312" w:hAnsi="宋体" w:eastAsia="仿宋" w:cs="仿宋_GB2312"/>
          <w:sz w:val="32"/>
          <w:szCs w:val="28"/>
          <w:lang w:bidi="ar"/>
        </w:rPr>
        <w:t>5</w:t>
      </w:r>
      <w:r>
        <w:rPr>
          <w:rFonts w:hint="eastAsia" w:ascii="仿宋_GB2312" w:hAnsi="宋体" w:eastAsia="仿宋" w:cs="仿宋_GB2312"/>
          <w:sz w:val="32"/>
          <w:szCs w:val="28"/>
          <w:lang w:bidi="ar"/>
        </w:rPr>
        <w:t>个考核项目政策与国家、地方政策及发展战略相关、政策设定符合目标区域、目标群体需求。</w:t>
      </w:r>
    </w:p>
    <w:p>
      <w:pPr>
        <w:pStyle w:val="40"/>
        <w:spacing w:before="156" w:after="156" w:line="560" w:lineRule="exact"/>
        <w:ind w:firstLine="640"/>
        <w:rPr>
          <w:rFonts w:hint="eastAsia" w:ascii="仿宋_GB2312" w:hAnsi="仿宋_GB2312" w:eastAsia="仿宋" w:cs="仿宋_GB2312"/>
          <w:b w:val="0"/>
          <w:color w:val="auto"/>
          <w:sz w:val="32"/>
          <w:szCs w:val="28"/>
        </w:rPr>
      </w:pPr>
      <w:bookmarkStart w:id="41" w:name="_Hlk57733709"/>
      <w:r>
        <w:rPr>
          <w:rFonts w:hint="eastAsia" w:ascii="仿宋_GB2312" w:hAnsi="仿宋_GB2312" w:eastAsia="仿宋" w:cs="仿宋_GB2312"/>
          <w:b w:val="0"/>
          <w:color w:val="auto"/>
          <w:sz w:val="32"/>
          <w:szCs w:val="28"/>
        </w:rPr>
        <w:t>——效率性分析</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该指标</w:t>
      </w:r>
      <w:r>
        <w:rPr>
          <w:rFonts w:ascii="仿宋_GB2312" w:hAnsi="宋体" w:eastAsia="仿宋" w:cs="仿宋_GB2312"/>
          <w:sz w:val="32"/>
          <w:szCs w:val="28"/>
          <w:lang w:bidi="ar"/>
        </w:rPr>
        <w:t>权重为</w:t>
      </w:r>
      <w:r>
        <w:rPr>
          <w:rFonts w:hint="eastAsia" w:ascii="仿宋_GB2312" w:hAnsi="宋体" w:eastAsia="仿宋" w:cs="仿宋_GB2312"/>
          <w:sz w:val="32"/>
          <w:szCs w:val="28"/>
          <w:lang w:bidi="ar"/>
        </w:rPr>
        <w:t>30</w:t>
      </w:r>
      <w:r>
        <w:rPr>
          <w:rFonts w:ascii="仿宋_GB2312" w:hAnsi="宋体" w:eastAsia="仿宋" w:cs="仿宋_GB2312"/>
          <w:sz w:val="32"/>
          <w:szCs w:val="28"/>
          <w:lang w:bidi="ar"/>
        </w:rPr>
        <w:t>分，</w:t>
      </w:r>
      <w:r>
        <w:rPr>
          <w:rFonts w:hint="eastAsia" w:ascii="仿宋_GB2312" w:hAnsi="宋体" w:eastAsia="仿宋" w:cs="仿宋_GB2312"/>
          <w:sz w:val="32"/>
          <w:szCs w:val="28"/>
          <w:lang w:bidi="ar"/>
        </w:rPr>
        <w:t>实得</w:t>
      </w:r>
      <w:r>
        <w:rPr>
          <w:rFonts w:ascii="仿宋_GB2312" w:hAnsi="宋体" w:eastAsia="仿宋" w:cs="仿宋_GB2312"/>
          <w:sz w:val="32"/>
          <w:szCs w:val="28"/>
          <w:lang w:bidi="ar"/>
        </w:rPr>
        <w:t>22.16</w:t>
      </w:r>
      <w:r>
        <w:rPr>
          <w:rFonts w:hint="eastAsia" w:ascii="仿宋_GB2312" w:hAnsi="宋体" w:eastAsia="仿宋" w:cs="仿宋_GB2312"/>
          <w:sz w:val="32"/>
          <w:szCs w:val="28"/>
          <w:lang w:bidi="ar"/>
        </w:rPr>
        <w:t>分，</w:t>
      </w:r>
      <w:r>
        <w:rPr>
          <w:rFonts w:ascii="仿宋_GB2312" w:hAnsi="宋体" w:eastAsia="仿宋" w:cs="仿宋_GB2312"/>
          <w:sz w:val="32"/>
          <w:szCs w:val="28"/>
          <w:lang w:bidi="ar"/>
        </w:rPr>
        <w:t>用于考察项目</w:t>
      </w:r>
      <w:r>
        <w:rPr>
          <w:rFonts w:hint="eastAsia" w:ascii="仿宋_GB2312" w:hAnsi="宋体" w:eastAsia="仿宋" w:cs="仿宋_GB2312"/>
          <w:sz w:val="32"/>
          <w:szCs w:val="28"/>
          <w:lang w:bidi="ar"/>
        </w:rPr>
        <w:t>政策管理制度办法是否健全，保障措施是否规范有效；资金拨付使用是否按进度，有无滞后现象。财政资金投资带动社会资金投入的情况；政策预期目标的实现程度。</w:t>
      </w:r>
    </w:p>
    <w:p>
      <w:pPr>
        <w:spacing w:line="560" w:lineRule="exact"/>
        <w:ind w:firstLine="560"/>
        <w:rPr>
          <w:rFonts w:ascii="仿宋_GB2312" w:hAnsi="宋体" w:eastAsia="仿宋" w:cs="仿宋_GB2312"/>
          <w:sz w:val="32"/>
          <w:szCs w:val="28"/>
          <w:lang w:bidi="ar"/>
        </w:rPr>
      </w:pPr>
      <w:r>
        <w:rPr>
          <w:rFonts w:ascii="仿宋_GB2312" w:hAnsi="宋体" w:eastAsia="仿宋" w:cs="仿宋_GB2312"/>
          <w:sz w:val="32"/>
          <w:szCs w:val="28"/>
          <w:lang w:bidi="ar"/>
        </w:rPr>
        <w:t>具体评价指标和得分情况如下：</w:t>
      </w:r>
    </w:p>
    <w:p>
      <w:pPr>
        <w:spacing w:line="560" w:lineRule="exact"/>
        <w:ind w:firstLine="482"/>
        <w:jc w:val="center"/>
        <w:rPr>
          <w:rFonts w:ascii="仿宋_GB2312" w:hAnsi="宋体" w:eastAsia="仿宋" w:cs="仿宋_GB2312"/>
          <w:bCs/>
          <w:sz w:val="32"/>
          <w:lang w:bidi="ar"/>
        </w:rPr>
      </w:pPr>
      <w:r>
        <w:rPr>
          <w:rFonts w:hint="eastAsia" w:ascii="仿宋_GB2312" w:hAnsi="宋体" w:eastAsia="仿宋" w:cs="仿宋_GB2312"/>
          <w:bCs/>
          <w:sz w:val="32"/>
          <w:lang w:bidi="ar"/>
        </w:rPr>
        <w:t>效率性指标得分情况汇总表</w:t>
      </w:r>
    </w:p>
    <w:tbl>
      <w:tblPr>
        <w:tblStyle w:val="15"/>
        <w:tblpPr w:leftFromText="180" w:rightFromText="180" w:vertAnchor="text" w:horzAnchor="page" w:tblpXSpec="center" w:tblpY="40"/>
        <w:tblOverlap w:val="never"/>
        <w:tblW w:w="5000"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629"/>
        <w:gridCol w:w="2483"/>
        <w:gridCol w:w="2423"/>
        <w:gridCol w:w="246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blHeader/>
          <w:jc w:val="center"/>
        </w:trPr>
        <w:tc>
          <w:tcPr>
            <w:tcW w:w="905"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指标</w:t>
            </w:r>
          </w:p>
        </w:tc>
        <w:tc>
          <w:tcPr>
            <w:tcW w:w="1379"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权重</w:t>
            </w:r>
          </w:p>
        </w:tc>
        <w:tc>
          <w:tcPr>
            <w:tcW w:w="1346"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w:t>
            </w:r>
          </w:p>
        </w:tc>
        <w:tc>
          <w:tcPr>
            <w:tcW w:w="1370"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905" w:type="pct"/>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效率性</w:t>
            </w:r>
          </w:p>
        </w:tc>
        <w:tc>
          <w:tcPr>
            <w:tcW w:w="1379"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30.00</w:t>
            </w:r>
          </w:p>
        </w:tc>
        <w:tc>
          <w:tcPr>
            <w:tcW w:w="1346"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22.16</w:t>
            </w:r>
          </w:p>
        </w:tc>
        <w:tc>
          <w:tcPr>
            <w:tcW w:w="1370"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73.87%</w:t>
            </w:r>
          </w:p>
        </w:tc>
      </w:tr>
    </w:tbl>
    <w:p>
      <w:pPr>
        <w:spacing w:line="560" w:lineRule="exact"/>
        <w:ind w:firstLine="562"/>
        <w:rPr>
          <w:rFonts w:ascii="仿宋_GB2312" w:hAnsi="宋体" w:eastAsia="仿宋" w:cs="仿宋_GB2312"/>
          <w:sz w:val="32"/>
          <w:szCs w:val="28"/>
          <w:lang w:bidi="ar"/>
        </w:rPr>
      </w:pPr>
      <w:bookmarkStart w:id="42" w:name="_Hlk57733249"/>
      <w:r>
        <w:rPr>
          <w:rFonts w:hint="eastAsia" w:ascii="仿宋_GB2312" w:hAnsi="宋体" w:eastAsia="仿宋" w:cs="仿宋_GB2312"/>
          <w:bCs/>
          <w:sz w:val="32"/>
          <w:szCs w:val="28"/>
          <w:lang w:bidi="ar"/>
        </w:rPr>
        <w:t>管理效率</w:t>
      </w:r>
      <w:r>
        <w:rPr>
          <w:rFonts w:hint="eastAsia" w:ascii="仿宋_GB2312" w:hAnsi="宋体" w:eastAsia="仿宋" w:cs="仿宋_GB2312"/>
          <w:sz w:val="32"/>
          <w:szCs w:val="28"/>
          <w:lang w:bidi="ar"/>
        </w:rPr>
        <w:t>：共</w:t>
      </w:r>
      <w:r>
        <w:rPr>
          <w:rFonts w:ascii="仿宋_GB2312" w:hAnsi="宋体" w:eastAsia="仿宋" w:cs="仿宋_GB2312"/>
          <w:sz w:val="32"/>
          <w:szCs w:val="28"/>
          <w:lang w:bidi="ar"/>
        </w:rPr>
        <w:t>1</w:t>
      </w:r>
      <w:r>
        <w:rPr>
          <w:rFonts w:hint="eastAsia" w:ascii="仿宋_GB2312" w:hAnsi="宋体" w:eastAsia="仿宋" w:cs="仿宋_GB2312"/>
          <w:sz w:val="32"/>
          <w:szCs w:val="28"/>
          <w:lang w:bidi="ar"/>
        </w:rPr>
        <w:t>个考核项目政策制度健全,</w:t>
      </w:r>
      <w:r>
        <w:rPr>
          <w:rFonts w:ascii="仿宋_GB2312" w:hAnsi="宋体" w:eastAsia="仿宋" w:cs="仿宋_GB2312"/>
          <w:sz w:val="32"/>
          <w:szCs w:val="28"/>
          <w:lang w:bidi="ar"/>
        </w:rPr>
        <w:t>4</w:t>
      </w:r>
      <w:r>
        <w:rPr>
          <w:rFonts w:hint="eastAsia" w:ascii="仿宋_GB2312" w:hAnsi="宋体" w:eastAsia="仿宋" w:cs="仿宋_GB2312"/>
          <w:sz w:val="32"/>
          <w:szCs w:val="28"/>
          <w:lang w:bidi="ar"/>
        </w:rPr>
        <w:t>个考核项目政策制度不够健全或执行有待提高，详见下表：</w:t>
      </w:r>
    </w:p>
    <w:bookmarkEnd w:id="41"/>
    <w:bookmarkEnd w:id="42"/>
    <w:p>
      <w:pPr>
        <w:spacing w:line="560" w:lineRule="exact"/>
        <w:ind w:firstLine="482"/>
        <w:jc w:val="center"/>
        <w:rPr>
          <w:rFonts w:hint="eastAsia" w:ascii="仿宋_GB2312" w:hAnsi="宋体" w:eastAsia="仿宋" w:cs="仿宋_GB2312"/>
          <w:sz w:val="32"/>
          <w:szCs w:val="28"/>
          <w:lang w:bidi="ar"/>
        </w:rPr>
      </w:pPr>
      <w:r>
        <w:rPr>
          <w:rFonts w:hint="eastAsia" w:ascii="仿宋_GB2312" w:hAnsi="宋体" w:eastAsia="仿宋" w:cs="仿宋_GB2312"/>
          <w:bCs/>
          <w:sz w:val="32"/>
          <w:lang w:bidi="ar"/>
        </w:rPr>
        <w:t>管理效率情况表</w:t>
      </w:r>
    </w:p>
    <w:tbl>
      <w:tblPr>
        <w:tblStyle w:val="15"/>
        <w:tblW w:w="0" w:type="auto"/>
        <w:tblInd w:w="0" w:type="dxa"/>
        <w:tblBorders>
          <w:top w:val="single" w:color="auto" w:sz="8" w:space="0"/>
          <w:left w:val="none" w:color="auto" w:sz="0" w:space="0"/>
          <w:bottom w:val="single" w:color="auto" w:sz="8"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891"/>
        <w:gridCol w:w="4297"/>
        <w:gridCol w:w="3814"/>
      </w:tblGrid>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rPr>
          <w:tblHeader/>
        </w:trPr>
        <w:tc>
          <w:tcPr>
            <w:tcW w:w="891" w:type="dxa"/>
            <w:shd w:val="clear" w:color="auto" w:fill="auto"/>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序号</w:t>
            </w:r>
          </w:p>
        </w:tc>
        <w:tc>
          <w:tcPr>
            <w:tcW w:w="4297" w:type="dxa"/>
            <w:shd w:val="clear" w:color="auto" w:fill="auto"/>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项目名称</w:t>
            </w:r>
          </w:p>
        </w:tc>
        <w:tc>
          <w:tcPr>
            <w:tcW w:w="3814" w:type="dxa"/>
            <w:shd w:val="clear" w:color="auto" w:fill="auto"/>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问题</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1</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2019年基层组织活动和公共服务运行</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实施过程中，部分乡镇存在费用报销单审批不全、实施方案未盖章等问题</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城乡居民养老保险项目</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未制定相关管理制度</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3</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农资补贴项目</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未制定相关管理制度</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4</w:t>
            </w:r>
          </w:p>
        </w:tc>
        <w:tc>
          <w:tcPr>
            <w:tcW w:w="4297"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州级专项扶贫项目</w:t>
            </w:r>
          </w:p>
        </w:tc>
        <w:tc>
          <w:tcPr>
            <w:tcW w:w="3814"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未制定相关管理制度</w:t>
            </w:r>
          </w:p>
        </w:tc>
      </w:tr>
    </w:tbl>
    <w:p>
      <w:pPr>
        <w:spacing w:line="560" w:lineRule="exact"/>
        <w:ind w:firstLine="562"/>
        <w:rPr>
          <w:rFonts w:ascii="仿宋_GB2312" w:hAnsi="宋体" w:eastAsia="仿宋" w:cs="仿宋_GB2312"/>
          <w:sz w:val="32"/>
          <w:szCs w:val="28"/>
          <w:lang w:bidi="ar"/>
        </w:rPr>
      </w:pPr>
      <w:r>
        <w:rPr>
          <w:rFonts w:hint="eastAsia" w:ascii="仿宋_GB2312" w:hAnsi="宋体" w:eastAsia="仿宋" w:cs="仿宋_GB2312"/>
          <w:bCs/>
          <w:sz w:val="32"/>
          <w:szCs w:val="28"/>
          <w:lang w:bidi="ar"/>
        </w:rPr>
        <w:t>执行效率</w:t>
      </w:r>
      <w:r>
        <w:rPr>
          <w:rFonts w:hint="eastAsia" w:ascii="仿宋_GB2312" w:hAnsi="宋体" w:eastAsia="仿宋" w:cs="仿宋_GB2312"/>
          <w:sz w:val="32"/>
          <w:szCs w:val="28"/>
          <w:lang w:bidi="ar"/>
        </w:rPr>
        <w:t>：共</w:t>
      </w:r>
      <w:r>
        <w:rPr>
          <w:rFonts w:ascii="仿宋_GB2312" w:hAnsi="宋体" w:eastAsia="仿宋" w:cs="仿宋_GB2312"/>
          <w:sz w:val="32"/>
          <w:szCs w:val="28"/>
          <w:lang w:bidi="ar"/>
        </w:rPr>
        <w:t>2</w:t>
      </w:r>
      <w:r>
        <w:rPr>
          <w:rFonts w:hint="eastAsia" w:ascii="仿宋_GB2312" w:hAnsi="宋体" w:eastAsia="仿宋" w:cs="仿宋_GB2312"/>
          <w:sz w:val="32"/>
          <w:szCs w:val="28"/>
          <w:lang w:bidi="ar"/>
        </w:rPr>
        <w:t>个考核项目政策资金按进度使用拨付,</w:t>
      </w:r>
      <w:r>
        <w:rPr>
          <w:rFonts w:ascii="仿宋_GB2312" w:hAnsi="宋体" w:eastAsia="仿宋" w:cs="仿宋_GB2312"/>
          <w:sz w:val="32"/>
          <w:szCs w:val="28"/>
          <w:lang w:bidi="ar"/>
        </w:rPr>
        <w:t>3</w:t>
      </w:r>
      <w:r>
        <w:rPr>
          <w:rFonts w:hint="eastAsia" w:ascii="仿宋_GB2312" w:hAnsi="宋体" w:eastAsia="仿宋" w:cs="仿宋_GB2312"/>
          <w:sz w:val="32"/>
          <w:szCs w:val="28"/>
          <w:lang w:bidi="ar"/>
        </w:rPr>
        <w:t>个考核项目资金使用不及时或者使用不规范，详见下表：</w:t>
      </w:r>
    </w:p>
    <w:p>
      <w:pPr>
        <w:spacing w:line="560" w:lineRule="exact"/>
        <w:ind w:firstLine="482"/>
        <w:jc w:val="center"/>
        <w:rPr>
          <w:rFonts w:hint="eastAsia" w:ascii="仿宋_GB2312" w:hAnsi="宋体" w:eastAsia="仿宋" w:cs="仿宋_GB2312"/>
          <w:sz w:val="32"/>
          <w:szCs w:val="28"/>
          <w:lang w:bidi="ar"/>
        </w:rPr>
      </w:pPr>
      <w:r>
        <w:rPr>
          <w:rFonts w:hint="eastAsia" w:ascii="仿宋_GB2312" w:hAnsi="宋体" w:eastAsia="仿宋" w:cs="仿宋_GB2312"/>
          <w:bCs/>
          <w:sz w:val="32"/>
          <w:lang w:bidi="ar"/>
        </w:rPr>
        <w:t>执行效率情况表</w:t>
      </w:r>
    </w:p>
    <w:tbl>
      <w:tblPr>
        <w:tblStyle w:val="15"/>
        <w:tblW w:w="0" w:type="auto"/>
        <w:tblInd w:w="0" w:type="dxa"/>
        <w:tblBorders>
          <w:top w:val="single" w:color="auto" w:sz="8" w:space="0"/>
          <w:left w:val="none" w:color="auto" w:sz="0" w:space="0"/>
          <w:bottom w:val="single" w:color="auto" w:sz="8"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891"/>
        <w:gridCol w:w="3895"/>
        <w:gridCol w:w="4216"/>
      </w:tblGrid>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rPr>
          <w:tblHeader/>
        </w:trPr>
        <w:tc>
          <w:tcPr>
            <w:tcW w:w="891" w:type="dxa"/>
            <w:shd w:val="clear" w:color="auto" w:fill="auto"/>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序号</w:t>
            </w:r>
          </w:p>
        </w:tc>
        <w:tc>
          <w:tcPr>
            <w:tcW w:w="3895" w:type="dxa"/>
            <w:shd w:val="clear" w:color="auto" w:fill="auto"/>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项目名称</w:t>
            </w:r>
          </w:p>
        </w:tc>
        <w:tc>
          <w:tcPr>
            <w:tcW w:w="4216" w:type="dxa"/>
            <w:shd w:val="clear" w:color="auto" w:fill="auto"/>
            <w:vAlign w:val="center"/>
          </w:tcPr>
          <w:p>
            <w:pPr>
              <w:spacing w:line="560" w:lineRule="exact"/>
              <w:jc w:val="center"/>
              <w:rPr>
                <w:rFonts w:ascii="仿宋_GB2312" w:hAnsi="宋体" w:eastAsia="仿宋" w:cs="仿宋_GB2312"/>
                <w:bCs/>
                <w:sz w:val="32"/>
                <w:lang w:bidi="ar"/>
              </w:rPr>
            </w:pPr>
            <w:r>
              <w:rPr>
                <w:rFonts w:ascii="仿宋_GB2312" w:hAnsi="宋体" w:eastAsia="仿宋" w:cs="仿宋_GB2312"/>
                <w:bCs/>
                <w:sz w:val="32"/>
                <w:lang w:bidi="ar"/>
              </w:rPr>
              <w:t>问题</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PrEx>
        <w:tc>
          <w:tcPr>
            <w:tcW w:w="891" w:type="dxa"/>
            <w:shd w:val="clear" w:color="auto" w:fill="auto"/>
            <w:vAlign w:val="center"/>
          </w:tcPr>
          <w:p>
            <w:pPr>
              <w:spacing w:line="560" w:lineRule="exact"/>
              <w:jc w:val="center"/>
              <w:rPr>
                <w:rFonts w:ascii="仿宋_GB2312" w:hAnsi="宋体" w:eastAsia="仿宋" w:cs="仿宋_GB2312"/>
                <w:sz w:val="32"/>
                <w:lang w:bidi="ar"/>
              </w:rPr>
            </w:pPr>
            <w:bookmarkStart w:id="43" w:name="_Hlk57733662"/>
            <w:r>
              <w:rPr>
                <w:rFonts w:ascii="仿宋_GB2312" w:hAnsi="宋体" w:eastAsia="仿宋" w:cs="仿宋_GB2312"/>
                <w:sz w:val="32"/>
                <w:lang w:bidi="ar"/>
              </w:rPr>
              <w:t>1</w:t>
            </w:r>
          </w:p>
        </w:tc>
        <w:tc>
          <w:tcPr>
            <w:tcW w:w="3895"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2019年基层组织活动和公共服务运行</w:t>
            </w:r>
          </w:p>
        </w:tc>
        <w:tc>
          <w:tcPr>
            <w:tcW w:w="4216"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存在部分乡镇未严格按程序执行，如村民意见汇总表中实际签名与汇总人数不符、项目实施时间早于审批通过时间等问题</w:t>
            </w:r>
          </w:p>
        </w:tc>
      </w:tr>
      <w:bookmarkEnd w:id="43"/>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2</w:t>
            </w:r>
          </w:p>
        </w:tc>
        <w:tc>
          <w:tcPr>
            <w:tcW w:w="3895"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林业改革发展资金</w:t>
            </w:r>
          </w:p>
        </w:tc>
        <w:tc>
          <w:tcPr>
            <w:tcW w:w="4216"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2019年资金未使用</w:t>
            </w:r>
          </w:p>
        </w:tc>
      </w:tr>
      <w:tr>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PrEx>
        <w:tc>
          <w:tcPr>
            <w:tcW w:w="891" w:type="dxa"/>
            <w:shd w:val="clear" w:color="auto" w:fill="auto"/>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3</w:t>
            </w:r>
          </w:p>
        </w:tc>
        <w:tc>
          <w:tcPr>
            <w:tcW w:w="3895"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农资补贴项目</w:t>
            </w:r>
          </w:p>
        </w:tc>
        <w:tc>
          <w:tcPr>
            <w:tcW w:w="4216" w:type="dxa"/>
            <w:shd w:val="clear" w:color="auto" w:fill="auto"/>
            <w:vAlign w:val="center"/>
          </w:tcPr>
          <w:p>
            <w:pPr>
              <w:spacing w:line="560" w:lineRule="exact"/>
              <w:rPr>
                <w:rFonts w:ascii="仿宋_GB2312" w:hAnsi="宋体" w:eastAsia="仿宋" w:cs="仿宋_GB2312"/>
                <w:sz w:val="32"/>
                <w:lang w:bidi="ar"/>
              </w:rPr>
            </w:pPr>
            <w:r>
              <w:rPr>
                <w:rFonts w:ascii="仿宋_GB2312" w:hAnsi="宋体" w:eastAsia="仿宋" w:cs="仿宋_GB2312"/>
                <w:sz w:val="32"/>
                <w:lang w:bidi="ar"/>
              </w:rPr>
              <w:t>预算资金14万元，2019年资金共使用12.17万元，完成86.90%</w:t>
            </w:r>
          </w:p>
        </w:tc>
      </w:tr>
    </w:tbl>
    <w:p>
      <w:pPr>
        <w:spacing w:line="560" w:lineRule="exact"/>
        <w:ind w:firstLine="562"/>
        <w:rPr>
          <w:rFonts w:ascii="仿宋_GB2312" w:hAnsi="宋体" w:eastAsia="仿宋" w:cs="仿宋_GB2312"/>
          <w:sz w:val="32"/>
          <w:szCs w:val="28"/>
          <w:lang w:bidi="ar"/>
        </w:rPr>
      </w:pPr>
      <w:r>
        <w:rPr>
          <w:rFonts w:hint="eastAsia" w:ascii="仿宋_GB2312" w:hAnsi="宋体" w:eastAsia="仿宋" w:cs="仿宋_GB2312"/>
          <w:bCs/>
          <w:sz w:val="32"/>
          <w:szCs w:val="28"/>
          <w:lang w:bidi="ar"/>
        </w:rPr>
        <w:t>政策效率</w:t>
      </w:r>
      <w:r>
        <w:rPr>
          <w:rFonts w:hint="eastAsia" w:ascii="仿宋_GB2312" w:hAnsi="宋体" w:eastAsia="仿宋" w:cs="仿宋_GB2312"/>
          <w:sz w:val="32"/>
          <w:szCs w:val="28"/>
          <w:lang w:bidi="ar"/>
        </w:rPr>
        <w:t>：共</w:t>
      </w:r>
      <w:r>
        <w:rPr>
          <w:rFonts w:ascii="仿宋_GB2312" w:hAnsi="宋体" w:eastAsia="仿宋" w:cs="仿宋_GB2312"/>
          <w:sz w:val="32"/>
          <w:szCs w:val="28"/>
          <w:lang w:bidi="ar"/>
        </w:rPr>
        <w:t>4</w:t>
      </w:r>
      <w:r>
        <w:rPr>
          <w:rFonts w:hint="eastAsia" w:ascii="仿宋_GB2312" w:hAnsi="宋体" w:eastAsia="仿宋" w:cs="仿宋_GB2312"/>
          <w:sz w:val="32"/>
          <w:szCs w:val="28"/>
          <w:lang w:bidi="ar"/>
        </w:rPr>
        <w:t>个考核项目政策达到预期目标的实现程度,</w:t>
      </w:r>
      <w:r>
        <w:rPr>
          <w:rFonts w:ascii="仿宋_GB2312" w:hAnsi="宋体" w:eastAsia="仿宋" w:cs="仿宋_GB2312"/>
          <w:sz w:val="32"/>
          <w:szCs w:val="28"/>
          <w:lang w:bidi="ar"/>
        </w:rPr>
        <w:t>1</w:t>
      </w:r>
      <w:r>
        <w:rPr>
          <w:rFonts w:hint="eastAsia" w:ascii="仿宋_GB2312" w:hAnsi="宋体" w:eastAsia="仿宋" w:cs="仿宋_GB2312"/>
          <w:sz w:val="32"/>
          <w:szCs w:val="28"/>
          <w:lang w:bidi="ar"/>
        </w:rPr>
        <w:t>个考核项目资金未完全完成，2019年基层组织活动和公共服务运行分配到各村的资金有限，因此影响了各村各项指标状态的提升改变程度。</w:t>
      </w:r>
    </w:p>
    <w:p>
      <w:pPr>
        <w:pStyle w:val="40"/>
        <w:spacing w:before="156" w:after="156" w:line="560" w:lineRule="exact"/>
        <w:ind w:firstLine="640"/>
        <w:rPr>
          <w:rFonts w:hint="eastAsia" w:ascii="仿宋_GB2312" w:hAnsi="仿宋_GB2312" w:eastAsia="仿宋" w:cs="仿宋_GB2312"/>
          <w:b w:val="0"/>
          <w:color w:val="auto"/>
          <w:sz w:val="32"/>
          <w:szCs w:val="28"/>
        </w:rPr>
      </w:pPr>
      <w:r>
        <w:rPr>
          <w:rFonts w:hint="eastAsia" w:ascii="仿宋_GB2312" w:hAnsi="仿宋_GB2312" w:eastAsia="仿宋" w:cs="仿宋_GB2312"/>
          <w:b w:val="0"/>
          <w:color w:val="auto"/>
          <w:sz w:val="32"/>
          <w:szCs w:val="28"/>
        </w:rPr>
        <w:t>——效益性分析</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该指标</w:t>
      </w:r>
      <w:r>
        <w:rPr>
          <w:rFonts w:ascii="仿宋_GB2312" w:hAnsi="宋体" w:eastAsia="仿宋" w:cs="仿宋_GB2312"/>
          <w:sz w:val="32"/>
          <w:szCs w:val="28"/>
          <w:lang w:bidi="ar"/>
        </w:rPr>
        <w:t>权重为25分，</w:t>
      </w:r>
      <w:r>
        <w:rPr>
          <w:rFonts w:hint="eastAsia" w:ascii="仿宋_GB2312" w:hAnsi="宋体" w:eastAsia="仿宋" w:cs="仿宋_GB2312"/>
          <w:sz w:val="32"/>
          <w:szCs w:val="28"/>
          <w:lang w:bidi="ar"/>
        </w:rPr>
        <w:t>实得</w:t>
      </w:r>
      <w:r>
        <w:rPr>
          <w:rFonts w:ascii="仿宋_GB2312" w:hAnsi="宋体" w:eastAsia="仿宋" w:cs="仿宋_GB2312"/>
          <w:sz w:val="32"/>
          <w:szCs w:val="28"/>
          <w:lang w:bidi="ar"/>
        </w:rPr>
        <w:t>21.67</w:t>
      </w:r>
      <w:r>
        <w:rPr>
          <w:rFonts w:hint="eastAsia" w:ascii="仿宋_GB2312" w:hAnsi="宋体" w:eastAsia="仿宋" w:cs="仿宋_GB2312"/>
          <w:sz w:val="32"/>
          <w:szCs w:val="28"/>
          <w:lang w:bidi="ar"/>
        </w:rPr>
        <w:t>分，</w:t>
      </w:r>
      <w:r>
        <w:rPr>
          <w:rFonts w:ascii="仿宋_GB2312" w:hAnsi="宋体" w:eastAsia="仿宋" w:cs="仿宋_GB2312"/>
          <w:sz w:val="32"/>
          <w:szCs w:val="28"/>
          <w:lang w:bidi="ar"/>
        </w:rPr>
        <w:t>用于考察项目</w:t>
      </w:r>
      <w:r>
        <w:rPr>
          <w:rFonts w:hint="eastAsia" w:ascii="仿宋_GB2312" w:hAnsi="宋体" w:eastAsia="仿宋" w:cs="仿宋_GB2312"/>
          <w:sz w:val="32"/>
          <w:szCs w:val="28"/>
          <w:lang w:bidi="ar"/>
        </w:rPr>
        <w:t>政策实施后产生的社会效益、经济效益、环境效益及满意度。</w:t>
      </w:r>
    </w:p>
    <w:p>
      <w:pPr>
        <w:spacing w:line="560" w:lineRule="exact"/>
        <w:ind w:firstLine="560"/>
        <w:rPr>
          <w:rFonts w:ascii="仿宋_GB2312" w:hAnsi="宋体" w:eastAsia="仿宋" w:cs="仿宋_GB2312"/>
          <w:sz w:val="32"/>
          <w:szCs w:val="28"/>
          <w:lang w:bidi="ar"/>
        </w:rPr>
      </w:pPr>
      <w:r>
        <w:rPr>
          <w:rFonts w:ascii="仿宋_GB2312" w:hAnsi="宋体" w:eastAsia="仿宋" w:cs="仿宋_GB2312"/>
          <w:sz w:val="32"/>
          <w:szCs w:val="28"/>
          <w:lang w:bidi="ar"/>
        </w:rPr>
        <w:t>具体评价指标和得分情况如下：</w:t>
      </w:r>
    </w:p>
    <w:p>
      <w:pPr>
        <w:spacing w:line="560" w:lineRule="exact"/>
        <w:ind w:firstLine="482"/>
        <w:jc w:val="center"/>
        <w:rPr>
          <w:rFonts w:ascii="仿宋_GB2312" w:hAnsi="宋体" w:eastAsia="仿宋" w:cs="仿宋_GB2312"/>
          <w:bCs/>
          <w:sz w:val="32"/>
          <w:lang w:bidi="ar"/>
        </w:rPr>
      </w:pPr>
      <w:r>
        <w:rPr>
          <w:rFonts w:hint="eastAsia" w:ascii="仿宋_GB2312" w:hAnsi="宋体" w:eastAsia="仿宋" w:cs="仿宋_GB2312"/>
          <w:bCs/>
          <w:sz w:val="32"/>
          <w:lang w:bidi="ar"/>
        </w:rPr>
        <w:t>效益性指标得分情况汇总表</w:t>
      </w:r>
    </w:p>
    <w:tbl>
      <w:tblPr>
        <w:tblStyle w:val="15"/>
        <w:tblpPr w:leftFromText="180" w:rightFromText="180" w:vertAnchor="text" w:horzAnchor="page" w:tblpXSpec="center" w:tblpY="40"/>
        <w:tblOverlap w:val="never"/>
        <w:tblW w:w="5000"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629"/>
        <w:gridCol w:w="2483"/>
        <w:gridCol w:w="2423"/>
        <w:gridCol w:w="246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blHeader/>
          <w:jc w:val="center"/>
        </w:trPr>
        <w:tc>
          <w:tcPr>
            <w:tcW w:w="905"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指标</w:t>
            </w:r>
          </w:p>
        </w:tc>
        <w:tc>
          <w:tcPr>
            <w:tcW w:w="1379"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权重</w:t>
            </w:r>
          </w:p>
        </w:tc>
        <w:tc>
          <w:tcPr>
            <w:tcW w:w="1346"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w:t>
            </w:r>
          </w:p>
        </w:tc>
        <w:tc>
          <w:tcPr>
            <w:tcW w:w="1370"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905" w:type="pct"/>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效益性</w:t>
            </w:r>
          </w:p>
        </w:tc>
        <w:tc>
          <w:tcPr>
            <w:tcW w:w="1379"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25.00</w:t>
            </w:r>
          </w:p>
        </w:tc>
        <w:tc>
          <w:tcPr>
            <w:tcW w:w="1346"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21.67</w:t>
            </w:r>
          </w:p>
        </w:tc>
        <w:tc>
          <w:tcPr>
            <w:tcW w:w="1370"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86.68%</w:t>
            </w:r>
          </w:p>
        </w:tc>
      </w:tr>
    </w:tbl>
    <w:p>
      <w:pPr>
        <w:spacing w:line="560" w:lineRule="exact"/>
        <w:ind w:firstLine="562"/>
        <w:rPr>
          <w:rFonts w:ascii="仿宋_GB2312" w:hAnsi="宋体" w:eastAsia="仿宋" w:cs="仿宋_GB2312"/>
          <w:sz w:val="32"/>
          <w:szCs w:val="28"/>
          <w:lang w:bidi="ar"/>
        </w:rPr>
      </w:pPr>
      <w:bookmarkStart w:id="44" w:name="_Hlk57733926"/>
      <w:r>
        <w:rPr>
          <w:rFonts w:hint="eastAsia" w:ascii="仿宋_GB2312" w:hAnsi="宋体" w:eastAsia="仿宋" w:cs="仿宋_GB2312"/>
          <w:bCs/>
          <w:sz w:val="32"/>
          <w:szCs w:val="28"/>
          <w:lang w:bidi="ar"/>
        </w:rPr>
        <w:t>社会效益</w:t>
      </w:r>
      <w:r>
        <w:rPr>
          <w:rFonts w:hint="eastAsia" w:ascii="仿宋_GB2312" w:hAnsi="宋体" w:eastAsia="仿宋" w:cs="仿宋_GB2312"/>
          <w:sz w:val="32"/>
          <w:szCs w:val="28"/>
          <w:lang w:bidi="ar"/>
        </w:rPr>
        <w:t>：共</w:t>
      </w:r>
      <w:r>
        <w:rPr>
          <w:rFonts w:ascii="仿宋_GB2312" w:hAnsi="宋体" w:eastAsia="仿宋" w:cs="仿宋_GB2312"/>
          <w:sz w:val="32"/>
          <w:szCs w:val="28"/>
          <w:lang w:bidi="ar"/>
        </w:rPr>
        <w:t>5</w:t>
      </w:r>
      <w:r>
        <w:rPr>
          <w:rFonts w:hint="eastAsia" w:ascii="仿宋_GB2312" w:hAnsi="宋体" w:eastAsia="仿宋" w:cs="仿宋_GB2312"/>
          <w:sz w:val="32"/>
          <w:szCs w:val="28"/>
          <w:lang w:bidi="ar"/>
        </w:rPr>
        <w:t>个考核项目政策带动了政策目标区域内公共基础设施、公共服务就业等发展，马尔康市各乡镇实施的基层活动如道路维修、河道清理、卫生环境整治等，有利于改善乡村基础设施条件、改善村镇面貌，创造文明卫生生活环境。利用农村富余劳动力实施项目，促进了农民生产生活条件的改善，有利于社会环境的稳定；城乡居民养老保险政策的实施给广大人民群众带去了福音，最大限度惠及广大城乡居民，使其老有所养，保障城乡居民老年基本生活,充分树立了政府良好的形象。城乡居民养老保险的实施与深入推进，对保障城乡居民基本生活，推动城乡居民减贫和逐步缩小城乡差距，调节社会收入分配，促进城乡经济社会协调发展，维护城乡居民社会稳定意义重大；增加了就业机会，森林管护等工作提供了大量的就业岗位，解决了退休职工社保统筹等遗留问题，完善了林区的基础设施，促进林区群众农民生产生活条件的改善，有利于社会环境的稳定，使林区展现新面貌，焕发新生机；鼓励引导农民采取秸秆还田、深松整地、科学施肥用药、推进病虫害统防统治和绿色防控等综合措施，稳步提升了耕地地力水平；通过政策引导，加快培育新型经营主体、培养新型职业农民，鼓励多种形式的粮食适度规模经营，有利于推动农业生产加快进入规模化、产业化、社会化发展新阶段，符合现代农业发展方向；有利于防治大骨节病，维护人民群众身体健康和生命安全，更好地保障了病区群众的正常生活，维护地区社会的稳定。但因部分项目资金量有限，产生的效益有限。</w:t>
      </w:r>
    </w:p>
    <w:bookmarkEnd w:id="44"/>
    <w:p>
      <w:pPr>
        <w:spacing w:line="560" w:lineRule="exact"/>
        <w:ind w:firstLine="562"/>
        <w:rPr>
          <w:rFonts w:ascii="仿宋_GB2312" w:hAnsi="宋体" w:eastAsia="仿宋" w:cs="仿宋_GB2312"/>
          <w:sz w:val="32"/>
          <w:szCs w:val="28"/>
          <w:lang w:bidi="ar"/>
        </w:rPr>
      </w:pPr>
      <w:bookmarkStart w:id="45" w:name="_Hlk57759005"/>
      <w:r>
        <w:rPr>
          <w:rFonts w:hint="eastAsia" w:ascii="仿宋_GB2312" w:hAnsi="宋体" w:eastAsia="仿宋" w:cs="仿宋_GB2312"/>
          <w:bCs/>
          <w:sz w:val="32"/>
          <w:szCs w:val="28"/>
          <w:lang w:bidi="ar"/>
        </w:rPr>
        <w:t>经济效益</w:t>
      </w:r>
      <w:r>
        <w:rPr>
          <w:rFonts w:hint="eastAsia" w:ascii="仿宋_GB2312" w:hAnsi="宋体" w:eastAsia="仿宋" w:cs="仿宋_GB2312"/>
          <w:sz w:val="32"/>
          <w:szCs w:val="28"/>
          <w:lang w:bidi="ar"/>
        </w:rPr>
        <w:t>：共</w:t>
      </w:r>
      <w:r>
        <w:rPr>
          <w:rFonts w:ascii="仿宋_GB2312" w:hAnsi="宋体" w:eastAsia="仿宋" w:cs="仿宋_GB2312"/>
          <w:sz w:val="32"/>
          <w:szCs w:val="28"/>
          <w:lang w:bidi="ar"/>
        </w:rPr>
        <w:t>4</w:t>
      </w:r>
      <w:r>
        <w:rPr>
          <w:rFonts w:hint="eastAsia" w:ascii="仿宋_GB2312" w:hAnsi="宋体" w:eastAsia="仿宋" w:cs="仿宋_GB2312"/>
          <w:sz w:val="32"/>
          <w:szCs w:val="28"/>
          <w:lang w:bidi="ar"/>
        </w:rPr>
        <w:t>个考核项目政策</w:t>
      </w:r>
      <w:bookmarkEnd w:id="45"/>
      <w:r>
        <w:rPr>
          <w:rFonts w:hint="eastAsia" w:ascii="仿宋_GB2312" w:hAnsi="宋体" w:eastAsia="仿宋" w:cs="仿宋_GB2312"/>
          <w:sz w:val="32"/>
          <w:szCs w:val="28"/>
          <w:lang w:bidi="ar"/>
        </w:rPr>
        <w:t>带动区域经济（目标群体）带来的直接或间接效益,</w:t>
      </w:r>
      <w:r>
        <w:rPr>
          <w:rFonts w:ascii="仿宋_GB2312" w:hAnsi="宋体" w:eastAsia="仿宋" w:cs="仿宋_GB2312"/>
          <w:sz w:val="32"/>
          <w:szCs w:val="28"/>
          <w:lang w:bidi="ar"/>
        </w:rPr>
        <w:t>1</w:t>
      </w:r>
      <w:r>
        <w:rPr>
          <w:rFonts w:hint="eastAsia" w:ascii="仿宋_GB2312" w:hAnsi="宋体" w:eastAsia="仿宋" w:cs="仿宋_GB2312"/>
          <w:sz w:val="32"/>
          <w:szCs w:val="28"/>
          <w:lang w:bidi="ar"/>
        </w:rPr>
        <w:t>个项目政策不涉及经济效益。农村基层组织加强了对经济工作的领导，坚持以经济建设为中心，深化农村改革，稳定发展粮食生产，积极发展多种经营和乡镇企业，增加农民收入，减轻农民负担，提高农民生活水平；林业资源可以为人类提供良好的林木原料，其相应的动植物资源也满足人们的生活消费需求。除了林业自身的经济价值，林区还产生一系列增值价值，如林产品产业链、观光旅游景点等等有利于现代林业实现传统林业产业结构的调整及升级，提高林业发展的经济效益；但因部分项目资金量有限，产生的效益有限。扶贫政策所采取的如大骨节病2019年度更换粮食等一系列措施，推进了国家支农惠农政策的实施，巩固了扶贫开发成果，减轻了全市贫困户生产生活的经济负担，但该政策主要针对大骨节病的防治，脱贫能力有限。</w:t>
      </w:r>
    </w:p>
    <w:p>
      <w:pPr>
        <w:spacing w:line="560" w:lineRule="exact"/>
        <w:ind w:firstLine="562"/>
        <w:rPr>
          <w:rFonts w:ascii="仿宋_GB2312" w:hAnsi="宋体" w:eastAsia="仿宋" w:cs="仿宋_GB2312"/>
          <w:sz w:val="32"/>
          <w:szCs w:val="28"/>
          <w:lang w:bidi="ar"/>
        </w:rPr>
      </w:pPr>
      <w:r>
        <w:rPr>
          <w:rFonts w:hint="eastAsia" w:ascii="仿宋_GB2312" w:hAnsi="宋体" w:eastAsia="仿宋" w:cs="仿宋_GB2312"/>
          <w:bCs/>
          <w:sz w:val="32"/>
          <w:szCs w:val="28"/>
          <w:lang w:bidi="ar"/>
        </w:rPr>
        <w:t>环境效益</w:t>
      </w:r>
      <w:r>
        <w:rPr>
          <w:rFonts w:hint="eastAsia" w:ascii="仿宋_GB2312" w:hAnsi="宋体" w:eastAsia="仿宋" w:cs="仿宋_GB2312"/>
          <w:sz w:val="32"/>
          <w:szCs w:val="28"/>
          <w:lang w:bidi="ar"/>
        </w:rPr>
        <w:t>：共</w:t>
      </w:r>
      <w:r>
        <w:rPr>
          <w:rFonts w:ascii="仿宋_GB2312" w:hAnsi="宋体" w:eastAsia="仿宋" w:cs="仿宋_GB2312"/>
          <w:sz w:val="32"/>
          <w:szCs w:val="28"/>
          <w:lang w:bidi="ar"/>
        </w:rPr>
        <w:t>3</w:t>
      </w:r>
      <w:r>
        <w:rPr>
          <w:rFonts w:hint="eastAsia" w:ascii="仿宋_GB2312" w:hAnsi="宋体" w:eastAsia="仿宋" w:cs="仿宋_GB2312"/>
          <w:sz w:val="32"/>
          <w:szCs w:val="28"/>
          <w:lang w:bidi="ar"/>
        </w:rPr>
        <w:t>个考核项目政策在节约资源、保护生态环境方面启到了一定的作用,</w:t>
      </w:r>
      <w:r>
        <w:rPr>
          <w:rFonts w:ascii="仿宋_GB2312" w:hAnsi="宋体" w:eastAsia="仿宋" w:cs="仿宋_GB2312"/>
          <w:sz w:val="32"/>
          <w:szCs w:val="28"/>
          <w:lang w:bidi="ar"/>
        </w:rPr>
        <w:t>2</w:t>
      </w:r>
      <w:r>
        <w:rPr>
          <w:rFonts w:hint="eastAsia" w:ascii="仿宋_GB2312" w:hAnsi="宋体" w:eastAsia="仿宋" w:cs="仿宋_GB2312"/>
          <w:sz w:val="32"/>
          <w:szCs w:val="28"/>
          <w:lang w:bidi="ar"/>
        </w:rPr>
        <w:t>个项目政策不涉及环境效益。合理规划农村基础设施建设，通过公共运行维护费进行全村环境卫生整治，垃圾处理等工作，组织村民参与环境治理，提高村民环境保护意识，保护了村内环境卫生，美化了村民居住环境。对林区的保护、培育工作有利于发挥树木的净化空气、调节小气候、涵养水源、保持水土等功能，从而改善生态环境，同时有利于提高林区群众的生态环境保护意识。在土地经营单位上组建以林业为主体，林、农、牧、渔等多种产业相结合，生物种群在时空上多层次，时间上多序列，实现物质多级循环利用的多维、高效、持续稳定的复合生态系统；通过对农牧民购买复合肥、生态有机肥、磷肥、氮肥等进行补贴，农牧民在种植中更多的使用复合肥、生态有机肥、磷肥、氮肥等，减少了土地面源污染，促进了阿坝州农业产业结构调整，引导广大农民群众使用配方肥和有机肥，推动了阿坝州绿色、生态农业发展，提高了人民群众赖以生存的生活环境；但因部分项目资金量有限，产生的效益有限。</w:t>
      </w:r>
    </w:p>
    <w:p>
      <w:pPr>
        <w:spacing w:line="560" w:lineRule="exact"/>
        <w:ind w:firstLine="562"/>
        <w:rPr>
          <w:rFonts w:ascii="仿宋_GB2312" w:hAnsi="宋体" w:eastAsia="仿宋" w:cs="仿宋_GB2312"/>
          <w:sz w:val="32"/>
          <w:szCs w:val="28"/>
          <w:lang w:bidi="ar"/>
        </w:rPr>
      </w:pPr>
      <w:r>
        <w:rPr>
          <w:rFonts w:hint="eastAsia" w:ascii="仿宋_GB2312" w:hAnsi="宋体" w:eastAsia="仿宋" w:cs="仿宋_GB2312"/>
          <w:bCs/>
          <w:sz w:val="32"/>
          <w:szCs w:val="28"/>
          <w:lang w:bidi="ar"/>
        </w:rPr>
        <w:t>满意度</w:t>
      </w:r>
      <w:r>
        <w:rPr>
          <w:rFonts w:hint="eastAsia" w:ascii="仿宋_GB2312" w:hAnsi="宋体" w:eastAsia="仿宋" w:cs="仿宋_GB2312"/>
          <w:sz w:val="32"/>
          <w:szCs w:val="28"/>
          <w:lang w:bidi="ar"/>
        </w:rPr>
        <w:t>：共5个考核项目政策满意度均为100%。</w:t>
      </w:r>
    </w:p>
    <w:p>
      <w:pPr>
        <w:pStyle w:val="40"/>
        <w:spacing w:before="156" w:after="156" w:line="560" w:lineRule="exact"/>
        <w:ind w:firstLine="640"/>
        <w:rPr>
          <w:rFonts w:hint="eastAsia" w:ascii="仿宋_GB2312" w:hAnsi="仿宋_GB2312" w:eastAsia="仿宋" w:cs="仿宋_GB2312"/>
          <w:b w:val="0"/>
          <w:color w:val="auto"/>
          <w:sz w:val="32"/>
          <w:szCs w:val="28"/>
        </w:rPr>
      </w:pPr>
      <w:bookmarkStart w:id="46" w:name="_Hlk57759776"/>
      <w:r>
        <w:rPr>
          <w:rFonts w:hint="eastAsia" w:ascii="仿宋_GB2312" w:hAnsi="仿宋_GB2312" w:eastAsia="仿宋" w:cs="仿宋_GB2312"/>
          <w:b w:val="0"/>
          <w:color w:val="auto"/>
          <w:sz w:val="32"/>
          <w:szCs w:val="28"/>
        </w:rPr>
        <w:t>——公平性分析</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该指标</w:t>
      </w:r>
      <w:r>
        <w:rPr>
          <w:rFonts w:ascii="仿宋_GB2312" w:hAnsi="宋体" w:eastAsia="仿宋" w:cs="仿宋_GB2312"/>
          <w:sz w:val="32"/>
          <w:szCs w:val="28"/>
          <w:lang w:bidi="ar"/>
        </w:rPr>
        <w:t>权重为10分，</w:t>
      </w:r>
      <w:r>
        <w:rPr>
          <w:rFonts w:hint="eastAsia" w:ascii="仿宋_GB2312" w:hAnsi="宋体" w:eastAsia="仿宋" w:cs="仿宋_GB2312"/>
          <w:sz w:val="32"/>
          <w:szCs w:val="28"/>
          <w:lang w:bidi="ar"/>
        </w:rPr>
        <w:t>实得</w:t>
      </w:r>
      <w:r>
        <w:rPr>
          <w:rFonts w:ascii="仿宋_GB2312" w:hAnsi="宋体" w:eastAsia="仿宋" w:cs="仿宋_GB2312"/>
          <w:sz w:val="32"/>
          <w:szCs w:val="28"/>
          <w:lang w:bidi="ar"/>
        </w:rPr>
        <w:t>9.40</w:t>
      </w:r>
      <w:r>
        <w:rPr>
          <w:rFonts w:hint="eastAsia" w:ascii="仿宋_GB2312" w:hAnsi="宋体" w:eastAsia="仿宋" w:cs="仿宋_GB2312"/>
          <w:sz w:val="32"/>
          <w:szCs w:val="28"/>
          <w:lang w:bidi="ar"/>
        </w:rPr>
        <w:t>，</w:t>
      </w:r>
      <w:r>
        <w:rPr>
          <w:rFonts w:ascii="仿宋_GB2312" w:hAnsi="宋体" w:eastAsia="仿宋" w:cs="仿宋_GB2312"/>
          <w:sz w:val="32"/>
          <w:szCs w:val="28"/>
          <w:lang w:bidi="ar"/>
        </w:rPr>
        <w:t>用于考察项目</w:t>
      </w:r>
      <w:r>
        <w:rPr>
          <w:rFonts w:hint="eastAsia" w:ascii="仿宋_GB2312" w:hAnsi="宋体" w:eastAsia="仿宋" w:cs="仿宋_GB2312"/>
          <w:sz w:val="32"/>
          <w:szCs w:val="28"/>
          <w:lang w:bidi="ar"/>
        </w:rPr>
        <w:t>政策目标群体是否</w:t>
      </w:r>
      <w:bookmarkStart w:id="47" w:name="_Hlk57759613"/>
      <w:r>
        <w:rPr>
          <w:rFonts w:hint="eastAsia" w:ascii="仿宋_GB2312" w:hAnsi="宋体" w:eastAsia="仿宋" w:cs="仿宋_GB2312"/>
          <w:sz w:val="32"/>
          <w:szCs w:val="28"/>
          <w:lang w:bidi="ar"/>
        </w:rPr>
        <w:t>公平享受政策，政策资源配置</w:t>
      </w:r>
      <w:bookmarkEnd w:id="47"/>
      <w:r>
        <w:rPr>
          <w:rFonts w:hint="eastAsia" w:ascii="仿宋_GB2312" w:hAnsi="宋体" w:eastAsia="仿宋" w:cs="仿宋_GB2312"/>
          <w:sz w:val="32"/>
          <w:szCs w:val="28"/>
          <w:lang w:bidi="ar"/>
        </w:rPr>
        <w:t>是否公平。</w:t>
      </w:r>
    </w:p>
    <w:p>
      <w:pPr>
        <w:spacing w:line="560" w:lineRule="exact"/>
        <w:ind w:firstLine="560"/>
        <w:rPr>
          <w:rFonts w:ascii="仿宋_GB2312" w:hAnsi="宋体" w:eastAsia="仿宋" w:cs="仿宋_GB2312"/>
          <w:sz w:val="32"/>
          <w:szCs w:val="28"/>
          <w:lang w:bidi="ar"/>
        </w:rPr>
      </w:pPr>
      <w:r>
        <w:rPr>
          <w:rFonts w:ascii="仿宋_GB2312" w:hAnsi="宋体" w:eastAsia="仿宋" w:cs="仿宋_GB2312"/>
          <w:sz w:val="32"/>
          <w:szCs w:val="28"/>
          <w:lang w:bidi="ar"/>
        </w:rPr>
        <w:t>具体评价指标和得分情况如下：</w:t>
      </w:r>
    </w:p>
    <w:p>
      <w:pPr>
        <w:spacing w:line="560" w:lineRule="exact"/>
        <w:ind w:firstLine="482"/>
        <w:jc w:val="center"/>
        <w:rPr>
          <w:rFonts w:ascii="仿宋_GB2312" w:hAnsi="宋体" w:eastAsia="仿宋" w:cs="仿宋_GB2312"/>
          <w:bCs/>
          <w:sz w:val="32"/>
          <w:lang w:bidi="ar"/>
        </w:rPr>
      </w:pPr>
      <w:r>
        <w:rPr>
          <w:rFonts w:hint="eastAsia" w:ascii="仿宋_GB2312" w:hAnsi="宋体" w:eastAsia="仿宋" w:cs="仿宋_GB2312"/>
          <w:bCs/>
          <w:sz w:val="32"/>
          <w:lang w:bidi="ar"/>
        </w:rPr>
        <w:t>公平性指标得分情况汇总表</w:t>
      </w:r>
    </w:p>
    <w:tbl>
      <w:tblPr>
        <w:tblStyle w:val="15"/>
        <w:tblpPr w:leftFromText="180" w:rightFromText="180" w:vertAnchor="text" w:horzAnchor="page" w:tblpXSpec="center" w:tblpY="40"/>
        <w:tblOverlap w:val="never"/>
        <w:tblW w:w="5000"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629"/>
        <w:gridCol w:w="2483"/>
        <w:gridCol w:w="2423"/>
        <w:gridCol w:w="246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blHeader/>
          <w:jc w:val="center"/>
        </w:trPr>
        <w:tc>
          <w:tcPr>
            <w:tcW w:w="905"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指标</w:t>
            </w:r>
          </w:p>
        </w:tc>
        <w:tc>
          <w:tcPr>
            <w:tcW w:w="1379"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权重</w:t>
            </w:r>
          </w:p>
        </w:tc>
        <w:tc>
          <w:tcPr>
            <w:tcW w:w="1346"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w:t>
            </w:r>
          </w:p>
        </w:tc>
        <w:tc>
          <w:tcPr>
            <w:tcW w:w="1370"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905" w:type="pct"/>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公平性</w:t>
            </w:r>
          </w:p>
        </w:tc>
        <w:tc>
          <w:tcPr>
            <w:tcW w:w="1379"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10.00</w:t>
            </w:r>
          </w:p>
        </w:tc>
        <w:tc>
          <w:tcPr>
            <w:tcW w:w="1346"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9.40</w:t>
            </w:r>
          </w:p>
        </w:tc>
        <w:tc>
          <w:tcPr>
            <w:tcW w:w="1370"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94.00%</w:t>
            </w:r>
          </w:p>
        </w:tc>
      </w:tr>
    </w:tbl>
    <w:p>
      <w:pPr>
        <w:spacing w:line="560" w:lineRule="exact"/>
        <w:ind w:firstLine="562"/>
        <w:rPr>
          <w:rFonts w:ascii="仿宋_GB2312" w:hAnsi="宋体" w:eastAsia="仿宋" w:cs="仿宋_GB2312"/>
          <w:sz w:val="32"/>
          <w:szCs w:val="28"/>
          <w:lang w:bidi="ar"/>
        </w:rPr>
      </w:pPr>
      <w:r>
        <w:rPr>
          <w:rFonts w:hint="eastAsia" w:ascii="仿宋_GB2312" w:hAnsi="宋体" w:eastAsia="仿宋" w:cs="仿宋_GB2312"/>
          <w:bCs/>
          <w:sz w:val="32"/>
          <w:szCs w:val="28"/>
          <w:lang w:bidi="ar"/>
        </w:rPr>
        <w:t>公平性</w:t>
      </w:r>
      <w:r>
        <w:rPr>
          <w:rFonts w:hint="eastAsia" w:ascii="仿宋_GB2312" w:hAnsi="宋体" w:eastAsia="仿宋" w:cs="仿宋_GB2312"/>
          <w:sz w:val="32"/>
          <w:szCs w:val="28"/>
          <w:lang w:bidi="ar"/>
        </w:rPr>
        <w:t>：共</w:t>
      </w:r>
      <w:r>
        <w:rPr>
          <w:rFonts w:ascii="仿宋_GB2312" w:hAnsi="宋体" w:eastAsia="仿宋" w:cs="仿宋_GB2312"/>
          <w:sz w:val="32"/>
          <w:szCs w:val="28"/>
          <w:lang w:bidi="ar"/>
        </w:rPr>
        <w:t>5</w:t>
      </w:r>
      <w:r>
        <w:rPr>
          <w:rFonts w:hint="eastAsia" w:ascii="仿宋_GB2312" w:hAnsi="宋体" w:eastAsia="仿宋" w:cs="仿宋_GB2312"/>
          <w:sz w:val="32"/>
          <w:szCs w:val="28"/>
          <w:lang w:bidi="ar"/>
        </w:rPr>
        <w:t>个考核项目政策</w:t>
      </w:r>
      <w:bookmarkEnd w:id="46"/>
      <w:r>
        <w:rPr>
          <w:rFonts w:hint="eastAsia" w:ascii="仿宋_GB2312" w:hAnsi="宋体" w:eastAsia="仿宋" w:cs="仿宋_GB2312"/>
          <w:sz w:val="32"/>
          <w:szCs w:val="28"/>
          <w:lang w:bidi="ar"/>
        </w:rPr>
        <w:t>基本上能公平享受政策、公平政策资源配置；村级基层组织活动和公共运行服务经费县（市、区）、乡镇（街道）统筹安排上级补助资金，根据各村（社区）人口、幅员面积、党员人数、地理区位、绩效评价结果因素分类确定补助标准，资金分配合理、公平。项目实施采取事前群众建议、事中群众审议、事后群众评议的“三议五公开”工作法，保证群众的参与权、决策权、监督权。项目实施前公开政策，组织入户调查，广泛征求村民意见建议，采取“一户一票”量分，确定各村维护项目需求，并进行群众审议确定项目实施方案，资金使用、会议决议、项目实施情况均进行公示，但存在部分事项未公示、公示不规范的情况；实现了城乡居民社会养老保险制度全覆盖，推进基本公共服务均等化发展，朝着实现社会公平正义的目标迈进了一大步，使我国原有的城乡二元分割的社会保障制度不公平性问题得到初步解决；按照省级林业主管部门的相关要求，确定补偿资金补偿范围，核实补偿对象，对符合条件的林区农牧民进行补助。以股权划分协议或者采取村民“一事一议”等方式将补偿资金测算分配到户。以林权档案为基础，将补助资金落实到林权权利人，通过补助资金兑现公示制度来强化过程监管，公示无异议的，通过“一卡通”账户足额兑换到林权权利人，资金使用、会议决议、项目实施情况等均进行公示，林业改革资金有限，收益群体人数有限。市供销社利用横幅、门户网站等多种形式进行宣传农资综合补贴资金，在学校、医院、金融网点等人员密集场所张贴查询公告，让广大群众随时掌握惠农动态、查询补贴资金发放情况，不定期的安排组织开展惠农补贴资金管理和发放调查问卷活动，根据反馈意见和建议改进服务方式，让人民群众都能公平享受到政策补贴；扶贫政策能根据上级相关文件的要求，按照相关执行标准，供应病区群众粮食，为困难群众购买马尔康市扶贫保保险，收益群体不重不漏，有利于维护人民群众身体健康和生命安全，提高群众的生活水平，维护地区社会公平与稳定。</w:t>
      </w:r>
    </w:p>
    <w:p>
      <w:pPr>
        <w:keepNext/>
        <w:keepLines/>
        <w:spacing w:before="156" w:beforeLines="50" w:after="156" w:afterLines="50" w:line="560" w:lineRule="exact"/>
        <w:ind w:firstLine="562"/>
        <w:outlineLvl w:val="1"/>
        <w:rPr>
          <w:rFonts w:hint="eastAsia" w:ascii="仿宋_GB2312" w:hAnsi="仿宋_GB2312" w:eastAsia="仿宋" w:cs="仿宋_GB2312"/>
          <w:bCs/>
          <w:sz w:val="32"/>
          <w:szCs w:val="28"/>
        </w:rPr>
      </w:pPr>
      <w:r>
        <w:rPr>
          <w:rFonts w:hint="eastAsia" w:ascii="仿宋_GB2312" w:hAnsi="仿宋_GB2312" w:eastAsia="仿宋" w:cs="仿宋_GB2312"/>
          <w:bCs/>
          <w:sz w:val="32"/>
          <w:szCs w:val="28"/>
        </w:rPr>
        <w:t>——可持续性分析</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该指标</w:t>
      </w:r>
      <w:r>
        <w:rPr>
          <w:rFonts w:ascii="仿宋_GB2312" w:hAnsi="宋体" w:eastAsia="仿宋" w:cs="仿宋_GB2312"/>
          <w:sz w:val="32"/>
          <w:szCs w:val="28"/>
          <w:lang w:bidi="ar"/>
        </w:rPr>
        <w:t>权重为15分，</w:t>
      </w:r>
      <w:r>
        <w:rPr>
          <w:rFonts w:hint="eastAsia" w:ascii="仿宋_GB2312" w:hAnsi="宋体" w:eastAsia="仿宋" w:cs="仿宋_GB2312"/>
          <w:sz w:val="32"/>
          <w:szCs w:val="28"/>
          <w:lang w:bidi="ar"/>
        </w:rPr>
        <w:t>实得</w:t>
      </w:r>
      <w:r>
        <w:rPr>
          <w:rFonts w:ascii="仿宋_GB2312" w:hAnsi="宋体" w:eastAsia="仿宋" w:cs="仿宋_GB2312"/>
          <w:sz w:val="32"/>
          <w:szCs w:val="28"/>
          <w:lang w:bidi="ar"/>
        </w:rPr>
        <w:t>15</w:t>
      </w:r>
      <w:r>
        <w:rPr>
          <w:rFonts w:hint="eastAsia" w:ascii="仿宋_GB2312" w:hAnsi="宋体" w:eastAsia="仿宋" w:cs="仿宋_GB2312"/>
          <w:sz w:val="32"/>
          <w:szCs w:val="28"/>
          <w:lang w:bidi="ar"/>
        </w:rPr>
        <w:t>，</w:t>
      </w:r>
      <w:r>
        <w:rPr>
          <w:rFonts w:ascii="仿宋_GB2312" w:hAnsi="宋体" w:eastAsia="仿宋" w:cs="仿宋_GB2312"/>
          <w:sz w:val="32"/>
          <w:szCs w:val="28"/>
          <w:lang w:bidi="ar"/>
        </w:rPr>
        <w:t>用于考察项目</w:t>
      </w:r>
      <w:r>
        <w:rPr>
          <w:rFonts w:hint="eastAsia" w:ascii="仿宋_GB2312" w:hAnsi="宋体" w:eastAsia="仿宋" w:cs="仿宋_GB2312"/>
          <w:sz w:val="32"/>
          <w:szCs w:val="28"/>
          <w:lang w:bidi="ar"/>
        </w:rPr>
        <w:t>政策效益能否</w:t>
      </w:r>
      <w:bookmarkStart w:id="48" w:name="_Hlk57759923"/>
      <w:r>
        <w:rPr>
          <w:rFonts w:hint="eastAsia" w:ascii="仿宋_GB2312" w:hAnsi="宋体" w:eastAsia="仿宋" w:cs="仿宋_GB2312"/>
          <w:sz w:val="32"/>
          <w:szCs w:val="28"/>
          <w:lang w:bidi="ar"/>
        </w:rPr>
        <w:t>持续有效发挥，后续维护制度是否健全；目标受益群体对政策是否有持续需求，是否存在政策对象重复重叠，与其他政策分界不清的现象</w:t>
      </w:r>
      <w:bookmarkEnd w:id="48"/>
      <w:r>
        <w:rPr>
          <w:rFonts w:hint="eastAsia" w:ascii="仿宋_GB2312" w:hAnsi="宋体" w:eastAsia="仿宋" w:cs="仿宋_GB2312"/>
          <w:sz w:val="32"/>
          <w:szCs w:val="28"/>
          <w:lang w:bidi="ar"/>
        </w:rPr>
        <w:t>。</w:t>
      </w:r>
    </w:p>
    <w:p>
      <w:pPr>
        <w:spacing w:line="560" w:lineRule="exact"/>
        <w:ind w:firstLine="560"/>
        <w:rPr>
          <w:rFonts w:ascii="仿宋_GB2312" w:hAnsi="宋体" w:eastAsia="仿宋" w:cs="仿宋_GB2312"/>
          <w:sz w:val="32"/>
          <w:szCs w:val="28"/>
          <w:lang w:bidi="ar"/>
        </w:rPr>
      </w:pPr>
      <w:r>
        <w:rPr>
          <w:rFonts w:ascii="仿宋_GB2312" w:hAnsi="宋体" w:eastAsia="仿宋" w:cs="仿宋_GB2312"/>
          <w:sz w:val="32"/>
          <w:szCs w:val="28"/>
          <w:lang w:bidi="ar"/>
        </w:rPr>
        <w:t>具体评价指标和得分情况如下：</w:t>
      </w:r>
    </w:p>
    <w:p>
      <w:pPr>
        <w:spacing w:line="560" w:lineRule="exact"/>
        <w:ind w:firstLine="482"/>
        <w:jc w:val="center"/>
        <w:rPr>
          <w:rFonts w:ascii="仿宋_GB2312" w:hAnsi="宋体" w:eastAsia="仿宋" w:cs="仿宋_GB2312"/>
          <w:bCs/>
          <w:sz w:val="32"/>
          <w:lang w:bidi="ar"/>
        </w:rPr>
      </w:pPr>
      <w:r>
        <w:rPr>
          <w:rFonts w:hint="eastAsia" w:ascii="仿宋_GB2312" w:hAnsi="宋体" w:eastAsia="仿宋" w:cs="仿宋_GB2312"/>
          <w:bCs/>
          <w:sz w:val="32"/>
          <w:lang w:bidi="ar"/>
        </w:rPr>
        <w:t>可持续性指标得分情况汇总表</w:t>
      </w:r>
    </w:p>
    <w:tbl>
      <w:tblPr>
        <w:tblStyle w:val="15"/>
        <w:tblpPr w:leftFromText="180" w:rightFromText="180" w:vertAnchor="text" w:horzAnchor="page" w:tblpXSpec="center" w:tblpY="40"/>
        <w:tblOverlap w:val="never"/>
        <w:tblW w:w="5000"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629"/>
        <w:gridCol w:w="2483"/>
        <w:gridCol w:w="2423"/>
        <w:gridCol w:w="246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blHeader/>
          <w:jc w:val="center"/>
        </w:trPr>
        <w:tc>
          <w:tcPr>
            <w:tcW w:w="905"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指标</w:t>
            </w:r>
          </w:p>
        </w:tc>
        <w:tc>
          <w:tcPr>
            <w:tcW w:w="1379"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权重</w:t>
            </w:r>
          </w:p>
        </w:tc>
        <w:tc>
          <w:tcPr>
            <w:tcW w:w="1346"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w:t>
            </w:r>
          </w:p>
        </w:tc>
        <w:tc>
          <w:tcPr>
            <w:tcW w:w="1370" w:type="pct"/>
            <w:tcBorders>
              <w:top w:val="single" w:color="auto" w:sz="12" w:space="0"/>
            </w:tcBorders>
            <w:shd w:val="clear" w:color="auto" w:fill="BEBEBE"/>
            <w:vAlign w:val="center"/>
          </w:tcPr>
          <w:p>
            <w:pPr>
              <w:spacing w:line="560" w:lineRule="exact"/>
              <w:jc w:val="center"/>
              <w:rPr>
                <w:rFonts w:ascii="仿宋_GB2312" w:hAnsi="仿宋_GB2312" w:eastAsia="仿宋" w:cs="仿宋_GB2312"/>
                <w:bCs/>
                <w:sz w:val="32"/>
              </w:rPr>
            </w:pPr>
            <w:r>
              <w:rPr>
                <w:rFonts w:ascii="仿宋_GB2312" w:hAnsi="宋体" w:eastAsia="仿宋" w:cs="仿宋_GB2312"/>
                <w:bCs/>
                <w:sz w:val="32"/>
                <w:lang w:bidi="ar"/>
              </w:rPr>
              <w:t>得分率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905" w:type="pct"/>
            <w:vAlign w:val="center"/>
          </w:tcPr>
          <w:p>
            <w:pPr>
              <w:spacing w:line="560" w:lineRule="exact"/>
              <w:jc w:val="center"/>
              <w:rPr>
                <w:rFonts w:ascii="仿宋_GB2312" w:hAnsi="宋体" w:eastAsia="仿宋" w:cs="仿宋_GB2312"/>
                <w:sz w:val="32"/>
                <w:lang w:bidi="ar"/>
              </w:rPr>
            </w:pPr>
            <w:r>
              <w:rPr>
                <w:rFonts w:ascii="仿宋_GB2312" w:hAnsi="宋体" w:eastAsia="仿宋" w:cs="仿宋_GB2312"/>
                <w:sz w:val="32"/>
                <w:lang w:bidi="ar"/>
              </w:rPr>
              <w:t>可持续性</w:t>
            </w:r>
          </w:p>
        </w:tc>
        <w:tc>
          <w:tcPr>
            <w:tcW w:w="1379"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15.00</w:t>
            </w:r>
          </w:p>
        </w:tc>
        <w:tc>
          <w:tcPr>
            <w:tcW w:w="1346"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15.00</w:t>
            </w:r>
          </w:p>
        </w:tc>
        <w:tc>
          <w:tcPr>
            <w:tcW w:w="1370" w:type="pct"/>
            <w:vAlign w:val="center"/>
          </w:tcPr>
          <w:p>
            <w:pPr>
              <w:spacing w:line="560" w:lineRule="exact"/>
              <w:jc w:val="center"/>
              <w:rPr>
                <w:rFonts w:ascii="仿宋_GB2312" w:hAnsi="Arial Narrow" w:eastAsia="仿宋"/>
                <w:bCs/>
                <w:sz w:val="32"/>
              </w:rPr>
            </w:pPr>
            <w:r>
              <w:rPr>
                <w:rFonts w:ascii="仿宋_GB2312" w:hAnsi="宋体" w:eastAsia="仿宋" w:cs="仿宋_GB2312"/>
                <w:sz w:val="32"/>
                <w:lang w:bidi="ar"/>
              </w:rPr>
              <w:t>100.00%</w:t>
            </w:r>
          </w:p>
        </w:tc>
      </w:tr>
    </w:tbl>
    <w:p>
      <w:pPr>
        <w:spacing w:line="560" w:lineRule="exact"/>
        <w:ind w:firstLine="562"/>
        <w:rPr>
          <w:rFonts w:ascii="仿宋_GB2312" w:hAnsi="宋体" w:eastAsia="仿宋" w:cs="仿宋_GB2312"/>
          <w:sz w:val="32"/>
          <w:szCs w:val="28"/>
          <w:lang w:bidi="ar"/>
        </w:rPr>
      </w:pPr>
      <w:r>
        <w:rPr>
          <w:rFonts w:hint="eastAsia" w:ascii="仿宋_GB2312" w:hAnsi="宋体" w:eastAsia="仿宋" w:cs="仿宋_GB2312"/>
          <w:bCs/>
          <w:sz w:val="32"/>
          <w:szCs w:val="28"/>
          <w:lang w:bidi="ar"/>
        </w:rPr>
        <w:t>持续运行、持续需求、重复性</w:t>
      </w:r>
      <w:r>
        <w:rPr>
          <w:rFonts w:hint="eastAsia" w:ascii="仿宋_GB2312" w:hAnsi="宋体" w:eastAsia="仿宋" w:cs="仿宋_GB2312"/>
          <w:sz w:val="32"/>
          <w:szCs w:val="28"/>
          <w:lang w:bidi="ar"/>
        </w:rPr>
        <w:t>：</w:t>
      </w:r>
      <w:r>
        <w:rPr>
          <w:rFonts w:ascii="仿宋_GB2312" w:hAnsi="宋体" w:eastAsia="仿宋" w:cs="仿宋_GB2312"/>
          <w:sz w:val="32"/>
          <w:szCs w:val="28"/>
          <w:lang w:bidi="ar"/>
        </w:rPr>
        <w:t>5</w:t>
      </w:r>
      <w:r>
        <w:rPr>
          <w:rFonts w:hint="eastAsia" w:ascii="仿宋_GB2312" w:hAnsi="宋体" w:eastAsia="仿宋" w:cs="仿宋_GB2312"/>
          <w:sz w:val="32"/>
          <w:szCs w:val="28"/>
          <w:lang w:bidi="ar"/>
        </w:rPr>
        <w:t>个考核项目政策持续有效发挥，后续维护制度健全；目标受益群体对政策有持续需求，未发现政策对象重复重叠，与其他政策分界不清的现象。</w:t>
      </w:r>
    </w:p>
    <w:p>
      <w:pPr>
        <w:spacing w:line="560" w:lineRule="exact"/>
        <w:ind w:firstLine="560"/>
        <w:rPr>
          <w:rFonts w:ascii="仿宋_GB2312" w:hAnsi="宋体" w:eastAsia="仿宋" w:cs="仿宋_GB2312"/>
          <w:sz w:val="32"/>
          <w:szCs w:val="28"/>
          <w:lang w:bidi="ar"/>
        </w:rPr>
      </w:pPr>
    </w:p>
    <w:p>
      <w:pPr>
        <w:pStyle w:val="2"/>
        <w:spacing w:before="156" w:after="156" w:line="560" w:lineRule="exact"/>
        <w:ind w:firstLine="640"/>
        <w:rPr>
          <w:rFonts w:hint="eastAsia" w:eastAsia="仿宋"/>
          <w:b w:val="0"/>
          <w:sz w:val="32"/>
          <w:szCs w:val="30"/>
        </w:rPr>
      </w:pPr>
      <w:r>
        <w:rPr>
          <w:rFonts w:hint="eastAsia" w:eastAsia="仿宋"/>
          <w:b w:val="0"/>
          <w:sz w:val="32"/>
          <w:szCs w:val="30"/>
        </w:rPr>
        <w:t>三、项目支出满意度问卷调查分析</w:t>
      </w:r>
      <w:bookmarkEnd w:id="40"/>
    </w:p>
    <w:p>
      <w:pPr>
        <w:spacing w:line="560" w:lineRule="exact"/>
        <w:ind w:firstLine="560"/>
        <w:rPr>
          <w:rFonts w:hint="eastAsia" w:ascii="仿宋_GB2312" w:hAnsi="宋体" w:eastAsia="仿宋" w:cs="宋体"/>
          <w:sz w:val="32"/>
          <w:szCs w:val="28"/>
          <w:shd w:val="clear" w:color="auto" w:fill="FFFFFF"/>
        </w:rPr>
      </w:pPr>
      <w:r>
        <w:rPr>
          <w:rFonts w:hint="eastAsia" w:ascii="仿宋_GB2312" w:hAnsi="宋体" w:eastAsia="仿宋" w:cs="宋体"/>
          <w:sz w:val="32"/>
          <w:szCs w:val="28"/>
          <w:shd w:val="clear" w:color="auto" w:fill="FFFFFF"/>
        </w:rPr>
        <w:t>本次项目支出绩效评价项目涉及2</w:t>
      </w:r>
      <w:r>
        <w:rPr>
          <w:rFonts w:ascii="仿宋_GB2312" w:hAnsi="宋体" w:eastAsia="仿宋" w:cs="宋体"/>
          <w:sz w:val="32"/>
          <w:szCs w:val="28"/>
          <w:shd w:val="clear" w:color="auto" w:fill="FFFFFF"/>
        </w:rPr>
        <w:t>1</w:t>
      </w:r>
      <w:r>
        <w:rPr>
          <w:rFonts w:hint="eastAsia" w:ascii="仿宋_GB2312" w:hAnsi="宋体" w:eastAsia="仿宋" w:cs="宋体"/>
          <w:sz w:val="32"/>
          <w:szCs w:val="28"/>
          <w:shd w:val="clear" w:color="auto" w:fill="FFFFFF"/>
        </w:rPr>
        <w:t>个，对已完工项目进行了现场调查问卷，问卷调查对象共计</w:t>
      </w:r>
      <w:r>
        <w:rPr>
          <w:rFonts w:ascii="仿宋_GB2312" w:hAnsi="宋体" w:eastAsia="仿宋" w:cs="宋体"/>
          <w:sz w:val="32"/>
          <w:szCs w:val="28"/>
          <w:shd w:val="clear" w:color="auto" w:fill="FFFFFF"/>
        </w:rPr>
        <w:t>260</w:t>
      </w:r>
      <w:r>
        <w:rPr>
          <w:rFonts w:hint="eastAsia" w:ascii="仿宋_GB2312" w:hAnsi="宋体" w:eastAsia="仿宋" w:cs="宋体"/>
          <w:sz w:val="32"/>
          <w:szCs w:val="28"/>
          <w:shd w:val="clear" w:color="auto" w:fill="FFFFFF"/>
        </w:rPr>
        <w:t>人次。问卷满意度分设“非常满意”、“满意”、“较满意”、“不满意”、“不清楚”，其中“非常满意”</w:t>
      </w:r>
      <w:r>
        <w:rPr>
          <w:rFonts w:ascii="仿宋_GB2312" w:hAnsi="宋体" w:eastAsia="仿宋" w:cs="宋体"/>
          <w:sz w:val="32"/>
          <w:szCs w:val="28"/>
          <w:shd w:val="clear" w:color="auto" w:fill="FFFFFF"/>
        </w:rPr>
        <w:t>258</w:t>
      </w:r>
      <w:r>
        <w:rPr>
          <w:rFonts w:hint="eastAsia" w:ascii="仿宋_GB2312" w:hAnsi="宋体" w:eastAsia="仿宋" w:cs="宋体"/>
          <w:sz w:val="32"/>
          <w:szCs w:val="28"/>
          <w:shd w:val="clear" w:color="auto" w:fill="FFFFFF"/>
        </w:rPr>
        <w:t>人，“不清楚”</w:t>
      </w:r>
      <w:r>
        <w:rPr>
          <w:rFonts w:ascii="仿宋_GB2312" w:hAnsi="宋体" w:eastAsia="仿宋" w:cs="宋体"/>
          <w:sz w:val="32"/>
          <w:szCs w:val="28"/>
          <w:shd w:val="clear" w:color="auto" w:fill="FFFFFF"/>
        </w:rPr>
        <w:t>2</w:t>
      </w:r>
      <w:r>
        <w:rPr>
          <w:rFonts w:hint="eastAsia" w:ascii="仿宋_GB2312" w:hAnsi="宋体" w:eastAsia="仿宋" w:cs="宋体"/>
          <w:sz w:val="32"/>
          <w:szCs w:val="28"/>
          <w:shd w:val="clear" w:color="auto" w:fill="FFFFFF"/>
        </w:rPr>
        <w:t>人。</w:t>
      </w:r>
    </w:p>
    <w:p>
      <w:pPr>
        <w:spacing w:line="560" w:lineRule="exact"/>
        <w:jc w:val="center"/>
        <w:textAlignment w:val="center"/>
        <w:rPr>
          <w:rFonts w:hint="eastAsia" w:ascii="仿宋_GB2312" w:hAnsi="仿宋_GB2312" w:eastAsia="仿宋" w:cs="仿宋_GB2312"/>
          <w:bCs/>
          <w:sz w:val="32"/>
          <w:lang w:bidi="ar"/>
        </w:rPr>
      </w:pPr>
    </w:p>
    <w:p>
      <w:pPr>
        <w:spacing w:line="560" w:lineRule="exact"/>
        <w:jc w:val="center"/>
        <w:textAlignment w:val="center"/>
        <w:rPr>
          <w:rFonts w:ascii="仿宋_GB2312" w:hAnsi="仿宋_GB2312" w:eastAsia="仿宋" w:cs="仿宋_GB2312"/>
          <w:bCs/>
          <w:sz w:val="32"/>
          <w:lang w:bidi="ar"/>
        </w:rPr>
      </w:pPr>
      <w:r>
        <w:rPr>
          <w:rFonts w:hint="eastAsia" w:ascii="仿宋_GB2312" w:hAnsi="仿宋_GB2312" w:eastAsia="仿宋" w:cs="仿宋_GB2312"/>
          <w:bCs/>
          <w:sz w:val="32"/>
          <w:lang w:bidi="ar"/>
        </w:rPr>
        <w:t>表22 项目支出满意度问卷调查统计表</w:t>
      </w:r>
    </w:p>
    <w:p>
      <w:pPr>
        <w:spacing w:line="560" w:lineRule="exact"/>
        <w:jc w:val="right"/>
        <w:textAlignment w:val="center"/>
        <w:rPr>
          <w:rFonts w:ascii="仿宋_GB2312" w:hAnsi="仿宋_GB2312" w:eastAsia="仿宋" w:cs="仿宋_GB2312"/>
          <w:sz w:val="32"/>
          <w:lang w:bidi="ar"/>
        </w:rPr>
      </w:pPr>
      <w:r>
        <w:rPr>
          <w:rFonts w:hint="eastAsia" w:ascii="仿宋_GB2312" w:hAnsi="仿宋_GB2312" w:eastAsia="仿宋" w:cs="仿宋_GB2312"/>
          <w:sz w:val="32"/>
          <w:lang w:bidi="ar"/>
        </w:rPr>
        <w:t>单位：人</w:t>
      </w:r>
    </w:p>
    <w:tbl>
      <w:tblPr>
        <w:tblStyle w:val="15"/>
        <w:tblW w:w="5000" w:type="pct"/>
        <w:tblInd w:w="0" w:type="dxa"/>
        <w:tblLayout w:type="autofit"/>
        <w:tblCellMar>
          <w:top w:w="0" w:type="dxa"/>
          <w:left w:w="108" w:type="dxa"/>
          <w:bottom w:w="0" w:type="dxa"/>
          <w:right w:w="108" w:type="dxa"/>
        </w:tblCellMar>
      </w:tblPr>
      <w:tblGrid>
        <w:gridCol w:w="954"/>
        <w:gridCol w:w="3282"/>
        <w:gridCol w:w="954"/>
        <w:gridCol w:w="954"/>
        <w:gridCol w:w="954"/>
        <w:gridCol w:w="954"/>
        <w:gridCol w:w="950"/>
      </w:tblGrid>
      <w:tr>
        <w:tblPrEx>
          <w:tblCellMar>
            <w:top w:w="0" w:type="dxa"/>
            <w:left w:w="108" w:type="dxa"/>
            <w:bottom w:w="0" w:type="dxa"/>
            <w:right w:w="108" w:type="dxa"/>
          </w:tblCellMar>
        </w:tblPrEx>
        <w:trPr>
          <w:trHeight w:val="290" w:hRule="atLeast"/>
          <w:tblHeader/>
        </w:trPr>
        <w:tc>
          <w:tcPr>
            <w:tcW w:w="530" w:type="pct"/>
            <w:tcBorders>
              <w:top w:val="single" w:color="auto" w:sz="8" w:space="0"/>
              <w:left w:val="single" w:color="auto" w:sz="8" w:space="0"/>
              <w:bottom w:val="single" w:color="auto" w:sz="8" w:space="0"/>
              <w:right w:val="single" w:color="auto" w:sz="8" w:space="0"/>
            </w:tcBorders>
            <w:shd w:val="clear" w:color="000000" w:fill="BEBEBE"/>
            <w:vAlign w:val="center"/>
          </w:tcPr>
          <w:p>
            <w:pPr>
              <w:spacing w:line="560" w:lineRule="exact"/>
              <w:jc w:val="center"/>
              <w:rPr>
                <w:rFonts w:ascii="仿宋_GB2312" w:eastAsia="仿宋" w:cs="宋体"/>
                <w:bCs/>
                <w:sz w:val="32"/>
              </w:rPr>
            </w:pPr>
            <w:r>
              <w:rPr>
                <w:rFonts w:ascii="仿宋_GB2312" w:eastAsia="仿宋" w:cs="宋体"/>
                <w:bCs/>
                <w:sz w:val="32"/>
              </w:rPr>
              <w:t>序号</w:t>
            </w:r>
          </w:p>
        </w:tc>
        <w:tc>
          <w:tcPr>
            <w:tcW w:w="1823" w:type="pct"/>
            <w:tcBorders>
              <w:top w:val="single" w:color="auto" w:sz="8" w:space="0"/>
              <w:left w:val="nil"/>
              <w:bottom w:val="single" w:color="auto" w:sz="8" w:space="0"/>
              <w:right w:val="single" w:color="auto" w:sz="8" w:space="0"/>
            </w:tcBorders>
            <w:shd w:val="clear" w:color="000000" w:fill="BEBEBE"/>
            <w:vAlign w:val="center"/>
          </w:tcPr>
          <w:p>
            <w:pPr>
              <w:spacing w:line="560" w:lineRule="exact"/>
              <w:jc w:val="center"/>
              <w:rPr>
                <w:rFonts w:ascii="仿宋_GB2312" w:eastAsia="仿宋" w:cs="宋体"/>
                <w:bCs/>
                <w:sz w:val="32"/>
              </w:rPr>
            </w:pPr>
            <w:r>
              <w:rPr>
                <w:rFonts w:ascii="仿宋_GB2312" w:eastAsia="仿宋" w:cs="宋体"/>
                <w:bCs/>
                <w:sz w:val="32"/>
              </w:rPr>
              <w:t>项目名称</w:t>
            </w:r>
          </w:p>
        </w:tc>
        <w:tc>
          <w:tcPr>
            <w:tcW w:w="530" w:type="pct"/>
            <w:tcBorders>
              <w:top w:val="single" w:color="auto" w:sz="8" w:space="0"/>
              <w:left w:val="nil"/>
              <w:bottom w:val="single" w:color="auto" w:sz="8" w:space="0"/>
              <w:right w:val="single" w:color="auto" w:sz="8" w:space="0"/>
            </w:tcBorders>
            <w:shd w:val="clear" w:color="000000" w:fill="BEBEBE"/>
            <w:vAlign w:val="center"/>
          </w:tcPr>
          <w:p>
            <w:pPr>
              <w:spacing w:line="560" w:lineRule="exact"/>
              <w:jc w:val="center"/>
              <w:rPr>
                <w:rFonts w:ascii="仿宋_GB2312" w:eastAsia="仿宋" w:cs="宋体"/>
                <w:bCs/>
                <w:sz w:val="32"/>
              </w:rPr>
            </w:pPr>
            <w:r>
              <w:rPr>
                <w:rFonts w:ascii="仿宋_GB2312" w:eastAsia="仿宋" w:cs="宋体"/>
                <w:bCs/>
                <w:sz w:val="32"/>
              </w:rPr>
              <w:t>非常满意</w:t>
            </w:r>
          </w:p>
        </w:tc>
        <w:tc>
          <w:tcPr>
            <w:tcW w:w="530" w:type="pct"/>
            <w:tcBorders>
              <w:top w:val="single" w:color="auto" w:sz="8" w:space="0"/>
              <w:left w:val="nil"/>
              <w:bottom w:val="single" w:color="auto" w:sz="8" w:space="0"/>
              <w:right w:val="single" w:color="auto" w:sz="8" w:space="0"/>
            </w:tcBorders>
            <w:shd w:val="clear" w:color="000000" w:fill="BEBEBE"/>
            <w:vAlign w:val="center"/>
          </w:tcPr>
          <w:p>
            <w:pPr>
              <w:spacing w:line="560" w:lineRule="exact"/>
              <w:jc w:val="center"/>
              <w:rPr>
                <w:rFonts w:ascii="仿宋_GB2312" w:eastAsia="仿宋" w:cs="宋体"/>
                <w:bCs/>
                <w:sz w:val="32"/>
              </w:rPr>
            </w:pPr>
            <w:r>
              <w:rPr>
                <w:rFonts w:ascii="仿宋_GB2312" w:eastAsia="仿宋" w:cs="宋体"/>
                <w:bCs/>
                <w:sz w:val="32"/>
              </w:rPr>
              <w:t>满意</w:t>
            </w:r>
          </w:p>
        </w:tc>
        <w:tc>
          <w:tcPr>
            <w:tcW w:w="530" w:type="pct"/>
            <w:tcBorders>
              <w:top w:val="single" w:color="auto" w:sz="8" w:space="0"/>
              <w:left w:val="nil"/>
              <w:bottom w:val="single" w:color="auto" w:sz="8" w:space="0"/>
              <w:right w:val="single" w:color="auto" w:sz="8" w:space="0"/>
            </w:tcBorders>
            <w:shd w:val="clear" w:color="000000" w:fill="BEBEBE"/>
            <w:vAlign w:val="center"/>
          </w:tcPr>
          <w:p>
            <w:pPr>
              <w:spacing w:line="560" w:lineRule="exact"/>
              <w:jc w:val="center"/>
              <w:rPr>
                <w:rFonts w:ascii="仿宋_GB2312" w:eastAsia="仿宋" w:cs="宋体"/>
                <w:bCs/>
                <w:sz w:val="32"/>
              </w:rPr>
            </w:pPr>
            <w:r>
              <w:rPr>
                <w:rFonts w:ascii="仿宋_GB2312" w:eastAsia="仿宋" w:cs="宋体"/>
                <w:bCs/>
                <w:sz w:val="32"/>
              </w:rPr>
              <w:t>较满意</w:t>
            </w:r>
          </w:p>
        </w:tc>
        <w:tc>
          <w:tcPr>
            <w:tcW w:w="530" w:type="pct"/>
            <w:tcBorders>
              <w:top w:val="single" w:color="auto" w:sz="8" w:space="0"/>
              <w:left w:val="nil"/>
              <w:bottom w:val="single" w:color="auto" w:sz="8" w:space="0"/>
              <w:right w:val="single" w:color="auto" w:sz="8" w:space="0"/>
            </w:tcBorders>
            <w:shd w:val="clear" w:color="000000" w:fill="BEBEBE"/>
            <w:vAlign w:val="center"/>
          </w:tcPr>
          <w:p>
            <w:pPr>
              <w:spacing w:line="560" w:lineRule="exact"/>
              <w:jc w:val="center"/>
              <w:rPr>
                <w:rFonts w:ascii="仿宋_GB2312" w:eastAsia="仿宋" w:cs="宋体"/>
                <w:bCs/>
                <w:sz w:val="32"/>
              </w:rPr>
            </w:pPr>
            <w:r>
              <w:rPr>
                <w:rFonts w:ascii="仿宋_GB2312" w:eastAsia="仿宋" w:cs="宋体"/>
                <w:bCs/>
                <w:sz w:val="32"/>
              </w:rPr>
              <w:t>不满意</w:t>
            </w:r>
          </w:p>
        </w:tc>
        <w:tc>
          <w:tcPr>
            <w:tcW w:w="527" w:type="pct"/>
            <w:tcBorders>
              <w:top w:val="single" w:color="auto" w:sz="8" w:space="0"/>
              <w:left w:val="nil"/>
              <w:bottom w:val="single" w:color="auto" w:sz="8" w:space="0"/>
              <w:right w:val="single" w:color="auto" w:sz="8" w:space="0"/>
            </w:tcBorders>
            <w:shd w:val="clear" w:color="000000" w:fill="BEBEBE"/>
            <w:vAlign w:val="center"/>
          </w:tcPr>
          <w:p>
            <w:pPr>
              <w:spacing w:line="560" w:lineRule="exact"/>
              <w:jc w:val="center"/>
              <w:rPr>
                <w:rFonts w:ascii="仿宋_GB2312" w:eastAsia="仿宋" w:cs="宋体"/>
                <w:bCs/>
                <w:sz w:val="32"/>
              </w:rPr>
            </w:pPr>
            <w:r>
              <w:rPr>
                <w:rFonts w:ascii="仿宋_GB2312" w:eastAsia="仿宋" w:cs="宋体"/>
                <w:bCs/>
                <w:sz w:val="32"/>
              </w:rPr>
              <w:t>不清楚</w:t>
            </w:r>
          </w:p>
        </w:tc>
      </w:tr>
      <w:tr>
        <w:tblPrEx>
          <w:tblCellMar>
            <w:top w:w="0" w:type="dxa"/>
            <w:left w:w="108" w:type="dxa"/>
            <w:bottom w:w="0" w:type="dxa"/>
            <w:right w:w="108" w:type="dxa"/>
          </w:tblCellMar>
        </w:tblPrEx>
        <w:trPr>
          <w:trHeight w:val="86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rPr>
                <w:rFonts w:ascii="仿宋_GB2312" w:eastAsia="仿宋" w:cs="宋体"/>
                <w:sz w:val="32"/>
              </w:rPr>
            </w:pPr>
            <w:r>
              <w:rPr>
                <w:rFonts w:ascii="仿宋_GB2312" w:eastAsia="仿宋" w:cs="宋体"/>
                <w:sz w:val="32"/>
              </w:rPr>
              <w:t>2018年第四批新增地方政府债券资金（2018年新型城镇化建设）</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15</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29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2</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rPr>
                <w:rFonts w:ascii="仿宋_GB2312" w:eastAsia="仿宋" w:cs="宋体"/>
                <w:sz w:val="32"/>
              </w:rPr>
            </w:pPr>
            <w:r>
              <w:rPr>
                <w:rFonts w:ascii="仿宋_GB2312" w:eastAsia="仿宋" w:cs="宋体"/>
                <w:sz w:val="32"/>
              </w:rPr>
              <w:t>阿底村防洪堤综合治理工程</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15</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82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3</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rPr>
                <w:rFonts w:ascii="仿宋_GB2312" w:eastAsia="仿宋" w:cs="宋体"/>
                <w:sz w:val="32"/>
              </w:rPr>
            </w:pPr>
            <w:r>
              <w:rPr>
                <w:rFonts w:ascii="仿宋_GB2312" w:eastAsia="仿宋" w:cs="宋体"/>
                <w:sz w:val="32"/>
              </w:rPr>
              <w:t>松岗柯盘天街景区标识标牌制作和安装项目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10</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55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4</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rPr>
                <w:rFonts w:ascii="仿宋_GB2312" w:eastAsia="仿宋" w:cs="宋体"/>
                <w:sz w:val="32"/>
              </w:rPr>
            </w:pPr>
            <w:r>
              <w:rPr>
                <w:rFonts w:ascii="仿宋_GB2312" w:eastAsia="仿宋" w:cs="宋体"/>
                <w:sz w:val="32"/>
              </w:rPr>
              <w:t>2019年中央专项彩票公益金支出贫困革命老区脱贫攻坚资金建设项目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10</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29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5</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rPr>
                <w:rFonts w:ascii="仿宋_GB2312" w:eastAsia="仿宋" w:cs="宋体"/>
                <w:sz w:val="32"/>
              </w:rPr>
            </w:pPr>
            <w:r>
              <w:rPr>
                <w:rFonts w:ascii="仿宋_GB2312" w:eastAsia="仿宋" w:cs="宋体"/>
                <w:sz w:val="32"/>
              </w:rPr>
              <w:t>草原防灭火项目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10</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29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6</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rPr>
                <w:rFonts w:ascii="仿宋_GB2312" w:eastAsia="仿宋" w:cs="宋体"/>
                <w:sz w:val="32"/>
              </w:rPr>
            </w:pPr>
            <w:r>
              <w:rPr>
                <w:rFonts w:ascii="仿宋_GB2312" w:eastAsia="仿宋" w:cs="宋体"/>
                <w:sz w:val="32"/>
              </w:rPr>
              <w:t>地质灾害防治项目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15</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29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7</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rPr>
                <w:rFonts w:ascii="仿宋_GB2312" w:eastAsia="仿宋" w:cs="宋体"/>
                <w:sz w:val="32"/>
              </w:rPr>
            </w:pPr>
            <w:r>
              <w:rPr>
                <w:rFonts w:ascii="仿宋_GB2312" w:eastAsia="仿宋" w:cs="宋体"/>
                <w:sz w:val="32"/>
              </w:rPr>
              <w:t>革命老区项目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10</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29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8</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rPr>
                <w:rFonts w:ascii="仿宋_GB2312" w:eastAsia="仿宋" w:cs="宋体"/>
                <w:sz w:val="32"/>
              </w:rPr>
            </w:pPr>
            <w:r>
              <w:rPr>
                <w:rFonts w:ascii="仿宋_GB2312" w:eastAsia="仿宋" w:cs="宋体"/>
                <w:sz w:val="32"/>
              </w:rPr>
              <w:t>第八届加绒锅庄文化旅游节项目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15</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55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9</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rPr>
                <w:rFonts w:ascii="仿宋_GB2312" w:eastAsia="仿宋" w:cs="宋体"/>
                <w:sz w:val="32"/>
              </w:rPr>
            </w:pPr>
            <w:r>
              <w:rPr>
                <w:rFonts w:ascii="仿宋_GB2312" w:eastAsia="仿宋" w:cs="宋体"/>
                <w:sz w:val="32"/>
              </w:rPr>
              <w:t>建档立卡贫困人口基本医疗保险项目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15</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29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10</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rPr>
                <w:rFonts w:ascii="仿宋_GB2312" w:eastAsia="仿宋" w:cs="宋体"/>
                <w:sz w:val="32"/>
              </w:rPr>
            </w:pPr>
            <w:r>
              <w:rPr>
                <w:rFonts w:ascii="仿宋_GB2312" w:eastAsia="仿宋" w:cs="宋体"/>
                <w:sz w:val="32"/>
              </w:rPr>
              <w:t>看守拘留所项目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20</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29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11</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rPr>
                <w:rFonts w:ascii="仿宋_GB2312" w:eastAsia="仿宋" w:cs="宋体"/>
                <w:sz w:val="32"/>
              </w:rPr>
            </w:pPr>
            <w:r>
              <w:rPr>
                <w:rFonts w:ascii="仿宋_GB2312" w:eastAsia="仿宋" w:cs="宋体"/>
                <w:sz w:val="32"/>
              </w:rPr>
              <w:t>党坝乡地拉秋村跨河大桥建设项目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10</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82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12</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rPr>
                <w:rFonts w:ascii="仿宋_GB2312" w:eastAsia="仿宋" w:cs="宋体"/>
                <w:sz w:val="32"/>
              </w:rPr>
            </w:pPr>
            <w:r>
              <w:rPr>
                <w:rFonts w:ascii="仿宋_GB2312" w:eastAsia="仿宋" w:cs="宋体"/>
                <w:sz w:val="32"/>
              </w:rPr>
              <w:t>2018-2019年粮食低温储备库建设</w:t>
            </w:r>
            <w:r>
              <w:rPr>
                <w:rFonts w:ascii="仿宋_GB2312" w:eastAsia="仿宋" w:cs="宋体"/>
                <w:sz w:val="32"/>
              </w:rPr>
              <w:br w:type="textWrapping"/>
            </w:r>
            <w:r>
              <w:rPr>
                <w:rFonts w:ascii="仿宋_GB2312" w:eastAsia="仿宋" w:cs="宋体"/>
                <w:sz w:val="32"/>
              </w:rPr>
              <w:t>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10</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82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13</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马尔康市第四小学会议室办公设备及学生生活设备项目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20</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55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14</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农牧林产品加工物流园区产业扶持项目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10</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55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15</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马尔康市人民医院太阳能热水系统及采暖改造采购项目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15</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29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16</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马尔康市融媒体中心建设项目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10</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29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17</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松岗村旅游综合服务设施项目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10</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29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18</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夜景照明工程项目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10</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55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19</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松岗天街配套基础设施建设</w:t>
            </w:r>
            <w:r>
              <w:rPr>
                <w:rFonts w:ascii="仿宋_GB2312" w:eastAsia="仿宋" w:cs="宋体"/>
                <w:sz w:val="32"/>
              </w:rPr>
              <w:br w:type="textWrapping"/>
            </w:r>
            <w:r>
              <w:rPr>
                <w:rFonts w:ascii="仿宋_GB2312" w:eastAsia="仿宋" w:cs="宋体"/>
                <w:sz w:val="32"/>
              </w:rPr>
              <w:t>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10</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r>
      <w:tr>
        <w:tblPrEx>
          <w:tblCellMar>
            <w:top w:w="0" w:type="dxa"/>
            <w:left w:w="108" w:type="dxa"/>
            <w:bottom w:w="0" w:type="dxa"/>
            <w:right w:w="108" w:type="dxa"/>
          </w:tblCellMar>
        </w:tblPrEx>
        <w:trPr>
          <w:trHeight w:val="29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20</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乡村振兴项目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9</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w:t>
            </w:r>
          </w:p>
        </w:tc>
      </w:tr>
      <w:tr>
        <w:tblPrEx>
          <w:tblCellMar>
            <w:top w:w="0" w:type="dxa"/>
            <w:left w:w="108" w:type="dxa"/>
            <w:bottom w:w="0" w:type="dxa"/>
            <w:right w:w="108" w:type="dxa"/>
          </w:tblCellMar>
        </w:tblPrEx>
        <w:trPr>
          <w:trHeight w:val="55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21</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重要道路绿化及城区绿化提升</w:t>
            </w:r>
            <w:r>
              <w:rPr>
                <w:rFonts w:ascii="仿宋_GB2312" w:eastAsia="仿宋" w:cs="宋体"/>
                <w:sz w:val="32"/>
              </w:rPr>
              <w:br w:type="textWrapping"/>
            </w:r>
            <w:r>
              <w:rPr>
                <w:rFonts w:ascii="仿宋_GB2312" w:eastAsia="仿宋" w:cs="宋体"/>
                <w:sz w:val="32"/>
              </w:rPr>
              <w:t>项目</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9</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1</w:t>
            </w:r>
          </w:p>
        </w:tc>
      </w:tr>
      <w:tr>
        <w:tblPrEx>
          <w:tblCellMar>
            <w:top w:w="0" w:type="dxa"/>
            <w:left w:w="108" w:type="dxa"/>
            <w:bottom w:w="0" w:type="dxa"/>
            <w:right w:w="108" w:type="dxa"/>
          </w:tblCellMar>
        </w:tblPrEx>
        <w:trPr>
          <w:trHeight w:val="290" w:hRule="atLeast"/>
        </w:trPr>
        <w:tc>
          <w:tcPr>
            <w:tcW w:w="530" w:type="pct"/>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　</w:t>
            </w:r>
          </w:p>
        </w:tc>
        <w:tc>
          <w:tcPr>
            <w:tcW w:w="1823"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合计</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258</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0</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0</w:t>
            </w:r>
          </w:p>
        </w:tc>
        <w:tc>
          <w:tcPr>
            <w:tcW w:w="530"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p>
        </w:tc>
        <w:tc>
          <w:tcPr>
            <w:tcW w:w="527" w:type="pct"/>
            <w:tcBorders>
              <w:top w:val="nil"/>
              <w:left w:val="nil"/>
              <w:bottom w:val="single" w:color="auto" w:sz="8" w:space="0"/>
              <w:right w:val="single" w:color="auto" w:sz="8" w:space="0"/>
            </w:tcBorders>
            <w:shd w:val="clear" w:color="auto" w:fill="auto"/>
            <w:vAlign w:val="center"/>
          </w:tcPr>
          <w:p>
            <w:pPr>
              <w:spacing w:line="560" w:lineRule="exact"/>
              <w:jc w:val="center"/>
              <w:rPr>
                <w:rFonts w:ascii="仿宋_GB2312" w:eastAsia="仿宋" w:cs="宋体"/>
                <w:sz w:val="32"/>
              </w:rPr>
            </w:pPr>
            <w:r>
              <w:rPr>
                <w:rFonts w:ascii="仿宋_GB2312" w:eastAsia="仿宋" w:cs="宋体"/>
                <w:sz w:val="32"/>
              </w:rPr>
              <w:t>2</w:t>
            </w:r>
          </w:p>
        </w:tc>
      </w:tr>
    </w:tbl>
    <w:p>
      <w:pPr>
        <w:pStyle w:val="2"/>
        <w:spacing w:before="156" w:after="156" w:line="560" w:lineRule="exact"/>
        <w:ind w:firstLine="640"/>
        <w:rPr>
          <w:rFonts w:eastAsia="仿宋"/>
          <w:b w:val="0"/>
          <w:sz w:val="32"/>
          <w:szCs w:val="30"/>
        </w:rPr>
      </w:pPr>
      <w:bookmarkStart w:id="49" w:name="_Toc22535"/>
      <w:bookmarkStart w:id="50" w:name="_Toc897"/>
      <w:r>
        <w:rPr>
          <w:rFonts w:hint="eastAsia" w:eastAsia="仿宋"/>
          <w:b w:val="0"/>
          <w:sz w:val="32"/>
          <w:szCs w:val="30"/>
        </w:rPr>
        <w:t>四、</w:t>
      </w:r>
      <w:bookmarkEnd w:id="49"/>
      <w:r>
        <w:rPr>
          <w:rFonts w:hint="eastAsia" w:eastAsia="仿宋"/>
          <w:b w:val="0"/>
          <w:sz w:val="32"/>
          <w:szCs w:val="30"/>
        </w:rPr>
        <w:t>存在的问题和建议</w:t>
      </w:r>
      <w:bookmarkEnd w:id="50"/>
    </w:p>
    <w:p>
      <w:pPr>
        <w:pStyle w:val="40"/>
        <w:spacing w:before="156" w:after="156" w:line="560" w:lineRule="exact"/>
        <w:ind w:firstLine="640"/>
        <w:rPr>
          <w:rFonts w:eastAsia="仿宋"/>
          <w:b w:val="0"/>
          <w:color w:val="auto"/>
          <w:sz w:val="32"/>
        </w:rPr>
      </w:pPr>
      <w:bookmarkStart w:id="51" w:name="_Toc29659"/>
      <w:r>
        <w:rPr>
          <w:rFonts w:hint="eastAsia" w:eastAsia="仿宋"/>
          <w:b w:val="0"/>
          <w:color w:val="auto"/>
          <w:sz w:val="32"/>
        </w:rPr>
        <w:t>（一）项目支出</w:t>
      </w:r>
      <w:bookmarkEnd w:id="51"/>
    </w:p>
    <w:p>
      <w:pPr>
        <w:spacing w:line="560" w:lineRule="exact"/>
        <w:ind w:firstLine="562"/>
        <w:rPr>
          <w:rFonts w:hint="eastAsia" w:ascii="仿宋_GB2312" w:hAnsi="宋体" w:eastAsia="仿宋" w:cs="仿宋_GB2312"/>
          <w:bCs/>
          <w:sz w:val="32"/>
          <w:szCs w:val="28"/>
          <w:lang w:bidi="ar"/>
        </w:rPr>
      </w:pPr>
      <w:bookmarkStart w:id="52" w:name="_Toc29566"/>
      <w:r>
        <w:rPr>
          <w:rFonts w:hint="eastAsia" w:ascii="仿宋_GB2312" w:hAnsi="宋体" w:eastAsia="仿宋" w:cs="仿宋_GB2312"/>
          <w:bCs/>
          <w:sz w:val="32"/>
          <w:szCs w:val="28"/>
          <w:lang w:bidi="ar"/>
        </w:rPr>
        <w:t>1、挤占专项资金</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涉及项目：马尔康市公用事业管理局2018年第四批新增地方政府债券资金（2018年新型城镇化建设），其他项目误使用该项目资金16</w:t>
      </w:r>
      <w:r>
        <w:rPr>
          <w:rFonts w:ascii="仿宋_GB2312" w:hAnsi="宋体" w:eastAsia="仿宋" w:cs="仿宋_GB2312"/>
          <w:sz w:val="32"/>
          <w:szCs w:val="28"/>
          <w:lang w:bidi="ar"/>
        </w:rPr>
        <w:t>.</w:t>
      </w:r>
      <w:r>
        <w:rPr>
          <w:rFonts w:hint="eastAsia" w:ascii="仿宋_GB2312" w:hAnsi="宋体" w:eastAsia="仿宋" w:cs="仿宋_GB2312"/>
          <w:sz w:val="32"/>
          <w:szCs w:val="28"/>
          <w:lang w:bidi="ar"/>
        </w:rPr>
        <w:t>91万元。</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2、</w:t>
      </w:r>
      <w:r>
        <w:rPr>
          <w:rFonts w:hint="eastAsia" w:ascii="仿宋_GB2312" w:hAnsi="宋体" w:eastAsia="仿宋" w:cs="仿宋_GB2312"/>
          <w:bCs/>
          <w:sz w:val="32"/>
          <w:szCs w:val="28"/>
          <w:lang w:bidi="ar"/>
        </w:rPr>
        <w:tab/>
      </w:r>
      <w:r>
        <w:rPr>
          <w:rFonts w:hint="eastAsia" w:ascii="仿宋_GB2312" w:hAnsi="宋体" w:eastAsia="仿宋" w:cs="仿宋_GB2312"/>
          <w:bCs/>
          <w:sz w:val="32"/>
          <w:szCs w:val="28"/>
          <w:lang w:bidi="ar"/>
        </w:rPr>
        <w:t>未按照招标文件或中标通知书规定时间签订合同、在中标通知书发出之前签订合同</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市住建局城市设计项目、马尔康市教育局采购第四小学会议室办公设备及学生生活设备项目、马尔康市公用事业管理局2018年第四批新增地方政府债券资金（2018年新型城镇化建设）项目、梭磨乡乡村振兴资金-梭磨乡毛木初村圈舍建设工程。</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3、未按照招投标核准意见规定招标</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涉及项目：市交通局跨河大桥项目、马尔康市教育局向木尔宗乡中心校教师周转宿舍建设项目。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4、实际开工时间早于监理开工令发出时间</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涉及项目：市交通局党坝乡地拉秋村跨河大桥项目。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5、</w:t>
      </w:r>
      <w:r>
        <w:rPr>
          <w:rFonts w:hint="eastAsia" w:ascii="仿宋_GB2312" w:hAnsi="宋体" w:eastAsia="仿宋" w:cs="仿宋_GB2312"/>
          <w:bCs/>
          <w:sz w:val="32"/>
          <w:szCs w:val="28"/>
          <w:lang w:bidi="ar"/>
        </w:rPr>
        <w:tab/>
      </w:r>
      <w:r>
        <w:rPr>
          <w:rFonts w:hint="eastAsia" w:ascii="仿宋_GB2312" w:hAnsi="宋体" w:eastAsia="仿宋" w:cs="仿宋_GB2312"/>
          <w:bCs/>
          <w:sz w:val="32"/>
          <w:szCs w:val="28"/>
          <w:lang w:bidi="ar"/>
        </w:rPr>
        <w:t>项目未按预期进度完工</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涉及项目：阿底村防洪堤综合治理工程、马尔康市融媒体中心建设建设项目。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6、合同签订不规范，如：合同签订时间在项目实施之后、合同内容前后矛盾、合同签订时间晚于项目开始日期、</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市自然资源局地质灾害综合防治体系建设避险搬迁安置项目、中共马尔康市委员会宣传部市融媒体中心建设项目、马尔康市教育局向木尔宗乡中心校教师周转宿舍建设项目、马尔康市住建局城市设计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7、合同在采购完成后签订</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涉及项目：中共马尔康市委员会宣传部2019年第八届嘉绒锅庄文化旅游节项目。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8、项目验收手续不全</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涉及项目：中共马尔康市委员会宣传部第八届加绒锅庄文化旅游节项目、马尔康市公用事业管理局2018年第四批新增地方政府债券资金（2018年新型城镇化建设）项目。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9、项目完工后未及时正常运营，项目效果一般</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涉及项目：马尔康嘉绒投资有限责任公司松岗天街配套基础设施建设项目。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0</w:t>
      </w:r>
      <w:r>
        <w:rPr>
          <w:rFonts w:hint="eastAsia" w:ascii="仿宋_GB2312" w:hAnsi="宋体" w:eastAsia="仿宋" w:cs="仿宋_GB2312"/>
          <w:bCs/>
          <w:sz w:val="32"/>
          <w:szCs w:val="28"/>
          <w:lang w:bidi="ar"/>
        </w:rPr>
        <w:t>、项目投资履行变更程序滞后</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涉及项目：马尔康嘉绒投资公司松岗天街配套基础设施建设项目。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1</w:t>
      </w:r>
      <w:r>
        <w:rPr>
          <w:rFonts w:hint="eastAsia" w:ascii="仿宋_GB2312" w:hAnsi="宋体" w:eastAsia="仿宋" w:cs="仿宋_GB2312"/>
          <w:bCs/>
          <w:sz w:val="32"/>
          <w:szCs w:val="28"/>
          <w:lang w:bidi="ar"/>
        </w:rPr>
        <w:t>、审批签字手续不全</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涉及项目：住建局阿底村防洪堤项目、中共马尔康市委员会宣传部第八届嘉绒锅庄文化旅游节项目、马尔康嘉绒投资公司松岗柯盘天街配套基础设施建设及景区打造项目。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2</w:t>
      </w:r>
      <w:r>
        <w:rPr>
          <w:rFonts w:hint="eastAsia" w:ascii="仿宋_GB2312" w:hAnsi="宋体" w:eastAsia="仿宋" w:cs="仿宋_GB2312"/>
          <w:bCs/>
          <w:sz w:val="32"/>
          <w:szCs w:val="28"/>
          <w:lang w:bidi="ar"/>
        </w:rPr>
        <w:t>、项目报销发票抬头非本单位、发票未盖章</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涉及项目：中共马尔康市委员会宣传部第八届嘉绒锅庄文化旅游节项目。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3</w:t>
      </w:r>
      <w:r>
        <w:rPr>
          <w:rFonts w:hint="eastAsia" w:ascii="仿宋_GB2312" w:hAnsi="宋体" w:eastAsia="仿宋" w:cs="仿宋_GB2312"/>
          <w:bCs/>
          <w:sz w:val="32"/>
          <w:szCs w:val="28"/>
          <w:lang w:bidi="ar"/>
        </w:rPr>
        <w:t>、未按合同约定扣工程质保金</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涉及项目：梭磨乡人民政府2019年乡村振兴资金-毛木初村村容村貌提升工程。</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4</w:t>
      </w:r>
      <w:r>
        <w:rPr>
          <w:rFonts w:hint="eastAsia" w:ascii="仿宋_GB2312" w:hAnsi="宋体" w:eastAsia="仿宋" w:cs="仿宋_GB2312"/>
          <w:bCs/>
          <w:sz w:val="32"/>
          <w:szCs w:val="28"/>
          <w:lang w:bidi="ar"/>
        </w:rPr>
        <w:t>、项目完成质量不达标</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涉及项目：市林草局重要道路绿化及城区绿化提升项目。</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5</w:t>
      </w:r>
      <w:r>
        <w:rPr>
          <w:rFonts w:hint="eastAsia" w:ascii="仿宋_GB2312" w:hAnsi="宋体" w:eastAsia="仿宋" w:cs="仿宋_GB2312"/>
          <w:bCs/>
          <w:sz w:val="32"/>
          <w:szCs w:val="28"/>
          <w:lang w:bidi="ar"/>
        </w:rPr>
        <w:t>、项目资金分配未体现资金性质，分配不合理</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涉及项目：市林草局重要道路绿化及城区绿化提升项目。</w:t>
      </w:r>
    </w:p>
    <w:p>
      <w:pPr>
        <w:spacing w:line="560" w:lineRule="exact"/>
        <w:ind w:firstLine="562"/>
        <w:rPr>
          <w:rFonts w:hint="eastAsia" w:ascii="仿宋_GB2312" w:hAnsi="宋体" w:eastAsia="仿宋" w:cs="仿宋_GB2312"/>
          <w:bCs/>
          <w:sz w:val="32"/>
          <w:szCs w:val="28"/>
          <w:lang w:bidi="ar"/>
        </w:rPr>
      </w:pPr>
      <w:r>
        <w:rPr>
          <w:rFonts w:ascii="仿宋_GB2312" w:hAnsi="宋体" w:eastAsia="仿宋" w:cs="仿宋_GB2312"/>
          <w:bCs/>
          <w:sz w:val="32"/>
          <w:szCs w:val="28"/>
          <w:lang w:bidi="ar"/>
        </w:rPr>
        <w:t>16</w:t>
      </w:r>
      <w:r>
        <w:rPr>
          <w:rFonts w:hint="eastAsia" w:ascii="仿宋_GB2312" w:hAnsi="宋体" w:eastAsia="仿宋" w:cs="仿宋_GB2312"/>
          <w:bCs/>
          <w:sz w:val="32"/>
          <w:szCs w:val="28"/>
          <w:lang w:bidi="ar"/>
        </w:rPr>
        <w:t>、项目完工验收无对工程量的验收，无法核实完工工程量与实施方案批复内容相符</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涉及项目：乡村振兴项目。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7</w:t>
      </w:r>
      <w:r>
        <w:rPr>
          <w:rFonts w:hint="eastAsia" w:ascii="仿宋_GB2312" w:hAnsi="宋体" w:eastAsia="仿宋" w:cs="仿宋_GB2312"/>
          <w:bCs/>
          <w:sz w:val="32"/>
          <w:szCs w:val="28"/>
          <w:lang w:bidi="ar"/>
        </w:rPr>
        <w:t>、未进行可行性论证</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涉及项目：市交通局党坝乡地拉秋村跨河大桥、梭磨乡人民政府乡村振兴项目-毛木初村污水管网改造项目。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8</w:t>
      </w:r>
      <w:r>
        <w:rPr>
          <w:rFonts w:hint="eastAsia" w:ascii="仿宋_GB2312" w:hAnsi="宋体" w:eastAsia="仿宋" w:cs="仿宋_GB2312"/>
          <w:bCs/>
          <w:sz w:val="32"/>
          <w:szCs w:val="28"/>
          <w:lang w:bidi="ar"/>
        </w:rPr>
        <w:t>、项目实施前未设置绩效目标</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松岗天街配套基础设施建设项目、马尔康市融媒体中心建设建设项目、2019年革命老区转移支付项目、市文体旅局松岗镇松岗村旅游综合服务设施项目、松岗柯盘天街景区标识标牌制作和安装项目、市发改局粮食低温库项目、市公服中心夜景照明工程、马尔康市公用事业管理局2018年第四批新增地方政府债券资金（2018年新型城镇化建设）项目、市住建局城市设计项目、市林草局重要道路绿化及城区绿化提升项目、乡村振兴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9</w:t>
      </w:r>
      <w:r>
        <w:rPr>
          <w:rFonts w:hint="eastAsia" w:ascii="仿宋_GB2312" w:hAnsi="宋体" w:eastAsia="仿宋" w:cs="仿宋_GB2312"/>
          <w:bCs/>
          <w:sz w:val="32"/>
          <w:szCs w:val="28"/>
          <w:lang w:bidi="ar"/>
        </w:rPr>
        <w:t>、</w:t>
      </w:r>
      <w:r>
        <w:rPr>
          <w:rFonts w:hint="eastAsia" w:ascii="仿宋_GB2312" w:hAnsi="宋体" w:eastAsia="仿宋" w:cs="仿宋_GB2312"/>
          <w:bCs/>
          <w:sz w:val="32"/>
          <w:szCs w:val="28"/>
          <w:lang w:bidi="ar"/>
        </w:rPr>
        <w:tab/>
      </w:r>
      <w:r>
        <w:rPr>
          <w:rFonts w:hint="eastAsia" w:ascii="仿宋_GB2312" w:hAnsi="宋体" w:eastAsia="仿宋" w:cs="仿宋_GB2312"/>
          <w:bCs/>
          <w:sz w:val="32"/>
          <w:szCs w:val="28"/>
          <w:lang w:bidi="ar"/>
        </w:rPr>
        <w:t>项目实施进度缓慢，资金使用不及时</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市自然资源局2019年地质灾害综合防治体系建设项目、、卓克基人民政府2019年革命老区转移支付项目、松岗柯盘天街景区标识标牌制作和安装项目、市交通局彩票公益金项目、市农牧局草原防灭火项目、市公安局看守拘留所建设项目、市发改局粮食低温储备库建设项目、马尔康市教育局木尔宗乡中心校教师周转房建设项目、市住建局城市设计项目、马尔康市人民医院热水系统（太阳能）项目、松岗天街配套基础设施建设项目、乡村振兴项目-马尔康市松岗村、直波村生活污水处理厂及配套管网建设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2</w:t>
      </w:r>
      <w:r>
        <w:rPr>
          <w:rFonts w:ascii="仿宋_GB2312" w:hAnsi="宋体" w:eastAsia="仿宋" w:cs="仿宋_GB2312"/>
          <w:bCs/>
          <w:sz w:val="32"/>
          <w:szCs w:val="28"/>
          <w:lang w:bidi="ar"/>
        </w:rPr>
        <w:t>0</w:t>
      </w:r>
      <w:r>
        <w:rPr>
          <w:rFonts w:hint="eastAsia" w:ascii="仿宋_GB2312" w:hAnsi="宋体" w:eastAsia="仿宋" w:cs="仿宋_GB2312"/>
          <w:bCs/>
          <w:sz w:val="32"/>
          <w:szCs w:val="28"/>
          <w:lang w:bidi="ar"/>
        </w:rPr>
        <w:t>、违规将施工单位质保金转入单位开设账户</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涉及项目：市文体旅局松岗柯盘天街景区标识标牌制作和安装项目。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2</w:t>
      </w:r>
      <w:r>
        <w:rPr>
          <w:rFonts w:ascii="仿宋_GB2312" w:hAnsi="宋体" w:eastAsia="仿宋" w:cs="仿宋_GB2312"/>
          <w:bCs/>
          <w:sz w:val="32"/>
          <w:szCs w:val="28"/>
          <w:lang w:bidi="ar"/>
        </w:rPr>
        <w:t>1</w:t>
      </w:r>
      <w:r>
        <w:rPr>
          <w:rFonts w:hint="eastAsia" w:ascii="仿宋_GB2312" w:hAnsi="宋体" w:eastAsia="仿宋" w:cs="仿宋_GB2312"/>
          <w:bCs/>
          <w:sz w:val="32"/>
          <w:szCs w:val="28"/>
          <w:lang w:bidi="ar"/>
        </w:rPr>
        <w:t>、项目资料保管不善</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涉及项目：市文体旅局松岗镇松岗村旅游综合服务设施项目-松岗村村容村貌提升及文化创意打造采购项目。</w:t>
      </w:r>
    </w:p>
    <w:p>
      <w:pPr>
        <w:pStyle w:val="40"/>
        <w:spacing w:before="156" w:after="156" w:line="560" w:lineRule="exact"/>
        <w:ind w:firstLine="640"/>
        <w:rPr>
          <w:rFonts w:eastAsia="仿宋"/>
          <w:b w:val="0"/>
          <w:color w:val="auto"/>
          <w:sz w:val="32"/>
        </w:rPr>
      </w:pPr>
      <w:r>
        <w:rPr>
          <w:rFonts w:hint="eastAsia" w:eastAsia="仿宋"/>
          <w:b w:val="0"/>
          <w:color w:val="auto"/>
          <w:sz w:val="32"/>
        </w:rPr>
        <w:t>2、部门整体支出</w:t>
      </w:r>
      <w:bookmarkEnd w:id="52"/>
    </w:p>
    <w:p>
      <w:pPr>
        <w:pStyle w:val="40"/>
        <w:spacing w:before="156" w:after="156" w:line="560" w:lineRule="exact"/>
        <w:ind w:firstLine="640"/>
        <w:rPr>
          <w:rFonts w:ascii="仿宋_GB2312" w:hAnsi="仿宋_GB2312" w:eastAsia="仿宋" w:cs="仿宋_GB2312"/>
          <w:b w:val="0"/>
          <w:color w:val="auto"/>
          <w:sz w:val="32"/>
          <w:szCs w:val="28"/>
        </w:rPr>
      </w:pPr>
      <w:bookmarkStart w:id="53" w:name="_Toc22138"/>
      <w:bookmarkStart w:id="54" w:name="_Hlk57767841"/>
      <w:r>
        <w:rPr>
          <w:rFonts w:hint="eastAsia" w:ascii="仿宋_GB2312" w:hAnsi="仿宋_GB2312" w:eastAsia="仿宋" w:cs="仿宋_GB2312"/>
          <w:b w:val="0"/>
          <w:color w:val="auto"/>
          <w:sz w:val="32"/>
          <w:szCs w:val="28"/>
        </w:rPr>
        <w:t>——预算编制不准确</w:t>
      </w:r>
      <w:bookmarkEnd w:id="53"/>
    </w:p>
    <w:p>
      <w:pPr>
        <w:spacing w:line="560" w:lineRule="exact"/>
        <w:ind w:firstLine="562"/>
        <w:rPr>
          <w:rFonts w:ascii="仿宋_GB2312" w:hAnsi="宋体" w:eastAsia="仿宋" w:cs="仿宋_GB2312"/>
          <w:sz w:val="32"/>
          <w:szCs w:val="28"/>
          <w:lang w:bidi="ar"/>
        </w:rPr>
      </w:pPr>
      <w:r>
        <w:rPr>
          <w:rFonts w:hint="eastAsia" w:ascii="仿宋_GB2312" w:hAnsi="宋体" w:eastAsia="仿宋" w:cs="宋体"/>
          <w:bCs/>
          <w:sz w:val="32"/>
          <w:szCs w:val="28"/>
          <w:shd w:val="clear" w:color="auto" w:fill="FFFFFF"/>
        </w:rPr>
        <w:t>涉及部门：</w:t>
      </w:r>
      <w:r>
        <w:rPr>
          <w:rFonts w:hint="eastAsia" w:ascii="仿宋_GB2312" w:hAnsi="宋体" w:eastAsia="仿宋" w:cs="仿宋_GB2312"/>
          <w:sz w:val="32"/>
          <w:szCs w:val="28"/>
          <w:lang w:bidi="ar"/>
        </w:rPr>
        <w:t>马尔康市人民法院、马尔康市生态环境局、马尔康市经信局、马尔康市住房和城乡建设局、马尔康市卫生和健康局、马尔康市林业和草原局、马尔康市松岗镇人民政府、马尔康市人民检察院</w:t>
      </w: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bCs/>
          <w:sz w:val="32"/>
          <w:szCs w:val="28"/>
          <w:lang w:bidi="ar"/>
        </w:rPr>
        <w:t>我们的意见和建议：</w:t>
      </w:r>
      <w:r>
        <w:rPr>
          <w:rFonts w:hint="eastAsia" w:ascii="仿宋_GB2312" w:hAnsi="宋体" w:eastAsia="仿宋" w:cs="仿宋_GB2312"/>
          <w:sz w:val="32"/>
          <w:szCs w:val="28"/>
          <w:lang w:bidi="ar"/>
        </w:rPr>
        <w:t>建议被评价单位强化预算约束、建立节约意识、从严从紧编制预算、实事求是、精打细算、合理安排资金。</w:t>
      </w:r>
    </w:p>
    <w:p>
      <w:pPr>
        <w:pStyle w:val="40"/>
        <w:spacing w:before="156" w:after="156" w:line="560" w:lineRule="exact"/>
        <w:ind w:firstLine="640"/>
        <w:rPr>
          <w:rFonts w:ascii="仿宋_GB2312" w:hAnsi="仿宋_GB2312" w:eastAsia="仿宋" w:cs="仿宋_GB2312"/>
          <w:b w:val="0"/>
          <w:color w:val="auto"/>
          <w:sz w:val="32"/>
          <w:szCs w:val="28"/>
        </w:rPr>
      </w:pPr>
      <w:bookmarkStart w:id="55" w:name="_Toc18632"/>
      <w:r>
        <w:rPr>
          <w:rFonts w:hint="eastAsia" w:ascii="仿宋_GB2312" w:hAnsi="仿宋_GB2312" w:eastAsia="仿宋" w:cs="仿宋_GB2312"/>
          <w:b w:val="0"/>
          <w:color w:val="auto"/>
          <w:sz w:val="32"/>
          <w:szCs w:val="28"/>
        </w:rPr>
        <w:t>——三公经费超预算</w:t>
      </w:r>
      <w:bookmarkEnd w:id="55"/>
    </w:p>
    <w:p>
      <w:pPr>
        <w:spacing w:line="560" w:lineRule="exact"/>
        <w:ind w:firstLine="562"/>
        <w:rPr>
          <w:rFonts w:ascii="仿宋_GB2312" w:hAnsi="宋体" w:eastAsia="仿宋" w:cs="仿宋_GB2312"/>
          <w:sz w:val="32"/>
          <w:szCs w:val="28"/>
          <w:lang w:bidi="ar"/>
        </w:rPr>
      </w:pPr>
      <w:r>
        <w:rPr>
          <w:rFonts w:hint="eastAsia" w:ascii="仿宋_GB2312" w:hAnsi="宋体" w:eastAsia="仿宋" w:cs="宋体"/>
          <w:bCs/>
          <w:sz w:val="32"/>
          <w:szCs w:val="28"/>
          <w:shd w:val="clear" w:color="auto" w:fill="FFFFFF"/>
        </w:rPr>
        <w:t>涉及部门：</w:t>
      </w:r>
      <w:r>
        <w:rPr>
          <w:rFonts w:hint="eastAsia" w:ascii="仿宋_GB2312" w:hAnsi="宋体" w:eastAsia="仿宋" w:cs="仿宋_GB2312"/>
          <w:sz w:val="32"/>
          <w:szCs w:val="28"/>
          <w:lang w:bidi="ar"/>
        </w:rPr>
        <w:t>马尔康市自然资源局、马尔康市经济商务和信息化局、马尔康市公共服务中心</w:t>
      </w: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bCs/>
          <w:sz w:val="32"/>
          <w:szCs w:val="28"/>
          <w:lang w:bidi="ar"/>
        </w:rPr>
        <w:t>我们的意见和建议：</w:t>
      </w:r>
      <w:r>
        <w:rPr>
          <w:rFonts w:hint="eastAsia" w:ascii="仿宋_GB2312" w:hAnsi="宋体" w:eastAsia="仿宋" w:cs="仿宋_GB2312"/>
          <w:sz w:val="32"/>
          <w:szCs w:val="28"/>
          <w:lang w:bidi="ar"/>
        </w:rPr>
        <w:t>被评价单位应严格执行“三公经费”预算；加强财务人员坚持原则的意识，对不符合规定的支出坚决不予报销。</w:t>
      </w:r>
    </w:p>
    <w:p>
      <w:pPr>
        <w:pStyle w:val="40"/>
        <w:spacing w:before="156" w:after="156" w:line="560" w:lineRule="exact"/>
        <w:ind w:firstLine="640"/>
        <w:rPr>
          <w:rFonts w:hint="eastAsia" w:ascii="仿宋_GB2312" w:hAnsi="仿宋_GB2312" w:eastAsia="仿宋" w:cs="仿宋_GB2312"/>
          <w:b w:val="0"/>
          <w:color w:val="auto"/>
          <w:sz w:val="32"/>
          <w:szCs w:val="28"/>
        </w:rPr>
      </w:pPr>
      <w:bookmarkStart w:id="56" w:name="_Toc18954"/>
      <w:r>
        <w:rPr>
          <w:rFonts w:hint="eastAsia" w:ascii="仿宋_GB2312" w:hAnsi="仿宋_GB2312" w:eastAsia="仿宋" w:cs="仿宋_GB2312"/>
          <w:b w:val="0"/>
          <w:color w:val="auto"/>
          <w:sz w:val="32"/>
          <w:szCs w:val="28"/>
        </w:rPr>
        <w:t>——账簿数据与资产报表数据不符</w:t>
      </w:r>
      <w:bookmarkEnd w:id="56"/>
    </w:p>
    <w:p>
      <w:pPr>
        <w:spacing w:line="560" w:lineRule="exact"/>
        <w:ind w:firstLine="562"/>
        <w:rPr>
          <w:rFonts w:ascii="仿宋_GB2312" w:hAnsi="宋体" w:eastAsia="仿宋" w:cs="仿宋_GB2312"/>
          <w:sz w:val="32"/>
          <w:szCs w:val="28"/>
          <w:lang w:bidi="ar"/>
        </w:rPr>
      </w:pPr>
      <w:r>
        <w:rPr>
          <w:rFonts w:hint="eastAsia" w:ascii="仿宋_GB2312" w:hAnsi="宋体" w:eastAsia="仿宋" w:cs="宋体"/>
          <w:bCs/>
          <w:sz w:val="32"/>
          <w:szCs w:val="28"/>
          <w:shd w:val="clear" w:color="auto" w:fill="FFFFFF"/>
        </w:rPr>
        <w:t>涉及部门：</w:t>
      </w:r>
      <w:r>
        <w:rPr>
          <w:rFonts w:hint="eastAsia" w:ascii="仿宋_GB2312" w:hAnsi="宋体" w:eastAsia="仿宋" w:cs="仿宋_GB2312"/>
          <w:sz w:val="32"/>
          <w:szCs w:val="28"/>
          <w:lang w:bidi="ar"/>
        </w:rPr>
        <w:t>马尔康市人民法院、马尔康市人民检察院、马尔康市应急管理局、马尔康市卫生健康局、马尔康市林业和草原局、马尔康市松岗镇人民政府</w:t>
      </w: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bCs/>
          <w:sz w:val="32"/>
          <w:szCs w:val="28"/>
          <w:lang w:bidi="ar"/>
        </w:rPr>
        <w:t>我们的意见和建议：</w:t>
      </w:r>
      <w:r>
        <w:rPr>
          <w:rFonts w:hint="eastAsia" w:ascii="仿宋_GB2312" w:hAnsi="宋体" w:eastAsia="仿宋" w:cs="仿宋_GB2312"/>
          <w:sz w:val="32"/>
          <w:szCs w:val="28"/>
          <w:lang w:bidi="ar"/>
        </w:rPr>
        <w:t>建议被评价单位将未登记入会计账簿的固定资产及时入账，确保账实相符。</w:t>
      </w:r>
    </w:p>
    <w:p>
      <w:pPr>
        <w:pStyle w:val="40"/>
        <w:spacing w:before="156" w:after="156" w:line="560" w:lineRule="exact"/>
        <w:ind w:firstLine="640"/>
        <w:rPr>
          <w:rFonts w:hint="eastAsia" w:ascii="仿宋_GB2312" w:hAnsi="仿宋_GB2312" w:eastAsia="仿宋" w:cs="仿宋_GB2312"/>
          <w:b w:val="0"/>
          <w:color w:val="auto"/>
          <w:sz w:val="32"/>
          <w:szCs w:val="28"/>
        </w:rPr>
      </w:pPr>
      <w:bookmarkStart w:id="57" w:name="_Toc32755"/>
      <w:r>
        <w:rPr>
          <w:rFonts w:hint="eastAsia" w:ascii="仿宋_GB2312" w:hAnsi="仿宋_GB2312" w:eastAsia="仿宋" w:cs="仿宋_GB2312"/>
          <w:b w:val="0"/>
          <w:color w:val="auto"/>
          <w:sz w:val="32"/>
          <w:szCs w:val="28"/>
        </w:rPr>
        <w:t>——</w:t>
      </w:r>
      <w:bookmarkEnd w:id="57"/>
      <w:r>
        <w:rPr>
          <w:rFonts w:hint="eastAsia" w:ascii="仿宋_GB2312" w:hAnsi="仿宋_GB2312" w:eastAsia="仿宋" w:cs="仿宋_GB2312"/>
          <w:b w:val="0"/>
          <w:color w:val="auto"/>
          <w:sz w:val="32"/>
          <w:szCs w:val="28"/>
        </w:rPr>
        <w:t>部门整体绩效目标未按照规定制定，要素未完善/绩效目标指标不完整</w:t>
      </w:r>
    </w:p>
    <w:p>
      <w:pPr>
        <w:spacing w:line="560" w:lineRule="exact"/>
        <w:ind w:firstLine="562"/>
        <w:rPr>
          <w:rFonts w:ascii="仿宋_GB2312" w:hAnsi="宋体" w:eastAsia="仿宋" w:cs="仿宋_GB2312"/>
          <w:sz w:val="32"/>
          <w:szCs w:val="28"/>
          <w:lang w:bidi="ar"/>
        </w:rPr>
      </w:pPr>
      <w:r>
        <w:rPr>
          <w:rFonts w:hint="eastAsia" w:ascii="仿宋_GB2312" w:hAnsi="宋体" w:eastAsia="仿宋" w:cs="宋体"/>
          <w:bCs/>
          <w:sz w:val="32"/>
          <w:szCs w:val="28"/>
          <w:shd w:val="clear" w:color="auto" w:fill="FFFFFF"/>
        </w:rPr>
        <w:t>涉及部门：</w:t>
      </w:r>
      <w:r>
        <w:rPr>
          <w:rFonts w:hint="eastAsia" w:ascii="仿宋_GB2312" w:hAnsi="宋体" w:eastAsia="仿宋" w:cs="仿宋_GB2312"/>
          <w:sz w:val="32"/>
          <w:szCs w:val="28"/>
          <w:lang w:bidi="ar"/>
        </w:rPr>
        <w:t>马尔康市住房和城乡建设局、马尔康市人民检察院、马尔康市应急管理局、马尔康市松岗镇人民政府、马尔康市机关事务管理局、马尔康市公务服务中心、马尔康市卫生健康局、马尔康市林业和草原局</w:t>
      </w:r>
    </w:p>
    <w:p>
      <w:pPr>
        <w:spacing w:line="560" w:lineRule="exact"/>
        <w:ind w:firstLine="562"/>
        <w:rPr>
          <w:rFonts w:ascii="仿宋_GB2312" w:hAnsi="宋体" w:eastAsia="仿宋" w:cs="仿宋_GB2312"/>
          <w:sz w:val="32"/>
          <w:szCs w:val="28"/>
          <w:lang w:bidi="ar"/>
        </w:rPr>
      </w:pPr>
      <w:r>
        <w:rPr>
          <w:rFonts w:hint="eastAsia" w:ascii="仿宋_GB2312" w:hAnsi="宋体" w:eastAsia="仿宋" w:cs="仿宋_GB2312"/>
          <w:bCs/>
          <w:sz w:val="32"/>
          <w:szCs w:val="28"/>
          <w:lang w:bidi="ar"/>
        </w:rPr>
        <w:t>我们的意见和建议：</w:t>
      </w:r>
      <w:r>
        <w:rPr>
          <w:rFonts w:hint="eastAsia" w:ascii="仿宋_GB2312" w:hAnsi="宋体" w:eastAsia="仿宋" w:cs="仿宋_GB2312"/>
          <w:sz w:val="32"/>
          <w:szCs w:val="28"/>
          <w:lang w:bidi="ar"/>
        </w:rPr>
        <w:t>建议被评价单位及时将本单位</w:t>
      </w:r>
      <w:r>
        <w:rPr>
          <w:rFonts w:ascii="仿宋_GB2312" w:hAnsi="宋体" w:eastAsia="仿宋" w:cs="仿宋_GB2312"/>
          <w:sz w:val="32"/>
          <w:szCs w:val="28"/>
          <w:lang w:bidi="ar"/>
        </w:rPr>
        <w:t>行政</w:t>
      </w:r>
      <w:r>
        <w:rPr>
          <w:rFonts w:hint="eastAsia" w:ascii="仿宋_GB2312" w:hAnsi="宋体" w:eastAsia="仿宋" w:cs="仿宋_GB2312"/>
          <w:sz w:val="32"/>
          <w:szCs w:val="28"/>
          <w:lang w:bidi="ar"/>
        </w:rPr>
        <w:t>事业</w:t>
      </w:r>
      <w:r>
        <w:rPr>
          <w:rFonts w:ascii="仿宋_GB2312" w:hAnsi="宋体" w:eastAsia="仿宋" w:cs="仿宋_GB2312"/>
          <w:sz w:val="32"/>
          <w:szCs w:val="28"/>
          <w:lang w:bidi="ar"/>
        </w:rPr>
        <w:t>单位资产报表</w:t>
      </w:r>
      <w:r>
        <w:rPr>
          <w:rFonts w:hint="eastAsia" w:ascii="仿宋_GB2312" w:hAnsi="宋体" w:eastAsia="仿宋" w:cs="仿宋_GB2312"/>
          <w:sz w:val="32"/>
          <w:szCs w:val="28"/>
          <w:lang w:bidi="ar"/>
        </w:rPr>
        <w:t>上报至财政。</w:t>
      </w:r>
    </w:p>
    <w:p>
      <w:pPr>
        <w:spacing w:line="560" w:lineRule="exact"/>
        <w:ind w:firstLine="560"/>
        <w:rPr>
          <w:rFonts w:ascii="仿宋_GB2312" w:hAnsi="仿宋_GB2312" w:eastAsia="仿宋" w:cs="仿宋_GB2312"/>
          <w:bCs/>
          <w:sz w:val="32"/>
          <w:szCs w:val="28"/>
        </w:rPr>
      </w:pPr>
      <w:r>
        <w:rPr>
          <w:rFonts w:hint="eastAsia" w:ascii="仿宋_GB2312" w:hAnsi="宋体" w:eastAsia="仿宋" w:cs="仿宋_GB2312"/>
          <w:sz w:val="32"/>
          <w:szCs w:val="28"/>
          <w:lang w:bidi="ar"/>
        </w:rPr>
        <w:t>——</w:t>
      </w:r>
      <w:r>
        <w:rPr>
          <w:rFonts w:hint="eastAsia" w:ascii="仿宋_GB2312" w:hAnsi="仿宋_GB2312" w:eastAsia="仿宋" w:cs="仿宋_GB2312"/>
          <w:bCs/>
          <w:sz w:val="32"/>
          <w:szCs w:val="28"/>
        </w:rPr>
        <w:t>部门整体预算公开不完整、不准确</w:t>
      </w:r>
    </w:p>
    <w:p>
      <w:pPr>
        <w:spacing w:line="560" w:lineRule="exact"/>
        <w:ind w:firstLine="562"/>
        <w:rPr>
          <w:rFonts w:ascii="仿宋_GB2312" w:hAnsi="宋体" w:eastAsia="仿宋" w:cs="仿宋_GB2312"/>
          <w:sz w:val="32"/>
          <w:szCs w:val="28"/>
          <w:lang w:bidi="ar"/>
        </w:rPr>
      </w:pPr>
      <w:r>
        <w:rPr>
          <w:rFonts w:hint="eastAsia" w:ascii="仿宋_GB2312" w:hAnsi="宋体" w:eastAsia="仿宋" w:cs="宋体"/>
          <w:bCs/>
          <w:sz w:val="32"/>
          <w:szCs w:val="28"/>
          <w:shd w:val="clear" w:color="auto" w:fill="FFFFFF"/>
        </w:rPr>
        <w:t>涉及部门：</w:t>
      </w:r>
      <w:r>
        <w:rPr>
          <w:rFonts w:hint="eastAsia" w:ascii="仿宋_GB2312" w:hAnsi="宋体" w:eastAsia="仿宋" w:cs="仿宋_GB2312"/>
          <w:sz w:val="32"/>
          <w:szCs w:val="28"/>
          <w:lang w:bidi="ar"/>
        </w:rPr>
        <w:t>马尔康市卫生健康局、马尔康市自然资源局</w:t>
      </w: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bCs/>
          <w:sz w:val="32"/>
          <w:szCs w:val="28"/>
          <w:lang w:bidi="ar"/>
        </w:rPr>
        <w:t>我们的意见和建议：</w:t>
      </w:r>
      <w:r>
        <w:rPr>
          <w:rFonts w:hint="eastAsia" w:ascii="仿宋_GB2312" w:hAnsi="宋体" w:eastAsia="仿宋" w:cs="仿宋_GB2312"/>
          <w:sz w:val="32"/>
          <w:szCs w:val="28"/>
          <w:lang w:bidi="ar"/>
        </w:rPr>
        <w:t>建议被评价单位严格按照</w:t>
      </w:r>
      <w:r>
        <w:rPr>
          <w:rFonts w:ascii="仿宋_GB2312" w:hAnsi="宋体" w:eastAsia="仿宋" w:cs="仿宋_GB2312"/>
          <w:sz w:val="32"/>
          <w:szCs w:val="28"/>
          <w:lang w:bidi="ar"/>
        </w:rPr>
        <w:t>《中华人民共和国预算法》</w:t>
      </w:r>
      <w:r>
        <w:rPr>
          <w:rFonts w:hint="eastAsia" w:ascii="仿宋_GB2312" w:hAnsi="宋体" w:eastAsia="仿宋" w:cs="仿宋_GB2312"/>
          <w:sz w:val="32"/>
          <w:szCs w:val="28"/>
          <w:lang w:bidi="ar"/>
        </w:rPr>
        <w:t>的要求公开预算信息。</w:t>
      </w:r>
    </w:p>
    <w:p>
      <w:pPr>
        <w:pStyle w:val="2"/>
        <w:spacing w:before="156" w:after="156" w:line="560" w:lineRule="exact"/>
        <w:ind w:firstLine="640"/>
        <w:rPr>
          <w:rFonts w:hint="eastAsia" w:eastAsia="仿宋"/>
          <w:b w:val="0"/>
          <w:sz w:val="32"/>
          <w:szCs w:val="30"/>
        </w:rPr>
      </w:pPr>
      <w:bookmarkStart w:id="58" w:name="_Toc17317"/>
      <w:r>
        <w:rPr>
          <w:rFonts w:hint="eastAsia" w:ascii="仿宋_GB2312" w:hAnsi="仿宋_GB2312" w:eastAsia="仿宋" w:cs="仿宋_GB2312"/>
          <w:b w:val="0"/>
          <w:sz w:val="32"/>
          <w:szCs w:val="28"/>
        </w:rPr>
        <w:t>——</w:t>
      </w:r>
      <w:r>
        <w:rPr>
          <w:rFonts w:hint="eastAsia" w:eastAsia="仿宋"/>
          <w:b w:val="0"/>
          <w:sz w:val="32"/>
          <w:szCs w:val="30"/>
        </w:rPr>
        <w:t>其他需要说明的情况</w:t>
      </w:r>
      <w:bookmarkEnd w:id="58"/>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（1）政府采购未履行</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涉及部门：马尔康市融媒体中心</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（2）业务流程制度不完善</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涉及部门：马尔康市融媒体中心</w:t>
      </w: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我们的意见和建议：建议被评价单位按照部门职能及时制定业务流程相关规章制度，进一步规范业务流程管理。</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（3）资产管理——</w:t>
      </w:r>
      <w:r>
        <w:rPr>
          <w:rFonts w:hint="eastAsia" w:ascii="仿宋_GB2312" w:hAnsi="宋体" w:eastAsia="仿宋" w:cs="仿宋_GB2312"/>
          <w:sz w:val="32"/>
          <w:szCs w:val="28"/>
          <w:lang w:bidi="ar"/>
        </w:rPr>
        <w:t>物资采购未经签字验收</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涉及部门：马尔康市融媒体中心、马尔康市公共服务中心、马尔康市人民检察院、马尔康市卫生健康局</w:t>
      </w: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我们的意见和建议：建议被评价单位完善验收手续，保证帐物相符，防止盲目采购，避免物资短缺和流失。</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（4）出差审批签字手续滞后/不规范</w:t>
      </w:r>
    </w:p>
    <w:p>
      <w:pPr>
        <w:spacing w:line="560" w:lineRule="exact"/>
        <w:ind w:firstLine="560"/>
        <w:rPr>
          <w:rFonts w:hint="eastAsia" w:ascii="仿宋_GB2312" w:hAnsi="仿宋_GB2312" w:eastAsia="仿宋" w:cs="仿宋_GB2312"/>
          <w:bCs/>
          <w:sz w:val="32"/>
          <w:szCs w:val="28"/>
        </w:rPr>
      </w:pPr>
      <w:r>
        <w:rPr>
          <w:rFonts w:hint="eastAsia" w:ascii="仿宋_GB2312" w:hAnsi="宋体" w:eastAsia="仿宋" w:cs="仿宋_GB2312"/>
          <w:sz w:val="32"/>
          <w:szCs w:val="28"/>
          <w:lang w:bidi="ar"/>
        </w:rPr>
        <w:t>涉及部门：</w:t>
      </w:r>
      <w:r>
        <w:rPr>
          <w:rFonts w:hint="eastAsia" w:ascii="仿宋_GB2312" w:hAnsi="仿宋_GB2312" w:eastAsia="仿宋" w:cs="仿宋_GB2312"/>
          <w:bCs/>
          <w:sz w:val="32"/>
          <w:szCs w:val="28"/>
        </w:rPr>
        <w:t>马尔康市人民法院、马尔康市自然资源局、马尔康市融媒体中心、马尔康市卫生健康局、马尔康市生态环境局</w:t>
      </w:r>
    </w:p>
    <w:p>
      <w:pPr>
        <w:spacing w:line="560" w:lineRule="exact"/>
        <w:ind w:firstLine="562"/>
        <w:rPr>
          <w:rFonts w:ascii="仿宋_GB2312" w:hAnsi="仿宋_GB2312" w:eastAsia="仿宋" w:cs="仿宋_GB2312"/>
          <w:bCs/>
          <w:sz w:val="32"/>
          <w:szCs w:val="28"/>
        </w:rPr>
      </w:pPr>
      <w:r>
        <w:rPr>
          <w:rFonts w:hint="eastAsia" w:ascii="仿宋_GB2312" w:hAnsi="宋体" w:eastAsia="仿宋" w:cs="仿宋_GB2312"/>
          <w:sz w:val="32"/>
          <w:szCs w:val="28"/>
          <w:lang w:bidi="ar"/>
        </w:rPr>
        <w:t>我们的意见和建议：建议被评价单位从严出差审批，</w:t>
      </w:r>
      <w:r>
        <w:rPr>
          <w:rFonts w:hint="eastAsia" w:ascii="仿宋_GB2312" w:hAnsi="仿宋_GB2312" w:eastAsia="仿宋" w:cs="仿宋_GB2312"/>
          <w:bCs/>
          <w:sz w:val="32"/>
          <w:szCs w:val="28"/>
        </w:rPr>
        <w:t>严格先审批、后出差的报批程序），从严控制出差人数和天数。</w:t>
      </w:r>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（5）</w:t>
      </w:r>
      <w:r>
        <w:rPr>
          <w:rFonts w:ascii="仿宋_GB2312" w:hAnsi="仿宋_GB2312" w:eastAsia="仿宋" w:cs="仿宋_GB2312"/>
          <w:bCs/>
          <w:sz w:val="32"/>
          <w:szCs w:val="28"/>
        </w:rPr>
        <w:t>公务接待不规范</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涉及部门：马尔康市人民法院、马尔康市公共服务中心、马尔康市应急管理局、马尔康市卫生健康局、马尔康市水务局、马尔康市松岗镇人民政府</w:t>
      </w:r>
    </w:p>
    <w:p>
      <w:pPr>
        <w:spacing w:line="560" w:lineRule="exact"/>
        <w:ind w:firstLine="562"/>
        <w:rPr>
          <w:rFonts w:ascii="仿宋_GB2312" w:hAnsi="宋体" w:eastAsia="仿宋" w:cs="仿宋_GB2312"/>
          <w:sz w:val="32"/>
          <w:szCs w:val="28"/>
          <w:lang w:bidi="ar"/>
        </w:rPr>
      </w:pPr>
      <w:r>
        <w:rPr>
          <w:rFonts w:hint="eastAsia" w:ascii="仿宋_GB2312" w:hAnsi="宋体" w:eastAsia="仿宋" w:cs="仿宋_GB2312"/>
          <w:sz w:val="32"/>
          <w:szCs w:val="28"/>
          <w:lang w:bidi="ar"/>
        </w:rPr>
        <w:t>我们的意见和建议：建议被评价单位按规定标准用餐并支付费用；严格实行“三单”审核入账制度。</w:t>
      </w:r>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（6）发票时间晚于实际支付日期</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涉及部门：马尔康市公共服务中心</w:t>
      </w:r>
    </w:p>
    <w:p>
      <w:pPr>
        <w:spacing w:line="560" w:lineRule="exact"/>
        <w:ind w:firstLine="562"/>
        <w:rPr>
          <w:rFonts w:ascii="仿宋_GB2312" w:hAnsi="仿宋_GB2312" w:eastAsia="仿宋" w:cs="仿宋_GB2312"/>
          <w:bCs/>
          <w:sz w:val="32"/>
          <w:szCs w:val="28"/>
        </w:rPr>
      </w:pPr>
      <w:r>
        <w:rPr>
          <w:rFonts w:hint="eastAsia" w:ascii="仿宋_GB2312" w:hAnsi="宋体" w:eastAsia="仿宋" w:cs="仿宋_GB2312"/>
          <w:sz w:val="32"/>
          <w:szCs w:val="28"/>
          <w:lang w:bidi="ar"/>
        </w:rPr>
        <w:t>我们的意见和建议：</w:t>
      </w:r>
      <w:r>
        <w:rPr>
          <w:rFonts w:hint="eastAsia" w:ascii="仿宋_GB2312" w:hAnsi="仿宋_GB2312" w:eastAsia="仿宋" w:cs="仿宋_GB2312"/>
          <w:bCs/>
          <w:sz w:val="32"/>
          <w:szCs w:val="28"/>
        </w:rPr>
        <w:t>建议被评价单位加强对原始凭证审核和监督，对记载不准确、不完整的原始凭证，予以退回，要求经办人员更正、补充。</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（7）未与供应商签订合同、供应商选择方式无记录的情况</w:t>
      </w:r>
    </w:p>
    <w:p>
      <w:pPr>
        <w:spacing w:line="560" w:lineRule="exact"/>
        <w:ind w:firstLine="562"/>
        <w:rPr>
          <w:rFonts w:ascii="仿宋_GB2312" w:hAnsi="仿宋_GB2312" w:eastAsia="仿宋" w:cs="仿宋_GB2312"/>
          <w:bCs/>
          <w:sz w:val="32"/>
          <w:szCs w:val="28"/>
        </w:rPr>
      </w:pPr>
      <w:r>
        <w:rPr>
          <w:rFonts w:hint="eastAsia" w:ascii="仿宋_GB2312" w:hAnsi="宋体" w:eastAsia="仿宋" w:cs="仿宋_GB2312"/>
          <w:sz w:val="32"/>
          <w:szCs w:val="28"/>
          <w:lang w:bidi="ar"/>
        </w:rPr>
        <w:t>涉及部门：马尔康市公共服务中心</w:t>
      </w:r>
    </w:p>
    <w:p>
      <w:pPr>
        <w:spacing w:line="560" w:lineRule="exact"/>
        <w:ind w:firstLine="562"/>
        <w:rPr>
          <w:rFonts w:ascii="仿宋_GB2312" w:hAnsi="宋体" w:eastAsia="仿宋" w:cs="仿宋_GB2312"/>
          <w:sz w:val="32"/>
          <w:szCs w:val="28"/>
          <w:lang w:bidi="ar"/>
        </w:rPr>
      </w:pPr>
      <w:r>
        <w:rPr>
          <w:rFonts w:hint="eastAsia" w:ascii="仿宋_GB2312" w:hAnsi="宋体" w:eastAsia="仿宋" w:cs="仿宋_GB2312"/>
          <w:sz w:val="32"/>
          <w:szCs w:val="28"/>
          <w:lang w:bidi="ar"/>
        </w:rPr>
        <w:t>我们的意见和建议：</w:t>
      </w:r>
      <w:r>
        <w:rPr>
          <w:rFonts w:hint="eastAsia" w:ascii="仿宋_GB2312" w:hAnsi="仿宋_GB2312" w:eastAsia="仿宋" w:cs="仿宋_GB2312"/>
          <w:bCs/>
          <w:sz w:val="32"/>
          <w:szCs w:val="28"/>
        </w:rPr>
        <w:t>建议被评价单位的</w:t>
      </w:r>
      <w:r>
        <w:rPr>
          <w:rFonts w:hint="eastAsia" w:ascii="仿宋_GB2312" w:hAnsi="仿宋_GB2312" w:eastAsia="仿宋" w:cs="仿宋_GB2312"/>
          <w:bCs/>
          <w:color w:val="FF0000"/>
          <w:sz w:val="32"/>
          <w:szCs w:val="28"/>
        </w:rPr>
        <w:t>支出应当签订相关合同或协议。</w:t>
      </w:r>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（8）签订合同清单金额与实际结算金额不一致</w:t>
      </w:r>
    </w:p>
    <w:p>
      <w:pPr>
        <w:spacing w:line="560" w:lineRule="exact"/>
        <w:ind w:firstLine="562"/>
        <w:rPr>
          <w:rFonts w:ascii="仿宋_GB2312" w:hAnsi="仿宋_GB2312" w:eastAsia="仿宋" w:cs="仿宋_GB2312"/>
          <w:bCs/>
          <w:sz w:val="32"/>
          <w:szCs w:val="28"/>
        </w:rPr>
      </w:pPr>
      <w:r>
        <w:rPr>
          <w:rFonts w:hint="eastAsia" w:ascii="仿宋_GB2312" w:hAnsi="宋体" w:eastAsia="仿宋" w:cs="仿宋_GB2312"/>
          <w:sz w:val="32"/>
          <w:szCs w:val="28"/>
          <w:lang w:bidi="ar"/>
        </w:rPr>
        <w:t>涉及部门</w:t>
      </w:r>
      <w:r>
        <w:rPr>
          <w:rFonts w:hint="eastAsia" w:ascii="仿宋_GB2312" w:hAnsi="仿宋_GB2312" w:eastAsia="仿宋" w:cs="仿宋_GB2312"/>
          <w:bCs/>
          <w:sz w:val="32"/>
          <w:szCs w:val="28"/>
        </w:rPr>
        <w:t>：马尔康市应急管理局</w:t>
      </w: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我们的意见和建议：</w:t>
      </w:r>
      <w:r>
        <w:rPr>
          <w:rFonts w:hint="eastAsia" w:ascii="仿宋_GB2312" w:hAnsi="仿宋_GB2312" w:eastAsia="仿宋" w:cs="仿宋_GB2312"/>
          <w:bCs/>
          <w:sz w:val="32"/>
          <w:szCs w:val="28"/>
        </w:rPr>
        <w:t>建议被评价单位严格按照合同约定进行结算，加强审核，对金额不符的票据不予报销。</w:t>
      </w:r>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（9）审核不严，多报销费用</w:t>
      </w:r>
    </w:p>
    <w:p>
      <w:pPr>
        <w:spacing w:line="560" w:lineRule="exact"/>
        <w:ind w:firstLine="562"/>
        <w:rPr>
          <w:rFonts w:ascii="仿宋_GB2312" w:hAnsi="仿宋_GB2312" w:eastAsia="仿宋" w:cs="仿宋_GB2312"/>
          <w:bCs/>
          <w:sz w:val="32"/>
          <w:szCs w:val="28"/>
        </w:rPr>
      </w:pPr>
      <w:r>
        <w:rPr>
          <w:rFonts w:hint="eastAsia" w:ascii="仿宋_GB2312" w:hAnsi="宋体" w:eastAsia="仿宋" w:cs="仿宋_GB2312"/>
          <w:sz w:val="32"/>
          <w:szCs w:val="28"/>
          <w:lang w:bidi="ar"/>
        </w:rPr>
        <w:t>涉及部门</w:t>
      </w:r>
      <w:r>
        <w:rPr>
          <w:rFonts w:hint="eastAsia" w:ascii="仿宋_GB2312" w:hAnsi="仿宋_GB2312" w:eastAsia="仿宋" w:cs="仿宋_GB2312"/>
          <w:bCs/>
          <w:sz w:val="32"/>
          <w:szCs w:val="28"/>
        </w:rPr>
        <w:t>：马尔康市应急管理局、马尔康市林业和草原局</w:t>
      </w:r>
    </w:p>
    <w:p>
      <w:pPr>
        <w:spacing w:line="560" w:lineRule="exact"/>
        <w:ind w:firstLine="562"/>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我们的意见和建议：</w:t>
      </w:r>
      <w:r>
        <w:rPr>
          <w:rFonts w:hint="eastAsia" w:ascii="仿宋_GB2312" w:hAnsi="仿宋_GB2312" w:eastAsia="仿宋" w:cs="仿宋_GB2312"/>
          <w:bCs/>
          <w:sz w:val="32"/>
          <w:szCs w:val="28"/>
        </w:rPr>
        <w:t>建议被评价单位严格按照合同约定进行结算，加强审核，对金额不符的票据不予报销。</w:t>
      </w:r>
    </w:p>
    <w:p>
      <w:pPr>
        <w:spacing w:line="560" w:lineRule="exact"/>
        <w:ind w:firstLine="562"/>
        <w:rPr>
          <w:rFonts w:ascii="楷体" w:hAnsi="楷体" w:eastAsia="仿宋"/>
          <w:sz w:val="32"/>
          <w:szCs w:val="28"/>
        </w:rPr>
      </w:pPr>
      <w:r>
        <w:rPr>
          <w:rFonts w:hint="eastAsia" w:ascii="仿宋_GB2312" w:hAnsi="仿宋_GB2312" w:eastAsia="仿宋" w:cs="仿宋_GB2312"/>
          <w:bCs/>
          <w:sz w:val="32"/>
          <w:szCs w:val="28"/>
        </w:rPr>
        <w:t>（1</w:t>
      </w:r>
      <w:r>
        <w:rPr>
          <w:rFonts w:ascii="仿宋_GB2312" w:hAnsi="仿宋_GB2312" w:eastAsia="仿宋" w:cs="仿宋_GB2312"/>
          <w:bCs/>
          <w:sz w:val="32"/>
          <w:szCs w:val="28"/>
        </w:rPr>
        <w:t>0</w:t>
      </w:r>
      <w:r>
        <w:rPr>
          <w:rFonts w:hint="eastAsia" w:ascii="仿宋_GB2312" w:hAnsi="仿宋_GB2312" w:eastAsia="仿宋" w:cs="仿宋_GB2312"/>
          <w:bCs/>
          <w:sz w:val="32"/>
          <w:szCs w:val="28"/>
        </w:rPr>
        <w:t>）未按款项性质列支费用</w:t>
      </w:r>
    </w:p>
    <w:p>
      <w:pPr>
        <w:spacing w:line="560" w:lineRule="exact"/>
        <w:ind w:firstLine="562"/>
        <w:rPr>
          <w:rFonts w:ascii="仿宋_GB2312" w:hAnsi="仿宋_GB2312" w:eastAsia="仿宋" w:cs="仿宋_GB2312"/>
          <w:bCs/>
          <w:sz w:val="32"/>
          <w:szCs w:val="28"/>
        </w:rPr>
      </w:pPr>
      <w:r>
        <w:rPr>
          <w:rFonts w:hint="eastAsia" w:ascii="仿宋_GB2312" w:hAnsi="宋体" w:eastAsia="仿宋" w:cs="仿宋_GB2312"/>
          <w:sz w:val="32"/>
          <w:szCs w:val="28"/>
          <w:lang w:bidi="ar"/>
        </w:rPr>
        <w:t>涉及部门</w:t>
      </w:r>
      <w:r>
        <w:rPr>
          <w:rFonts w:hint="eastAsia" w:ascii="仿宋_GB2312" w:hAnsi="仿宋_GB2312" w:eastAsia="仿宋" w:cs="仿宋_GB2312"/>
          <w:bCs/>
          <w:sz w:val="32"/>
          <w:szCs w:val="28"/>
        </w:rPr>
        <w:t>：马尔康市应急管理局</w:t>
      </w:r>
    </w:p>
    <w:p>
      <w:pPr>
        <w:spacing w:line="560" w:lineRule="exact"/>
        <w:ind w:firstLine="562"/>
        <w:rPr>
          <w:rFonts w:ascii="仿宋_GB2312" w:hAnsi="仿宋_GB2312" w:eastAsia="仿宋" w:cs="仿宋_GB2312"/>
          <w:bCs/>
          <w:sz w:val="32"/>
          <w:szCs w:val="28"/>
        </w:rPr>
      </w:pPr>
      <w:r>
        <w:rPr>
          <w:rFonts w:hint="eastAsia" w:ascii="仿宋_GB2312" w:hAnsi="宋体" w:eastAsia="仿宋" w:cs="仿宋_GB2312"/>
          <w:sz w:val="32"/>
          <w:szCs w:val="28"/>
          <w:lang w:bidi="ar"/>
        </w:rPr>
        <w:t>我们的意见和建议：</w:t>
      </w:r>
      <w:r>
        <w:rPr>
          <w:rFonts w:hint="eastAsia" w:ascii="仿宋_GB2312" w:hAnsi="仿宋_GB2312" w:eastAsia="仿宋" w:cs="仿宋_GB2312"/>
          <w:bCs/>
          <w:sz w:val="32"/>
          <w:szCs w:val="28"/>
        </w:rPr>
        <w:t>建议被评价单位会计人员应当对原始凭证进行审核和监督，按照规定列支费用。</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（1</w:t>
      </w:r>
      <w:r>
        <w:rPr>
          <w:rFonts w:ascii="仿宋_GB2312" w:hAnsi="仿宋_GB2312" w:eastAsia="仿宋" w:cs="仿宋_GB2312"/>
          <w:bCs/>
          <w:sz w:val="32"/>
          <w:szCs w:val="28"/>
        </w:rPr>
        <w:t>1</w:t>
      </w:r>
      <w:r>
        <w:rPr>
          <w:rFonts w:hint="eastAsia" w:ascii="仿宋_GB2312" w:hAnsi="仿宋_GB2312" w:eastAsia="仿宋" w:cs="仿宋_GB2312"/>
          <w:bCs/>
          <w:sz w:val="32"/>
          <w:szCs w:val="28"/>
        </w:rPr>
        <w:t>）报销签字不齐全/财务审签制度执行不到位</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涉及部门：马尔康市水务局、马尔康市卫生健康局、马尔康市林业和草原局</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我们的意见和建议：建议被评价单位会计人员应当对原始凭证进行审核和监督，按照规定报销费用。</w:t>
      </w:r>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（1</w:t>
      </w:r>
      <w:r>
        <w:rPr>
          <w:rFonts w:ascii="仿宋_GB2312" w:hAnsi="仿宋_GB2312" w:eastAsia="仿宋" w:cs="仿宋_GB2312"/>
          <w:bCs/>
          <w:sz w:val="32"/>
          <w:szCs w:val="28"/>
        </w:rPr>
        <w:t>2</w:t>
      </w:r>
      <w:r>
        <w:rPr>
          <w:rFonts w:hint="eastAsia" w:ascii="仿宋_GB2312" w:hAnsi="仿宋_GB2312" w:eastAsia="仿宋" w:cs="仿宋_GB2312"/>
          <w:bCs/>
          <w:sz w:val="32"/>
          <w:szCs w:val="28"/>
        </w:rPr>
        <w:t>）三家公司参与比选询价，其中两家公司存在关联方关系</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涉及部门：马尔康市经信局</w:t>
      </w:r>
    </w:p>
    <w:p>
      <w:pPr>
        <w:spacing w:line="560" w:lineRule="exact"/>
        <w:ind w:firstLine="562"/>
        <w:rPr>
          <w:rFonts w:ascii="仿宋_GB2312" w:hAnsi="仿宋_GB2312" w:eastAsia="仿宋" w:cs="仿宋_GB2312"/>
          <w:bCs/>
          <w:color w:val="FF0000"/>
          <w:sz w:val="32"/>
          <w:szCs w:val="28"/>
        </w:rPr>
      </w:pPr>
      <w:r>
        <w:rPr>
          <w:rFonts w:hint="eastAsia" w:ascii="仿宋_GB2312" w:hAnsi="仿宋_GB2312" w:eastAsia="仿宋" w:cs="仿宋_GB2312"/>
          <w:bCs/>
          <w:sz w:val="32"/>
          <w:szCs w:val="28"/>
        </w:rPr>
        <w:t>我们的意见和建议：建议被评价单位严格按照规定程序比选询价，加强对供应商资格的审查</w:t>
      </w:r>
      <w:r>
        <w:rPr>
          <w:rFonts w:hint="eastAsia" w:ascii="仿宋_GB2312" w:hAnsi="仿宋_GB2312" w:eastAsia="仿宋" w:cs="仿宋_GB2312"/>
          <w:bCs/>
          <w:color w:val="FF0000"/>
          <w:sz w:val="32"/>
          <w:szCs w:val="28"/>
        </w:rPr>
        <w:t>。</w:t>
      </w:r>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（1</w:t>
      </w:r>
      <w:r>
        <w:rPr>
          <w:rFonts w:ascii="仿宋_GB2312" w:hAnsi="仿宋_GB2312" w:eastAsia="仿宋" w:cs="仿宋_GB2312"/>
          <w:bCs/>
          <w:sz w:val="32"/>
          <w:szCs w:val="28"/>
        </w:rPr>
        <w:t>3</w:t>
      </w:r>
      <w:r>
        <w:rPr>
          <w:rFonts w:hint="eastAsia" w:ascii="仿宋_GB2312" w:hAnsi="仿宋_GB2312" w:eastAsia="仿宋" w:cs="仿宋_GB2312"/>
          <w:bCs/>
          <w:sz w:val="32"/>
          <w:szCs w:val="28"/>
        </w:rPr>
        <w:t>）比选程序不规范</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涉及部门：马尔康市应急管理局</w:t>
      </w:r>
    </w:p>
    <w:p>
      <w:pPr>
        <w:spacing w:line="560" w:lineRule="exact"/>
        <w:ind w:firstLine="562"/>
        <w:rPr>
          <w:rFonts w:ascii="仿宋_GB2312" w:hAnsi="仿宋_GB2312" w:eastAsia="仿宋" w:cs="仿宋_GB2312"/>
          <w:bCs/>
          <w:color w:val="FF0000"/>
          <w:sz w:val="32"/>
          <w:szCs w:val="28"/>
        </w:rPr>
      </w:pPr>
      <w:r>
        <w:rPr>
          <w:rFonts w:hint="eastAsia" w:ascii="仿宋_GB2312" w:hAnsi="仿宋_GB2312" w:eastAsia="仿宋" w:cs="仿宋_GB2312"/>
          <w:bCs/>
          <w:sz w:val="32"/>
          <w:szCs w:val="28"/>
        </w:rPr>
        <w:t>我们的意见和建议：建议被评价单位从严政府采购程序，对采购合规性进行把关。</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（1</w:t>
      </w:r>
      <w:r>
        <w:rPr>
          <w:rFonts w:ascii="仿宋_GB2312" w:hAnsi="仿宋_GB2312" w:eastAsia="仿宋" w:cs="仿宋_GB2312"/>
          <w:bCs/>
          <w:sz w:val="32"/>
          <w:szCs w:val="28"/>
        </w:rPr>
        <w:t>4</w:t>
      </w:r>
      <w:r>
        <w:rPr>
          <w:rFonts w:hint="eastAsia" w:ascii="仿宋_GB2312" w:hAnsi="仿宋_GB2312" w:eastAsia="仿宋" w:cs="仿宋_GB2312"/>
          <w:bCs/>
          <w:sz w:val="32"/>
          <w:szCs w:val="28"/>
        </w:rPr>
        <w:t>）收费许可证已过期，未及时更换</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涉及部门：马尔康市应急管理局</w:t>
      </w:r>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我们的意见和建议：建议被评价单位加强管理，及时办理换证手续。</w:t>
      </w:r>
    </w:p>
    <w:p>
      <w:pPr>
        <w:spacing w:line="560" w:lineRule="exact"/>
        <w:ind w:firstLine="562"/>
        <w:rPr>
          <w:rFonts w:ascii="仿宋_GB2312" w:hAnsi="仿宋_GB2312" w:eastAsia="仿宋" w:cs="仿宋_GB2312"/>
          <w:bCs/>
          <w:sz w:val="32"/>
          <w:szCs w:val="28"/>
        </w:rPr>
      </w:pPr>
      <w:r>
        <w:rPr>
          <w:rFonts w:hint="eastAsia" w:ascii="仿宋_GB2312" w:hAnsi="仿宋_GB2312" w:eastAsia="仿宋" w:cs="仿宋_GB2312"/>
          <w:bCs/>
          <w:sz w:val="32"/>
          <w:szCs w:val="28"/>
        </w:rPr>
        <w:t>（1</w:t>
      </w:r>
      <w:r>
        <w:rPr>
          <w:rFonts w:ascii="仿宋_GB2312" w:hAnsi="仿宋_GB2312" w:eastAsia="仿宋" w:cs="仿宋_GB2312"/>
          <w:bCs/>
          <w:sz w:val="32"/>
          <w:szCs w:val="28"/>
        </w:rPr>
        <w:t>5</w:t>
      </w:r>
      <w:r>
        <w:rPr>
          <w:rFonts w:hint="eastAsia" w:ascii="仿宋_GB2312" w:hAnsi="仿宋_GB2312" w:eastAsia="仿宋" w:cs="仿宋_GB2312"/>
          <w:bCs/>
          <w:sz w:val="32"/>
          <w:szCs w:val="28"/>
        </w:rPr>
        <w:t>）物资发放未附领取附件</w:t>
      </w:r>
    </w:p>
    <w:p>
      <w:pPr>
        <w:spacing w:line="560" w:lineRule="exact"/>
        <w:ind w:firstLine="562"/>
        <w:rPr>
          <w:rFonts w:hint="eastAsia" w:ascii="仿宋_GB2312" w:hAnsi="仿宋_GB2312" w:eastAsia="仿宋" w:cs="仿宋_GB2312"/>
          <w:bCs/>
          <w:sz w:val="32"/>
          <w:szCs w:val="28"/>
        </w:rPr>
      </w:pPr>
      <w:r>
        <w:rPr>
          <w:rFonts w:hint="eastAsia" w:ascii="仿宋_GB2312" w:hAnsi="仿宋_GB2312" w:eastAsia="仿宋" w:cs="仿宋_GB2312"/>
          <w:bCs/>
          <w:sz w:val="32"/>
          <w:szCs w:val="28"/>
        </w:rPr>
        <w:t>涉及部门：马尔康市应急管理局</w:t>
      </w:r>
    </w:p>
    <w:bookmarkEnd w:id="54"/>
    <w:p>
      <w:pPr>
        <w:spacing w:after="172" w:line="560" w:lineRule="exact"/>
        <w:ind w:firstLine="643"/>
        <w:rPr>
          <w:rFonts w:ascii="楷体_GB2312" w:hAnsi="楷体_GB2312" w:eastAsia="仿宋" w:cs="楷体_GB2312"/>
          <w:bCs/>
          <w:sz w:val="32"/>
          <w:szCs w:val="32"/>
          <w:lang w:bidi="ar"/>
        </w:rPr>
      </w:pPr>
      <w:r>
        <w:rPr>
          <w:rFonts w:hint="eastAsia" w:ascii="楷体_GB2312" w:hAnsi="楷体_GB2312" w:eastAsia="仿宋" w:cs="楷体_GB2312"/>
          <w:bCs/>
          <w:sz w:val="32"/>
          <w:szCs w:val="32"/>
          <w:lang w:bidi="ar"/>
        </w:rPr>
        <w:t>（三）财政政策</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1、项目在乡（镇）人民政府审批之前已实施</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涉及项目：2019年基层组织活动和公共服务运行项目日部乡、草登乡、党坝乡、脚木足乡。</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2、项目实施审批签字手续不全</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涉及项目：2019年基层组织活动和公共服务运行项目草登乡、脚木足乡、梭磨乡人民政府。</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3、村民意见汇总表和签字人数不一致</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涉及项目：2019年基层组织活动和公共服务运行项目党坝乡、马尔康镇。</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4、未按规定公示评标报告</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涉及项目：2019年基层组织活动和公共服务运行项目沙尔宗镇、松岗镇。</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5、项目在中标之前已开始实施</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涉及项目：2019年基层组织活动和公共服务运行项目日部乡、松岗镇。</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6、理财小组、质量监督小组人员签字不符</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涉及项目：2019年基层组织活动和公共服务运行项目康山乡、龙尔甲乡。</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7、中标通知书填写不规范，如未填写中标金额、未填写发出时间</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涉及项目：2019年基层组织活动和公共服务运行项目草登乡、松岗镇。</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8、公示不规范</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涉及项目：2019年基层组织活动和公共服务运行项目龙尔甲乡、木尔宗乡。各乡镇均存在公示时未写明公示期间，公示结束后未出具公示结果无异议的公示结果的情况。</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9、项目执行进度缓慢，资金未及时使用</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涉及项目：2019年州级财政专项扶贫资金项目、2019年财政林业改革发展资金。</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0</w:t>
      </w:r>
      <w:r>
        <w:rPr>
          <w:rFonts w:hint="eastAsia" w:ascii="仿宋_GB2312" w:hAnsi="宋体" w:eastAsia="仿宋" w:cs="仿宋_GB2312"/>
          <w:bCs/>
          <w:sz w:val="32"/>
          <w:szCs w:val="28"/>
          <w:lang w:bidi="ar"/>
        </w:rPr>
        <w:t>、项目实施前未设置项目预期绩效目标或设置不明朗，指标未量化</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涉及项目：2019年州级财政专项扶贫资金项目、2019年州级农资补贴资金项目、2019年城乡居民养老保险、2019年财政林业改革发展资金。</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1</w:t>
      </w:r>
      <w:r>
        <w:rPr>
          <w:rFonts w:hint="eastAsia" w:ascii="仿宋_GB2312" w:hAnsi="宋体" w:eastAsia="仿宋" w:cs="仿宋_GB2312"/>
          <w:bCs/>
          <w:sz w:val="32"/>
          <w:szCs w:val="28"/>
          <w:lang w:bidi="ar"/>
        </w:rPr>
        <w:t>、项目未进行验收</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涉及项目：2019年州级财政专项扶贫资金项目。</w:t>
      </w:r>
    </w:p>
    <w:p>
      <w:pPr>
        <w:spacing w:line="560" w:lineRule="exact"/>
        <w:ind w:firstLine="562"/>
        <w:rPr>
          <w:rFonts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2</w:t>
      </w:r>
      <w:r>
        <w:rPr>
          <w:rFonts w:hint="eastAsia" w:ascii="仿宋_GB2312" w:hAnsi="宋体" w:eastAsia="仿宋" w:cs="仿宋_GB2312"/>
          <w:bCs/>
          <w:sz w:val="32"/>
          <w:szCs w:val="28"/>
          <w:lang w:bidi="ar"/>
        </w:rPr>
        <w:t>、未按照资金使用用途使用</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涉及项目：2019年州级财政专项扶贫资金项目（2019年度州级财政专项扶贫资金用于归垫2017年扶贫保资金）、2019年州级农资补贴资金项目。</w:t>
      </w:r>
    </w:p>
    <w:p>
      <w:pPr>
        <w:spacing w:line="560" w:lineRule="exact"/>
        <w:ind w:firstLine="562"/>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1</w:t>
      </w:r>
      <w:r>
        <w:rPr>
          <w:rFonts w:ascii="仿宋_GB2312" w:hAnsi="宋体" w:eastAsia="仿宋" w:cs="仿宋_GB2312"/>
          <w:bCs/>
          <w:sz w:val="32"/>
          <w:szCs w:val="28"/>
          <w:lang w:bidi="ar"/>
        </w:rPr>
        <w:t>3</w:t>
      </w:r>
      <w:r>
        <w:rPr>
          <w:rFonts w:hint="eastAsia" w:ascii="仿宋_GB2312" w:hAnsi="宋体" w:eastAsia="仿宋" w:cs="仿宋_GB2312"/>
          <w:bCs/>
          <w:sz w:val="32"/>
          <w:szCs w:val="28"/>
          <w:lang w:bidi="ar"/>
        </w:rPr>
        <w:t>、项目资金预算不够合理，资金的使用用途不够明确</w:t>
      </w:r>
    </w:p>
    <w:p>
      <w:pPr>
        <w:spacing w:line="560" w:lineRule="exact"/>
        <w:ind w:firstLine="560"/>
        <w:rPr>
          <w:rFonts w:ascii="仿宋_GB2312" w:hAnsi="宋体" w:eastAsia="仿宋" w:cs="仿宋_GB2312"/>
          <w:sz w:val="32"/>
          <w:szCs w:val="28"/>
          <w:lang w:bidi="ar"/>
        </w:rPr>
      </w:pPr>
      <w:r>
        <w:rPr>
          <w:rFonts w:hint="eastAsia" w:ascii="仿宋_GB2312" w:hAnsi="宋体" w:eastAsia="仿宋" w:cs="仿宋_GB2312"/>
          <w:sz w:val="32"/>
          <w:szCs w:val="28"/>
          <w:lang w:bidi="ar"/>
        </w:rPr>
        <w:t>涉及项目：2019年财政林业改革发展资金。</w:t>
      </w:r>
    </w:p>
    <w:p>
      <w:pPr>
        <w:spacing w:line="560" w:lineRule="exact"/>
        <w:ind w:firstLine="560"/>
        <w:rPr>
          <w:rFonts w:hint="eastAsia" w:ascii="仿宋_GB2312" w:hAnsi="宋体" w:eastAsia="仿宋" w:cs="仿宋_GB2312"/>
          <w:sz w:val="32"/>
          <w:szCs w:val="28"/>
          <w:lang w:bidi="ar"/>
        </w:rPr>
      </w:pP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附件一：马尔康市20</w:t>
      </w:r>
      <w:r>
        <w:rPr>
          <w:rFonts w:ascii="仿宋_GB2312" w:hAnsi="宋体" w:eastAsia="仿宋" w:cs="仿宋_GB2312"/>
          <w:sz w:val="32"/>
          <w:szCs w:val="28"/>
          <w:lang w:bidi="ar"/>
        </w:rPr>
        <w:t>20</w:t>
      </w:r>
      <w:r>
        <w:rPr>
          <w:rFonts w:hint="eastAsia" w:ascii="仿宋_GB2312" w:hAnsi="宋体" w:eastAsia="仿宋" w:cs="仿宋_GB2312"/>
          <w:sz w:val="32"/>
          <w:szCs w:val="28"/>
          <w:lang w:bidi="ar"/>
        </w:rPr>
        <w:t>年财政支出项目绩效评价得分表</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附件二：马尔康市20</w:t>
      </w:r>
      <w:r>
        <w:rPr>
          <w:rFonts w:ascii="仿宋_GB2312" w:hAnsi="宋体" w:eastAsia="仿宋" w:cs="仿宋_GB2312"/>
          <w:sz w:val="32"/>
          <w:szCs w:val="28"/>
          <w:lang w:bidi="ar"/>
        </w:rPr>
        <w:t>20</w:t>
      </w:r>
      <w:r>
        <w:rPr>
          <w:rFonts w:hint="eastAsia" w:ascii="仿宋_GB2312" w:hAnsi="宋体" w:eastAsia="仿宋" w:cs="仿宋_GB2312"/>
          <w:sz w:val="32"/>
          <w:szCs w:val="28"/>
          <w:lang w:bidi="ar"/>
        </w:rPr>
        <w:t>年部门整体支出项目绩效评价得分表</w:t>
      </w:r>
    </w:p>
    <w:p>
      <w:pPr>
        <w:spacing w:line="560" w:lineRule="exact"/>
        <w:ind w:firstLine="560"/>
        <w:rPr>
          <w:rFonts w:hint="eastAsia" w:ascii="仿宋_GB2312" w:hAnsi="宋体" w:eastAsia="仿宋" w:cs="仿宋_GB2312"/>
          <w:sz w:val="32"/>
          <w:szCs w:val="28"/>
          <w:lang w:bidi="ar"/>
        </w:rPr>
      </w:pPr>
      <w:r>
        <w:rPr>
          <w:rFonts w:hint="eastAsia" w:ascii="仿宋_GB2312" w:hAnsi="宋体" w:eastAsia="仿宋" w:cs="仿宋_GB2312"/>
          <w:sz w:val="32"/>
          <w:szCs w:val="28"/>
          <w:lang w:bidi="ar"/>
        </w:rPr>
        <w:t>附件三、马尔康市2020年财政政策绩效评价得分表</w:t>
      </w:r>
    </w:p>
    <w:p>
      <w:pPr>
        <w:spacing w:line="560" w:lineRule="exact"/>
        <w:rPr>
          <w:rFonts w:hint="eastAsia" w:ascii="仿宋_GB2312" w:hAnsi="宋体" w:eastAsia="仿宋" w:cs="仿宋_GB2312"/>
          <w:sz w:val="32"/>
          <w:szCs w:val="28"/>
          <w:lang w:bidi="ar"/>
        </w:rPr>
      </w:pPr>
    </w:p>
    <w:p>
      <w:pPr>
        <w:spacing w:line="560" w:lineRule="exact"/>
        <w:rPr>
          <w:rFonts w:hint="eastAsia" w:ascii="仿宋_GB2312" w:hAnsi="宋体" w:eastAsia="仿宋" w:cs="仿宋_GB2312"/>
          <w:sz w:val="32"/>
          <w:szCs w:val="28"/>
          <w:lang w:bidi="ar"/>
        </w:rPr>
      </w:pPr>
    </w:p>
    <w:p>
      <w:pPr>
        <w:spacing w:line="560" w:lineRule="exact"/>
        <w:ind w:firstLine="562"/>
        <w:jc w:val="right"/>
        <w:rPr>
          <w:rFonts w:ascii="仿宋_GB2312" w:hAnsi="宋体" w:eastAsia="仿宋" w:cs="仿宋_GB2312"/>
          <w:bCs/>
          <w:sz w:val="32"/>
          <w:szCs w:val="28"/>
          <w:lang w:bidi="ar"/>
        </w:rPr>
      </w:pPr>
      <w:r>
        <w:rPr>
          <w:rFonts w:hint="eastAsia" w:ascii="仿宋_GB2312" w:hAnsi="宋体" w:eastAsia="仿宋" w:cs="仿宋_GB2312"/>
          <w:bCs/>
          <w:sz w:val="32"/>
          <w:szCs w:val="28"/>
          <w:lang w:bidi="ar"/>
        </w:rPr>
        <w:t>20</w:t>
      </w:r>
      <w:r>
        <w:rPr>
          <w:rFonts w:ascii="仿宋_GB2312" w:hAnsi="宋体" w:eastAsia="仿宋" w:cs="仿宋_GB2312"/>
          <w:bCs/>
          <w:sz w:val="32"/>
          <w:szCs w:val="28"/>
          <w:lang w:bidi="ar"/>
        </w:rPr>
        <w:t>20</w:t>
      </w:r>
      <w:r>
        <w:rPr>
          <w:rFonts w:hint="eastAsia" w:ascii="仿宋_GB2312" w:hAnsi="宋体" w:eastAsia="仿宋" w:cs="仿宋_GB2312"/>
          <w:bCs/>
          <w:sz w:val="32"/>
          <w:szCs w:val="28"/>
          <w:lang w:bidi="ar"/>
        </w:rPr>
        <w:t>年</w:t>
      </w:r>
      <w:r>
        <w:rPr>
          <w:rFonts w:ascii="仿宋_GB2312" w:hAnsi="宋体" w:eastAsia="仿宋" w:cs="仿宋_GB2312"/>
          <w:bCs/>
          <w:sz w:val="32"/>
          <w:szCs w:val="28"/>
          <w:lang w:bidi="ar"/>
        </w:rPr>
        <w:t>10</w:t>
      </w:r>
      <w:r>
        <w:rPr>
          <w:rFonts w:hint="eastAsia" w:ascii="仿宋_GB2312" w:hAnsi="宋体" w:eastAsia="仿宋" w:cs="仿宋_GB2312"/>
          <w:bCs/>
          <w:sz w:val="32"/>
          <w:szCs w:val="28"/>
          <w:lang w:bidi="ar"/>
        </w:rPr>
        <w:t>月</w:t>
      </w:r>
    </w:p>
    <w:p>
      <w:pPr>
        <w:spacing w:line="560" w:lineRule="exact"/>
        <w:ind w:firstLine="562"/>
        <w:jc w:val="right"/>
        <w:rPr>
          <w:rFonts w:hint="eastAsia" w:ascii="仿宋_GB2312" w:hAnsi="宋体" w:eastAsia="仿宋" w:cs="仿宋_GB2312"/>
          <w:bCs/>
          <w:sz w:val="32"/>
          <w:szCs w:val="28"/>
          <w:lang w:bidi="ar"/>
        </w:rPr>
      </w:pPr>
      <w:r>
        <w:rPr>
          <w:rFonts w:hint="eastAsia" w:ascii="仿宋_GB2312" w:hAnsi="宋体" w:eastAsia="仿宋" w:cs="仿宋_GB2312"/>
          <w:bCs/>
          <w:sz w:val="32"/>
          <w:szCs w:val="28"/>
          <w:lang w:bidi="ar"/>
        </w:rPr>
        <w:t>四川融策会计师事务所有限公司</w:t>
      </w:r>
    </w:p>
    <w:p>
      <w:pPr>
        <w:spacing w:line="560" w:lineRule="exact"/>
        <w:ind w:firstLine="482"/>
        <w:rPr>
          <w:rFonts w:hint="eastAsia" w:ascii="仿宋_GB2312" w:hAnsi="仿宋_GB2312" w:eastAsia="仿宋" w:cs="仿宋_GB2312"/>
          <w:bCs/>
          <w:sz w:val="32"/>
        </w:rPr>
        <w:sectPr>
          <w:pgSz w:w="11906" w:h="16838"/>
          <w:pgMar w:top="1304" w:right="1418" w:bottom="1276" w:left="1418" w:header="851" w:footer="992" w:gutter="284"/>
          <w:cols w:space="720" w:num="1"/>
          <w:docGrid w:type="lines" w:linePitch="312" w:charSpace="0"/>
        </w:sectPr>
      </w:pPr>
    </w:p>
    <w:p>
      <w:pPr>
        <w:spacing w:line="560" w:lineRule="exact"/>
        <w:ind w:firstLine="482"/>
        <w:rPr>
          <w:rFonts w:eastAsia="仿宋"/>
          <w:sz w:val="32"/>
        </w:rPr>
      </w:pPr>
      <w:r>
        <w:rPr>
          <w:rFonts w:hint="eastAsia" w:ascii="仿宋_GB2312" w:hAnsi="仿宋_GB2312" w:eastAsia="仿宋" w:cs="仿宋_GB2312"/>
          <w:bCs/>
          <w:sz w:val="32"/>
        </w:rPr>
        <w:t>附件一</w:t>
      </w:r>
    </w:p>
    <w:p>
      <w:pPr>
        <w:spacing w:line="560" w:lineRule="exact"/>
        <w:ind w:firstLine="562"/>
        <w:jc w:val="center"/>
        <w:rPr>
          <w:rFonts w:eastAsia="仿宋"/>
          <w:sz w:val="32"/>
        </w:rPr>
      </w:pPr>
      <w:r>
        <w:rPr>
          <w:rFonts w:hint="eastAsia" w:ascii="仿宋_GB2312" w:hAnsi="仿宋_GB2312" w:eastAsia="仿宋" w:cs="仿宋_GB2312"/>
          <w:bCs/>
          <w:sz w:val="32"/>
          <w:szCs w:val="28"/>
        </w:rPr>
        <w:t>马尔康市20</w:t>
      </w:r>
      <w:r>
        <w:rPr>
          <w:rFonts w:ascii="仿宋_GB2312" w:hAnsi="仿宋_GB2312" w:eastAsia="仿宋" w:cs="仿宋_GB2312"/>
          <w:bCs/>
          <w:sz w:val="32"/>
          <w:szCs w:val="28"/>
        </w:rPr>
        <w:t>20</w:t>
      </w:r>
      <w:r>
        <w:rPr>
          <w:rFonts w:hint="eastAsia" w:ascii="仿宋_GB2312" w:hAnsi="仿宋_GB2312" w:eastAsia="仿宋" w:cs="仿宋_GB2312"/>
          <w:bCs/>
          <w:sz w:val="32"/>
          <w:szCs w:val="28"/>
        </w:rPr>
        <w:t>年财政支出项目绩效评价得分表</w:t>
      </w:r>
    </w:p>
    <w:tbl>
      <w:tblPr>
        <w:tblStyle w:val="15"/>
        <w:tblW w:w="5000" w:type="pct"/>
        <w:tblInd w:w="0" w:type="dxa"/>
        <w:tblLayout w:type="autofit"/>
        <w:tblCellMar>
          <w:top w:w="0" w:type="dxa"/>
          <w:left w:w="108" w:type="dxa"/>
          <w:bottom w:w="0" w:type="dxa"/>
          <w:right w:w="108" w:type="dxa"/>
        </w:tblCellMar>
      </w:tblPr>
      <w:tblGrid>
        <w:gridCol w:w="623"/>
        <w:gridCol w:w="4761"/>
        <w:gridCol w:w="1238"/>
        <w:gridCol w:w="1082"/>
        <w:gridCol w:w="1031"/>
        <w:gridCol w:w="873"/>
        <w:gridCol w:w="239"/>
      </w:tblGrid>
      <w:tr>
        <w:tblPrEx>
          <w:tblCellMar>
            <w:top w:w="0" w:type="dxa"/>
            <w:left w:w="108" w:type="dxa"/>
            <w:bottom w:w="0" w:type="dxa"/>
            <w:right w:w="108" w:type="dxa"/>
          </w:tblCellMar>
        </w:tblPrEx>
        <w:trPr>
          <w:gridAfter w:val="1"/>
          <w:wAfter w:w="123" w:type="pct"/>
          <w:trHeight w:val="560" w:hRule="atLeast"/>
          <w:tblHeader/>
        </w:trPr>
        <w:tc>
          <w:tcPr>
            <w:tcW w:w="3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序号</w:t>
            </w:r>
          </w:p>
        </w:tc>
        <w:tc>
          <w:tcPr>
            <w:tcW w:w="2419" w:type="pct"/>
            <w:vMerge w:val="restart"/>
            <w:tcBorders>
              <w:top w:val="single" w:color="auto" w:sz="4" w:space="0"/>
              <w:left w:val="single" w:color="auto" w:sz="4" w:space="0"/>
              <w:bottom w:val="nil"/>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项目名称</w:t>
            </w:r>
          </w:p>
        </w:tc>
        <w:tc>
          <w:tcPr>
            <w:tcW w:w="6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项目决策</w:t>
            </w:r>
            <w:r>
              <w:rPr>
                <w:rFonts w:ascii="Arial Narrow" w:hAnsi="Arial Narrow" w:eastAsia="仿宋" w:cs="宋体"/>
                <w:bCs/>
                <w:sz w:val="32"/>
                <w:szCs w:val="18"/>
              </w:rPr>
              <w:br w:type="textWrapping"/>
            </w:r>
            <w:r>
              <w:rPr>
                <w:rFonts w:ascii="Arial Narrow" w:hAnsi="Arial Narrow" w:eastAsia="仿宋" w:cs="宋体"/>
                <w:bCs/>
                <w:sz w:val="32"/>
                <w:szCs w:val="18"/>
              </w:rPr>
              <w:t>（20分）</w:t>
            </w:r>
          </w:p>
        </w:tc>
        <w:tc>
          <w:tcPr>
            <w:tcW w:w="5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项目管理</w:t>
            </w:r>
            <w:r>
              <w:rPr>
                <w:rFonts w:ascii="Arial Narrow" w:hAnsi="Arial Narrow" w:eastAsia="仿宋" w:cs="宋体"/>
                <w:bCs/>
                <w:sz w:val="32"/>
                <w:szCs w:val="18"/>
              </w:rPr>
              <w:br w:type="textWrapping"/>
            </w:r>
            <w:r>
              <w:rPr>
                <w:rFonts w:ascii="Arial Narrow" w:hAnsi="Arial Narrow" w:eastAsia="仿宋" w:cs="宋体"/>
                <w:bCs/>
                <w:sz w:val="32"/>
                <w:szCs w:val="18"/>
              </w:rPr>
              <w:t>（10分）</w:t>
            </w:r>
          </w:p>
        </w:tc>
        <w:tc>
          <w:tcPr>
            <w:tcW w:w="5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项目效果</w:t>
            </w:r>
            <w:r>
              <w:rPr>
                <w:rFonts w:ascii="Arial Narrow" w:hAnsi="Arial Narrow" w:eastAsia="仿宋" w:cs="宋体"/>
                <w:bCs/>
                <w:sz w:val="32"/>
                <w:szCs w:val="18"/>
              </w:rPr>
              <w:br w:type="textWrapping"/>
            </w:r>
            <w:r>
              <w:rPr>
                <w:rFonts w:ascii="Arial Narrow" w:hAnsi="Arial Narrow" w:eastAsia="仿宋" w:cs="宋体"/>
                <w:bCs/>
                <w:sz w:val="32"/>
                <w:szCs w:val="18"/>
              </w:rPr>
              <w:t>（70分）</w:t>
            </w:r>
          </w:p>
        </w:tc>
        <w:tc>
          <w:tcPr>
            <w:tcW w:w="43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得分</w:t>
            </w:r>
          </w:p>
        </w:tc>
      </w:tr>
      <w:tr>
        <w:tblPrEx>
          <w:tblCellMar>
            <w:top w:w="0" w:type="dxa"/>
            <w:left w:w="108" w:type="dxa"/>
            <w:bottom w:w="0" w:type="dxa"/>
            <w:right w:w="108" w:type="dxa"/>
          </w:tblCellMar>
        </w:tblPrEx>
        <w:trPr>
          <w:trHeight w:val="280" w:hRule="atLeast"/>
          <w:tblHeader/>
        </w:trPr>
        <w:tc>
          <w:tcPr>
            <w:tcW w:w="318" w:type="pct"/>
            <w:vMerge w:val="continue"/>
            <w:tcBorders>
              <w:top w:val="single" w:color="auto" w:sz="4" w:space="0"/>
              <w:left w:val="single" w:color="auto" w:sz="4" w:space="0"/>
              <w:bottom w:val="single" w:color="000000" w:sz="4" w:space="0"/>
              <w:right w:val="single" w:color="auto" w:sz="4" w:space="0"/>
            </w:tcBorders>
            <w:vAlign w:val="center"/>
          </w:tcPr>
          <w:p>
            <w:pPr>
              <w:spacing w:line="560" w:lineRule="exact"/>
              <w:rPr>
                <w:rFonts w:ascii="Arial Narrow" w:hAnsi="Arial Narrow" w:eastAsia="仿宋" w:cs="宋体"/>
                <w:bCs/>
                <w:sz w:val="32"/>
                <w:szCs w:val="18"/>
              </w:rPr>
            </w:pPr>
          </w:p>
        </w:tc>
        <w:tc>
          <w:tcPr>
            <w:tcW w:w="2419" w:type="pct"/>
            <w:vMerge w:val="continue"/>
            <w:tcBorders>
              <w:top w:val="single" w:color="auto" w:sz="4" w:space="0"/>
              <w:left w:val="single" w:color="auto" w:sz="4" w:space="0"/>
              <w:bottom w:val="nil"/>
              <w:right w:val="single" w:color="auto" w:sz="4" w:space="0"/>
            </w:tcBorders>
            <w:vAlign w:val="center"/>
          </w:tcPr>
          <w:p>
            <w:pPr>
              <w:spacing w:line="560" w:lineRule="exact"/>
              <w:rPr>
                <w:rFonts w:ascii="Arial Narrow" w:hAnsi="Arial Narrow" w:eastAsia="仿宋" w:cs="宋体"/>
                <w:bCs/>
                <w:sz w:val="32"/>
                <w:szCs w:val="18"/>
              </w:rPr>
            </w:pPr>
          </w:p>
        </w:tc>
        <w:tc>
          <w:tcPr>
            <w:tcW w:w="630" w:type="pct"/>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Arial Narrow" w:hAnsi="Arial Narrow" w:eastAsia="仿宋" w:cs="宋体"/>
                <w:bCs/>
                <w:sz w:val="32"/>
                <w:szCs w:val="18"/>
              </w:rPr>
            </w:pPr>
          </w:p>
        </w:tc>
        <w:tc>
          <w:tcPr>
            <w:tcW w:w="551" w:type="pct"/>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Arial Narrow" w:hAnsi="Arial Narrow" w:eastAsia="仿宋" w:cs="宋体"/>
                <w:bCs/>
                <w:sz w:val="32"/>
                <w:szCs w:val="18"/>
              </w:rPr>
            </w:pPr>
          </w:p>
        </w:tc>
        <w:tc>
          <w:tcPr>
            <w:tcW w:w="525" w:type="pct"/>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Arial Narrow" w:hAnsi="Arial Narrow" w:eastAsia="仿宋" w:cs="宋体"/>
                <w:bCs/>
                <w:sz w:val="32"/>
                <w:szCs w:val="18"/>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Arial Narrow" w:hAnsi="Arial Narrow" w:eastAsia="仿宋" w:cs="宋体"/>
                <w:bCs/>
                <w:sz w:val="32"/>
                <w:szCs w:val="18"/>
              </w:rPr>
            </w:pPr>
          </w:p>
        </w:tc>
        <w:tc>
          <w:tcPr>
            <w:tcW w:w="123" w:type="pct"/>
            <w:tcBorders>
              <w:top w:val="nil"/>
              <w:left w:val="nil"/>
              <w:bottom w:val="nil"/>
              <w:right w:val="nil"/>
            </w:tcBorders>
            <w:shd w:val="clear" w:color="auto" w:fill="auto"/>
            <w:noWrap/>
            <w:vAlign w:val="center"/>
          </w:tcPr>
          <w:p>
            <w:pPr>
              <w:spacing w:line="560" w:lineRule="exact"/>
              <w:jc w:val="center"/>
              <w:rPr>
                <w:rFonts w:ascii="Arial Narrow" w:hAnsi="Arial Narrow" w:eastAsia="仿宋" w:cs="宋体"/>
                <w:bCs/>
                <w:sz w:val="32"/>
                <w:szCs w:val="18"/>
              </w:rPr>
            </w:pPr>
          </w:p>
        </w:tc>
      </w:tr>
      <w:tr>
        <w:tblPrEx>
          <w:tblCellMar>
            <w:top w:w="0" w:type="dxa"/>
            <w:left w:w="108" w:type="dxa"/>
            <w:bottom w:w="0" w:type="dxa"/>
            <w:right w:w="108" w:type="dxa"/>
          </w:tblCellMar>
        </w:tblPrEx>
        <w:trPr>
          <w:trHeight w:val="280" w:hRule="atLeast"/>
          <w:tblHeader/>
        </w:trPr>
        <w:tc>
          <w:tcPr>
            <w:tcW w:w="318" w:type="pct"/>
            <w:vMerge w:val="continue"/>
            <w:tcBorders>
              <w:top w:val="single" w:color="auto" w:sz="4" w:space="0"/>
              <w:left w:val="single" w:color="auto" w:sz="4" w:space="0"/>
              <w:bottom w:val="single" w:color="000000" w:sz="4" w:space="0"/>
              <w:right w:val="single" w:color="auto" w:sz="4" w:space="0"/>
            </w:tcBorders>
            <w:vAlign w:val="center"/>
          </w:tcPr>
          <w:p>
            <w:pPr>
              <w:spacing w:line="560" w:lineRule="exact"/>
              <w:rPr>
                <w:rFonts w:ascii="Arial Narrow" w:hAnsi="Arial Narrow" w:eastAsia="仿宋" w:cs="宋体"/>
                <w:bCs/>
                <w:sz w:val="32"/>
                <w:szCs w:val="18"/>
              </w:rPr>
            </w:pPr>
          </w:p>
        </w:tc>
        <w:tc>
          <w:tcPr>
            <w:tcW w:w="2419" w:type="pct"/>
            <w:vMerge w:val="continue"/>
            <w:tcBorders>
              <w:top w:val="single" w:color="auto" w:sz="4" w:space="0"/>
              <w:left w:val="single" w:color="auto" w:sz="4" w:space="0"/>
              <w:bottom w:val="nil"/>
              <w:right w:val="single" w:color="auto" w:sz="4" w:space="0"/>
            </w:tcBorders>
            <w:vAlign w:val="center"/>
          </w:tcPr>
          <w:p>
            <w:pPr>
              <w:spacing w:line="560" w:lineRule="exact"/>
              <w:rPr>
                <w:rFonts w:ascii="Arial Narrow" w:hAnsi="Arial Narrow" w:eastAsia="仿宋" w:cs="宋体"/>
                <w:bCs/>
                <w:sz w:val="32"/>
                <w:szCs w:val="18"/>
              </w:rPr>
            </w:pPr>
          </w:p>
        </w:tc>
        <w:tc>
          <w:tcPr>
            <w:tcW w:w="630" w:type="pct"/>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Arial Narrow" w:hAnsi="Arial Narrow" w:eastAsia="仿宋" w:cs="宋体"/>
                <w:bCs/>
                <w:sz w:val="32"/>
                <w:szCs w:val="18"/>
              </w:rPr>
            </w:pPr>
          </w:p>
        </w:tc>
        <w:tc>
          <w:tcPr>
            <w:tcW w:w="551" w:type="pct"/>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Arial Narrow" w:hAnsi="Arial Narrow" w:eastAsia="仿宋" w:cs="宋体"/>
                <w:bCs/>
                <w:sz w:val="32"/>
                <w:szCs w:val="18"/>
              </w:rPr>
            </w:pPr>
          </w:p>
        </w:tc>
        <w:tc>
          <w:tcPr>
            <w:tcW w:w="525" w:type="pct"/>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Arial Narrow" w:hAnsi="Arial Narrow" w:eastAsia="仿宋" w:cs="宋体"/>
                <w:bCs/>
                <w:sz w:val="32"/>
                <w:szCs w:val="18"/>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Arial Narrow" w:hAnsi="Arial Narrow" w:eastAsia="仿宋" w:cs="宋体"/>
                <w:bCs/>
                <w:sz w:val="32"/>
                <w:szCs w:val="18"/>
              </w:rPr>
            </w:pPr>
          </w:p>
        </w:tc>
        <w:tc>
          <w:tcPr>
            <w:tcW w:w="123" w:type="pct"/>
            <w:tcBorders>
              <w:top w:val="nil"/>
              <w:left w:val="nil"/>
              <w:bottom w:val="nil"/>
              <w:right w:val="nil"/>
            </w:tcBorders>
            <w:shd w:val="clear" w:color="auto" w:fill="auto"/>
            <w:noWrap/>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340" w:hRule="atLeast"/>
          <w:tblHeader/>
        </w:trPr>
        <w:tc>
          <w:tcPr>
            <w:tcW w:w="318" w:type="pct"/>
            <w:vMerge w:val="continue"/>
            <w:tcBorders>
              <w:top w:val="single" w:color="auto" w:sz="4" w:space="0"/>
              <w:left w:val="single" w:color="auto" w:sz="4" w:space="0"/>
              <w:bottom w:val="single" w:color="000000" w:sz="4" w:space="0"/>
              <w:right w:val="single" w:color="auto" w:sz="4" w:space="0"/>
            </w:tcBorders>
            <w:vAlign w:val="center"/>
          </w:tcPr>
          <w:p>
            <w:pPr>
              <w:spacing w:line="560" w:lineRule="exact"/>
              <w:rPr>
                <w:rFonts w:ascii="Arial Narrow" w:hAnsi="Arial Narrow" w:eastAsia="仿宋" w:cs="宋体"/>
                <w:bCs/>
                <w:sz w:val="32"/>
                <w:szCs w:val="18"/>
              </w:rPr>
            </w:pPr>
          </w:p>
        </w:tc>
        <w:tc>
          <w:tcPr>
            <w:tcW w:w="2419" w:type="pct"/>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权重</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 xml:space="preserve">20.00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 xml:space="preserve">10.00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 xml:space="preserve">70.00 </w:t>
            </w:r>
          </w:p>
        </w:tc>
        <w:tc>
          <w:tcPr>
            <w:tcW w:w="434"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100</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4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2018年第四批新增地方政府债券资金</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10.00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7.14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52.37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69.51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4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阿底村防洪堤项目</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20.00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7.73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64.06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91.79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4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3</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松岗柯盘天街景区标识标牌制作和安装项目</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9.00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4.29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58.25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71.54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5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4</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2019年中央专项彩票公益金支出贫困革命老区脱贫攻坚资金建设项目</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20.00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5.71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55.00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80.71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48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5</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草原防灭火项目</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20.00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5.71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65.65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91.36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48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6</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地质灾害综合防治体系建设项目</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10.00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8.00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55.62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73.62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5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7</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2019年革命老区转移支付项目支出绩效评价报告</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10.00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5.71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55.99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71.70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5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8</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第八届嘉绒锅庄文化旅游节项目支出评价报告</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10.00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7.71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66.99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84.70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5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9</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建档立卡贫困人口基本医疗保险参保项目支出评价报告</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15.00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8.71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66.64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90.35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5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10</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看守拘留所建设项目支出评价报告</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20.00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10.00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53.13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83.13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5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11</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党坝乡地拉秋村跨河大桥建设项目支出评价报告</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10.00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5.71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64.98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80.69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5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12</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2018-2019年粮食低温储备库建设项目支出评价报告</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15.00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5.71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54.50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75.21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5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13</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马尔康市城市设计项目支出绩效评价报告</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15.00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9.14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47.74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71.88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5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14</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马尔康市第四小学会议室办公设备及学生生活设备项目支出评价报告</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15.00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8.29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63.85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87.14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5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15</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农牧林产品加工物流园区产业扶持项目支出评价报告</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20.00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7.14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53.00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80.14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5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16</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马尔康市人民医院太阳能热水系统及采暖改造采购项目支出评价报告</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15.00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8.00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50.00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73.00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5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17</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中共马尔康市委宣传部马尔康市融媒体中心建设项目支出评价报告</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15.00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7.00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50.86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72.86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44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18</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松岗村旅游综合服务设施项目支出评价报告</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10.00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5.71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64.92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80.63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5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19</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2019年农村教师周转宿舍建设省级补助资金项目支出评价报告</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15.00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9.14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45.00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69.14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3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20</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夜景照明工程项目支出评价报告</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9.00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5.71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64.48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79.19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5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21</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松岗天街配套基础设施建设项目支出评价报告</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10.00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7.71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52.97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70.68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3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22</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2019年乡村振兴项目支出绩效评价报告</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13.00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10.00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59.99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82.99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3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23</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重要道路绿化及城区绿化提升项目支出评价报告</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9.50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7.90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56.00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 xml:space="preserve">73.40 </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360" w:hRule="atLeast"/>
        </w:trPr>
        <w:tc>
          <w:tcPr>
            <w:tcW w:w="318" w:type="pct"/>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Arial Narrow" w:hAnsi="Arial Narrow" w:eastAsia="仿宋" w:cs="宋体"/>
                <w:bCs/>
                <w:sz w:val="32"/>
                <w:szCs w:val="18"/>
              </w:rPr>
            </w:pPr>
            <w:r>
              <w:rPr>
                <w:rFonts w:ascii="Arial Narrow" w:hAnsi="Arial Narrow" w:eastAsia="仿宋" w:cs="宋体"/>
                <w:bCs/>
                <w:sz w:val="32"/>
                <w:szCs w:val="18"/>
              </w:rPr>
              <w:t>　</w:t>
            </w:r>
          </w:p>
        </w:tc>
        <w:tc>
          <w:tcPr>
            <w:tcW w:w="2419"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各项指标平均分</w:t>
            </w:r>
          </w:p>
        </w:tc>
        <w:tc>
          <w:tcPr>
            <w:tcW w:w="63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 xml:space="preserve">13.72 </w:t>
            </w:r>
          </w:p>
        </w:tc>
        <w:tc>
          <w:tcPr>
            <w:tcW w:w="55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 xml:space="preserve">7.30 </w:t>
            </w:r>
          </w:p>
        </w:tc>
        <w:tc>
          <w:tcPr>
            <w:tcW w:w="525"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 xml:space="preserve">57.48 </w:t>
            </w:r>
          </w:p>
        </w:tc>
        <w:tc>
          <w:tcPr>
            <w:tcW w:w="434"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 xml:space="preserve">78.50 </w:t>
            </w:r>
          </w:p>
        </w:tc>
        <w:tc>
          <w:tcPr>
            <w:tcW w:w="123" w:type="pct"/>
            <w:vAlign w:val="center"/>
          </w:tcPr>
          <w:p>
            <w:pPr>
              <w:spacing w:line="560" w:lineRule="exact"/>
              <w:rPr>
                <w:rFonts w:ascii="Arial Narrow" w:hAnsi="Arial Narrow" w:eastAsia="仿宋"/>
                <w:bCs/>
                <w:sz w:val="32"/>
                <w:szCs w:val="18"/>
              </w:rPr>
            </w:pPr>
          </w:p>
        </w:tc>
      </w:tr>
    </w:tbl>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tabs>
          <w:tab w:val="right" w:pos="7501"/>
        </w:tabs>
        <w:spacing w:line="560" w:lineRule="exact"/>
        <w:rPr>
          <w:rFonts w:eastAsia="仿宋"/>
          <w:bCs/>
          <w:sz w:val="32"/>
        </w:rPr>
      </w:pPr>
    </w:p>
    <w:p>
      <w:pPr>
        <w:spacing w:line="560" w:lineRule="exact"/>
        <w:ind w:firstLine="482"/>
        <w:rPr>
          <w:rFonts w:eastAsia="仿宋"/>
          <w:sz w:val="32"/>
        </w:rPr>
      </w:pPr>
      <w:r>
        <w:rPr>
          <w:rFonts w:hint="eastAsia" w:ascii="仿宋_GB2312" w:hAnsi="仿宋_GB2312" w:eastAsia="仿宋" w:cs="仿宋_GB2312"/>
          <w:bCs/>
          <w:sz w:val="32"/>
        </w:rPr>
        <w:t>附件二</w:t>
      </w:r>
    </w:p>
    <w:tbl>
      <w:tblPr>
        <w:tblStyle w:val="15"/>
        <w:tblW w:w="5000" w:type="pct"/>
        <w:tblInd w:w="0" w:type="dxa"/>
        <w:tblLayout w:type="autofit"/>
        <w:tblCellMar>
          <w:top w:w="0" w:type="dxa"/>
          <w:left w:w="108" w:type="dxa"/>
          <w:bottom w:w="0" w:type="dxa"/>
          <w:right w:w="108" w:type="dxa"/>
        </w:tblCellMar>
      </w:tblPr>
      <w:tblGrid>
        <w:gridCol w:w="4376"/>
        <w:gridCol w:w="1113"/>
        <w:gridCol w:w="1114"/>
        <w:gridCol w:w="1114"/>
        <w:gridCol w:w="1114"/>
        <w:gridCol w:w="1016"/>
      </w:tblGrid>
      <w:tr>
        <w:tblPrEx>
          <w:tblCellMar>
            <w:top w:w="0" w:type="dxa"/>
            <w:left w:w="108" w:type="dxa"/>
            <w:bottom w:w="0" w:type="dxa"/>
            <w:right w:w="108" w:type="dxa"/>
          </w:tblCellMar>
        </w:tblPrEx>
        <w:trPr>
          <w:trHeight w:val="530" w:hRule="atLeast"/>
        </w:trPr>
        <w:tc>
          <w:tcPr>
            <w:tcW w:w="5000" w:type="pct"/>
            <w:gridSpan w:val="6"/>
            <w:tcBorders>
              <w:top w:val="nil"/>
              <w:left w:val="nil"/>
              <w:bottom w:val="nil"/>
              <w:right w:val="nil"/>
            </w:tcBorders>
            <w:shd w:val="clear" w:color="auto" w:fill="auto"/>
            <w:noWrap/>
          </w:tcPr>
          <w:p>
            <w:pPr>
              <w:spacing w:line="560" w:lineRule="exact"/>
              <w:jc w:val="center"/>
              <w:rPr>
                <w:rFonts w:ascii="宋体" w:hAnsi="宋体" w:eastAsia="仿宋" w:cs="宋体"/>
                <w:sz w:val="32"/>
                <w:szCs w:val="18"/>
              </w:rPr>
            </w:pPr>
            <w:r>
              <w:rPr>
                <w:rFonts w:ascii="仿宋_GB2312" w:hAnsi="仿宋_GB2312" w:eastAsia="仿宋" w:cs="仿宋_GB2312"/>
                <w:bCs/>
                <w:sz w:val="32"/>
                <w:szCs w:val="28"/>
              </w:rPr>
              <w:t>马尔康市2020年部门整体支出项目绩效评价得分表</w:t>
            </w:r>
          </w:p>
        </w:tc>
      </w:tr>
      <w:tr>
        <w:tblPrEx>
          <w:tblCellMar>
            <w:top w:w="0" w:type="dxa"/>
            <w:left w:w="108" w:type="dxa"/>
            <w:bottom w:w="0" w:type="dxa"/>
            <w:right w:w="108" w:type="dxa"/>
          </w:tblCellMar>
        </w:tblPrEx>
        <w:trPr>
          <w:trHeight w:val="890" w:hRule="atLeast"/>
        </w:trPr>
        <w:tc>
          <w:tcPr>
            <w:tcW w:w="142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单位名称</w:t>
            </w:r>
          </w:p>
        </w:tc>
        <w:tc>
          <w:tcPr>
            <w:tcW w:w="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 xml:space="preserve">预算编制   </w:t>
            </w:r>
            <w:r>
              <w:rPr>
                <w:rFonts w:ascii="宋体" w:hAnsi="宋体" w:eastAsia="仿宋" w:cs="宋体"/>
                <w:sz w:val="32"/>
                <w:szCs w:val="18"/>
              </w:rPr>
              <w:br w:type="textWrapping"/>
            </w:r>
            <w:r>
              <w:rPr>
                <w:rFonts w:ascii="宋体" w:hAnsi="宋体" w:eastAsia="仿宋" w:cs="宋体"/>
                <w:sz w:val="32"/>
                <w:szCs w:val="18"/>
              </w:rPr>
              <w:t>(10分）</w:t>
            </w:r>
          </w:p>
        </w:tc>
        <w:tc>
          <w:tcPr>
            <w:tcW w:w="731" w:type="pct"/>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预算执行</w:t>
            </w:r>
            <w:r>
              <w:rPr>
                <w:rFonts w:ascii="宋体" w:hAnsi="宋体" w:eastAsia="仿宋" w:cs="宋体"/>
                <w:sz w:val="32"/>
                <w:szCs w:val="18"/>
              </w:rPr>
              <w:br w:type="textWrapping"/>
            </w:r>
            <w:r>
              <w:rPr>
                <w:rFonts w:ascii="宋体" w:hAnsi="宋体" w:eastAsia="仿宋" w:cs="宋体"/>
                <w:sz w:val="32"/>
                <w:szCs w:val="18"/>
              </w:rPr>
              <w:t>（20分）</w:t>
            </w:r>
          </w:p>
        </w:tc>
        <w:tc>
          <w:tcPr>
            <w:tcW w:w="731" w:type="pct"/>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综合管理</w:t>
            </w:r>
            <w:r>
              <w:rPr>
                <w:rFonts w:ascii="宋体" w:hAnsi="宋体" w:eastAsia="仿宋" w:cs="宋体"/>
                <w:sz w:val="32"/>
                <w:szCs w:val="18"/>
              </w:rPr>
              <w:br w:type="textWrapping"/>
            </w:r>
            <w:r>
              <w:rPr>
                <w:rFonts w:ascii="宋体" w:hAnsi="宋体" w:eastAsia="仿宋" w:cs="宋体"/>
                <w:sz w:val="32"/>
                <w:szCs w:val="18"/>
              </w:rPr>
              <w:t>（40分）</w:t>
            </w:r>
          </w:p>
        </w:tc>
        <w:tc>
          <w:tcPr>
            <w:tcW w:w="731" w:type="pct"/>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整体效益</w:t>
            </w:r>
            <w:r>
              <w:rPr>
                <w:rFonts w:ascii="宋体" w:hAnsi="宋体" w:eastAsia="仿宋" w:cs="宋体"/>
                <w:sz w:val="32"/>
                <w:szCs w:val="18"/>
              </w:rPr>
              <w:br w:type="textWrapping"/>
            </w:r>
            <w:r>
              <w:rPr>
                <w:rFonts w:ascii="宋体" w:hAnsi="宋体" w:eastAsia="仿宋" w:cs="宋体"/>
                <w:sz w:val="32"/>
                <w:szCs w:val="18"/>
              </w:rPr>
              <w:t>（30分）</w:t>
            </w:r>
          </w:p>
        </w:tc>
        <w:tc>
          <w:tcPr>
            <w:tcW w:w="656" w:type="pct"/>
            <w:tcBorders>
              <w:top w:val="single" w:color="auto" w:sz="4" w:space="0"/>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合计</w:t>
            </w:r>
          </w:p>
        </w:tc>
      </w:tr>
      <w:tr>
        <w:tblPrEx>
          <w:tblCellMar>
            <w:top w:w="0" w:type="dxa"/>
            <w:left w:w="108" w:type="dxa"/>
            <w:bottom w:w="0" w:type="dxa"/>
            <w:right w:w="108" w:type="dxa"/>
          </w:tblCellMar>
        </w:tblPrEx>
        <w:trPr>
          <w:trHeight w:val="510" w:hRule="atLeast"/>
        </w:trPr>
        <w:tc>
          <w:tcPr>
            <w:tcW w:w="142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马尔康市融媒体中心</w:t>
            </w:r>
          </w:p>
        </w:tc>
        <w:tc>
          <w:tcPr>
            <w:tcW w:w="731" w:type="pct"/>
            <w:tcBorders>
              <w:top w:val="single" w:color="auto" w:sz="4" w:space="0"/>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9.98</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19.97</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30</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27</w:t>
            </w:r>
          </w:p>
        </w:tc>
        <w:tc>
          <w:tcPr>
            <w:tcW w:w="656"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86.65</w:t>
            </w:r>
          </w:p>
        </w:tc>
      </w:tr>
      <w:tr>
        <w:tblPrEx>
          <w:tblCellMar>
            <w:top w:w="0" w:type="dxa"/>
            <w:left w:w="108" w:type="dxa"/>
            <w:bottom w:w="0" w:type="dxa"/>
            <w:right w:w="108" w:type="dxa"/>
          </w:tblCellMar>
        </w:tblPrEx>
        <w:trPr>
          <w:trHeight w:val="510" w:hRule="atLeast"/>
        </w:trPr>
        <w:tc>
          <w:tcPr>
            <w:tcW w:w="1420" w:type="pct"/>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马尔康市生态环境局</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9.96</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15.66</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33.85</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27</w:t>
            </w:r>
          </w:p>
        </w:tc>
        <w:tc>
          <w:tcPr>
            <w:tcW w:w="656"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86.47</w:t>
            </w:r>
          </w:p>
        </w:tc>
      </w:tr>
      <w:tr>
        <w:tblPrEx>
          <w:tblCellMar>
            <w:top w:w="0" w:type="dxa"/>
            <w:left w:w="108" w:type="dxa"/>
            <w:bottom w:w="0" w:type="dxa"/>
            <w:right w:w="108" w:type="dxa"/>
          </w:tblCellMar>
        </w:tblPrEx>
        <w:trPr>
          <w:trHeight w:val="510" w:hRule="atLeast"/>
        </w:trPr>
        <w:tc>
          <w:tcPr>
            <w:tcW w:w="1420" w:type="pct"/>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马尔康市公共服务中心</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6.24</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16.92</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32.73</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30</w:t>
            </w:r>
          </w:p>
        </w:tc>
        <w:tc>
          <w:tcPr>
            <w:tcW w:w="656"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85.89</w:t>
            </w:r>
          </w:p>
        </w:tc>
      </w:tr>
      <w:tr>
        <w:tblPrEx>
          <w:tblCellMar>
            <w:top w:w="0" w:type="dxa"/>
            <w:left w:w="108" w:type="dxa"/>
            <w:bottom w:w="0" w:type="dxa"/>
            <w:right w:w="108" w:type="dxa"/>
          </w:tblCellMar>
        </w:tblPrEx>
        <w:trPr>
          <w:trHeight w:val="510" w:hRule="atLeast"/>
        </w:trPr>
        <w:tc>
          <w:tcPr>
            <w:tcW w:w="1420" w:type="pct"/>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马尔康市住房和城乡建设局</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8.46</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17.61</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35.14</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22.9</w:t>
            </w:r>
          </w:p>
        </w:tc>
        <w:tc>
          <w:tcPr>
            <w:tcW w:w="656"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84.11</w:t>
            </w:r>
          </w:p>
        </w:tc>
      </w:tr>
      <w:tr>
        <w:tblPrEx>
          <w:tblCellMar>
            <w:top w:w="0" w:type="dxa"/>
            <w:left w:w="108" w:type="dxa"/>
            <w:bottom w:w="0" w:type="dxa"/>
            <w:right w:w="108" w:type="dxa"/>
          </w:tblCellMar>
        </w:tblPrEx>
        <w:trPr>
          <w:trHeight w:val="510" w:hRule="atLeast"/>
        </w:trPr>
        <w:tc>
          <w:tcPr>
            <w:tcW w:w="1420" w:type="pct"/>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马尔康市松岗镇人民政府</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8.24</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16.86</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32.73</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25.5</w:t>
            </w:r>
          </w:p>
        </w:tc>
        <w:tc>
          <w:tcPr>
            <w:tcW w:w="656"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83.33</w:t>
            </w:r>
          </w:p>
        </w:tc>
      </w:tr>
      <w:tr>
        <w:tblPrEx>
          <w:tblCellMar>
            <w:top w:w="0" w:type="dxa"/>
            <w:left w:w="108" w:type="dxa"/>
            <w:bottom w:w="0" w:type="dxa"/>
            <w:right w:w="108" w:type="dxa"/>
          </w:tblCellMar>
        </w:tblPrEx>
        <w:trPr>
          <w:trHeight w:val="510" w:hRule="atLeast"/>
        </w:trPr>
        <w:tc>
          <w:tcPr>
            <w:tcW w:w="1420" w:type="pct"/>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马尔康市应急管理局</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7.98</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19.48</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33.64</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21</w:t>
            </w:r>
          </w:p>
        </w:tc>
        <w:tc>
          <w:tcPr>
            <w:tcW w:w="656"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82.1</w:t>
            </w:r>
          </w:p>
        </w:tc>
      </w:tr>
      <w:tr>
        <w:tblPrEx>
          <w:tblCellMar>
            <w:top w:w="0" w:type="dxa"/>
            <w:left w:w="108" w:type="dxa"/>
            <w:bottom w:w="0" w:type="dxa"/>
            <w:right w:w="108" w:type="dxa"/>
          </w:tblCellMar>
        </w:tblPrEx>
        <w:trPr>
          <w:trHeight w:val="510" w:hRule="atLeast"/>
        </w:trPr>
        <w:tc>
          <w:tcPr>
            <w:tcW w:w="1420" w:type="pct"/>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马尔康市经济商务和信息化局</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8.44</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12.18</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33</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27</w:t>
            </w:r>
          </w:p>
        </w:tc>
        <w:tc>
          <w:tcPr>
            <w:tcW w:w="656"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80.62</w:t>
            </w:r>
          </w:p>
        </w:tc>
      </w:tr>
      <w:tr>
        <w:tblPrEx>
          <w:tblCellMar>
            <w:top w:w="0" w:type="dxa"/>
            <w:left w:w="108" w:type="dxa"/>
            <w:bottom w:w="0" w:type="dxa"/>
            <w:right w:w="108" w:type="dxa"/>
          </w:tblCellMar>
        </w:tblPrEx>
        <w:trPr>
          <w:trHeight w:val="510" w:hRule="atLeast"/>
        </w:trPr>
        <w:tc>
          <w:tcPr>
            <w:tcW w:w="1420" w:type="pct"/>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马尔康市自然资源局</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9.98</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15.02</w:t>
            </w:r>
          </w:p>
        </w:tc>
        <w:tc>
          <w:tcPr>
            <w:tcW w:w="731"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32.6</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21.56</w:t>
            </w:r>
          </w:p>
        </w:tc>
        <w:tc>
          <w:tcPr>
            <w:tcW w:w="656"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79.16</w:t>
            </w:r>
          </w:p>
        </w:tc>
      </w:tr>
      <w:tr>
        <w:tblPrEx>
          <w:tblCellMar>
            <w:top w:w="0" w:type="dxa"/>
            <w:left w:w="108" w:type="dxa"/>
            <w:bottom w:w="0" w:type="dxa"/>
            <w:right w:w="108" w:type="dxa"/>
          </w:tblCellMar>
        </w:tblPrEx>
        <w:trPr>
          <w:trHeight w:val="510" w:hRule="atLeast"/>
        </w:trPr>
        <w:tc>
          <w:tcPr>
            <w:tcW w:w="1420" w:type="pct"/>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马尔康市人民法院</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8.37</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19.86</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24.62</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24</w:t>
            </w:r>
          </w:p>
        </w:tc>
        <w:tc>
          <w:tcPr>
            <w:tcW w:w="656"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76.85</w:t>
            </w:r>
          </w:p>
        </w:tc>
      </w:tr>
      <w:tr>
        <w:tblPrEx>
          <w:tblCellMar>
            <w:top w:w="0" w:type="dxa"/>
            <w:left w:w="108" w:type="dxa"/>
            <w:bottom w:w="0" w:type="dxa"/>
            <w:right w:w="108" w:type="dxa"/>
          </w:tblCellMar>
        </w:tblPrEx>
        <w:trPr>
          <w:trHeight w:val="510" w:hRule="atLeast"/>
        </w:trPr>
        <w:tc>
          <w:tcPr>
            <w:tcW w:w="1420" w:type="pct"/>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马尔康市人民检察院</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6.98</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14.08</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28.76</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27</w:t>
            </w:r>
          </w:p>
        </w:tc>
        <w:tc>
          <w:tcPr>
            <w:tcW w:w="656"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76.82</w:t>
            </w:r>
          </w:p>
        </w:tc>
      </w:tr>
      <w:tr>
        <w:tblPrEx>
          <w:tblCellMar>
            <w:top w:w="0" w:type="dxa"/>
            <w:left w:w="108" w:type="dxa"/>
            <w:bottom w:w="0" w:type="dxa"/>
            <w:right w:w="108" w:type="dxa"/>
          </w:tblCellMar>
        </w:tblPrEx>
        <w:trPr>
          <w:trHeight w:val="510" w:hRule="atLeast"/>
        </w:trPr>
        <w:tc>
          <w:tcPr>
            <w:tcW w:w="1420" w:type="pct"/>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马尔康市卫生健康局</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7.07</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15.38</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29.24</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24</w:t>
            </w:r>
          </w:p>
        </w:tc>
        <w:tc>
          <w:tcPr>
            <w:tcW w:w="656"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75.69</w:t>
            </w:r>
          </w:p>
        </w:tc>
      </w:tr>
      <w:tr>
        <w:tblPrEx>
          <w:tblCellMar>
            <w:top w:w="0" w:type="dxa"/>
            <w:left w:w="108" w:type="dxa"/>
            <w:bottom w:w="0" w:type="dxa"/>
            <w:right w:w="108" w:type="dxa"/>
          </w:tblCellMar>
        </w:tblPrEx>
        <w:trPr>
          <w:trHeight w:val="510" w:hRule="atLeast"/>
        </w:trPr>
        <w:tc>
          <w:tcPr>
            <w:tcW w:w="1420" w:type="pct"/>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马尔康市林业和草原局</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7.99</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13.37</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29.68</w:t>
            </w:r>
          </w:p>
        </w:tc>
        <w:tc>
          <w:tcPr>
            <w:tcW w:w="731"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22.74</w:t>
            </w:r>
          </w:p>
        </w:tc>
        <w:tc>
          <w:tcPr>
            <w:tcW w:w="656"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73.78</w:t>
            </w:r>
          </w:p>
        </w:tc>
      </w:tr>
      <w:tr>
        <w:tblPrEx>
          <w:tblCellMar>
            <w:top w:w="0" w:type="dxa"/>
            <w:left w:w="108" w:type="dxa"/>
            <w:bottom w:w="0" w:type="dxa"/>
            <w:right w:w="108" w:type="dxa"/>
          </w:tblCellMar>
        </w:tblPrEx>
        <w:trPr>
          <w:trHeight w:val="550" w:hRule="atLeast"/>
        </w:trPr>
        <w:tc>
          <w:tcPr>
            <w:tcW w:w="1420" w:type="pct"/>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马尔康市水务局</w:t>
            </w:r>
          </w:p>
        </w:tc>
        <w:tc>
          <w:tcPr>
            <w:tcW w:w="731" w:type="pct"/>
            <w:tcBorders>
              <w:top w:val="nil"/>
              <w:left w:val="nil"/>
              <w:bottom w:val="nil"/>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8.8</w:t>
            </w:r>
          </w:p>
        </w:tc>
        <w:tc>
          <w:tcPr>
            <w:tcW w:w="731" w:type="pct"/>
            <w:tcBorders>
              <w:top w:val="nil"/>
              <w:left w:val="nil"/>
              <w:bottom w:val="nil"/>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16.8</w:t>
            </w:r>
          </w:p>
        </w:tc>
        <w:tc>
          <w:tcPr>
            <w:tcW w:w="731" w:type="pct"/>
            <w:tcBorders>
              <w:top w:val="nil"/>
              <w:left w:val="nil"/>
              <w:bottom w:val="nil"/>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26.7</w:t>
            </w:r>
          </w:p>
        </w:tc>
        <w:tc>
          <w:tcPr>
            <w:tcW w:w="731" w:type="pct"/>
            <w:tcBorders>
              <w:top w:val="nil"/>
              <w:left w:val="nil"/>
              <w:bottom w:val="nil"/>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21</w:t>
            </w:r>
          </w:p>
        </w:tc>
        <w:tc>
          <w:tcPr>
            <w:tcW w:w="656" w:type="pct"/>
            <w:tcBorders>
              <w:top w:val="nil"/>
              <w:left w:val="nil"/>
              <w:bottom w:val="nil"/>
              <w:right w:val="single" w:color="auto" w:sz="4" w:space="0"/>
            </w:tcBorders>
            <w:shd w:val="clear" w:color="auto" w:fill="auto"/>
            <w:noWrap/>
            <w:vAlign w:val="center"/>
          </w:tcPr>
          <w:p>
            <w:pPr>
              <w:spacing w:line="560" w:lineRule="exact"/>
              <w:jc w:val="center"/>
              <w:rPr>
                <w:rFonts w:ascii="宋体" w:hAnsi="宋体" w:eastAsia="仿宋" w:cs="宋体"/>
                <w:sz w:val="32"/>
                <w:szCs w:val="18"/>
              </w:rPr>
            </w:pPr>
            <w:r>
              <w:rPr>
                <w:rFonts w:ascii="宋体" w:hAnsi="宋体" w:eastAsia="仿宋" w:cs="宋体"/>
                <w:sz w:val="32"/>
                <w:szCs w:val="18"/>
              </w:rPr>
              <w:t>73.3</w:t>
            </w:r>
          </w:p>
        </w:tc>
      </w:tr>
      <w:tr>
        <w:tblPrEx>
          <w:tblCellMar>
            <w:top w:w="0" w:type="dxa"/>
            <w:left w:w="108" w:type="dxa"/>
            <w:bottom w:w="0" w:type="dxa"/>
            <w:right w:w="108" w:type="dxa"/>
          </w:tblCellMar>
        </w:tblPrEx>
        <w:trPr>
          <w:trHeight w:val="550" w:hRule="atLeast"/>
        </w:trPr>
        <w:tc>
          <w:tcPr>
            <w:tcW w:w="1420" w:type="pct"/>
            <w:tcBorders>
              <w:top w:val="nil"/>
              <w:left w:val="single" w:color="auto" w:sz="4" w:space="0"/>
              <w:bottom w:val="single" w:color="auto" w:sz="4" w:space="0"/>
              <w:right w:val="nil"/>
            </w:tcBorders>
            <w:shd w:val="clear" w:color="auto" w:fill="auto"/>
            <w:vAlign w:val="center"/>
          </w:tcPr>
          <w:p>
            <w:pPr>
              <w:spacing w:line="560" w:lineRule="exact"/>
              <w:jc w:val="center"/>
              <w:rPr>
                <w:rFonts w:ascii="宋体" w:hAnsi="宋体" w:eastAsia="仿宋" w:cs="宋体"/>
                <w:bCs/>
                <w:sz w:val="32"/>
                <w:szCs w:val="18"/>
              </w:rPr>
            </w:pPr>
            <w:r>
              <w:rPr>
                <w:rFonts w:ascii="宋体" w:hAnsi="宋体" w:eastAsia="仿宋" w:cs="宋体"/>
                <w:bCs/>
                <w:sz w:val="32"/>
                <w:szCs w:val="18"/>
              </w:rPr>
              <w:t>各项指标平均分</w:t>
            </w:r>
          </w:p>
        </w:tc>
        <w:tc>
          <w:tcPr>
            <w:tcW w:w="3580"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pPr>
              <w:spacing w:line="560" w:lineRule="exact"/>
              <w:jc w:val="center"/>
              <w:rPr>
                <w:rFonts w:ascii="宋体" w:hAnsi="宋体" w:eastAsia="仿宋" w:cs="宋体"/>
                <w:bCs/>
                <w:sz w:val="32"/>
                <w:szCs w:val="18"/>
              </w:rPr>
            </w:pPr>
            <w:r>
              <w:rPr>
                <w:rFonts w:ascii="宋体" w:hAnsi="宋体" w:eastAsia="仿宋" w:cs="宋体"/>
                <w:bCs/>
                <w:sz w:val="32"/>
                <w:szCs w:val="18"/>
              </w:rPr>
              <w:t>80.37</w:t>
            </w:r>
          </w:p>
        </w:tc>
      </w:tr>
    </w:tbl>
    <w:p>
      <w:pPr>
        <w:spacing w:line="560" w:lineRule="exact"/>
        <w:rPr>
          <w:rFonts w:eastAsia="仿宋"/>
          <w:sz w:val="32"/>
        </w:rPr>
      </w:pPr>
    </w:p>
    <w:p>
      <w:pPr>
        <w:spacing w:line="560" w:lineRule="exact"/>
        <w:rPr>
          <w:rFonts w:eastAsia="仿宋"/>
          <w:sz w:val="32"/>
        </w:rPr>
      </w:pPr>
    </w:p>
    <w:p>
      <w:pPr>
        <w:spacing w:line="560" w:lineRule="exact"/>
        <w:rPr>
          <w:rFonts w:eastAsia="仿宋"/>
          <w:sz w:val="32"/>
        </w:rPr>
      </w:pPr>
    </w:p>
    <w:p>
      <w:pPr>
        <w:spacing w:line="560" w:lineRule="exact"/>
        <w:rPr>
          <w:rFonts w:eastAsia="仿宋"/>
          <w:sz w:val="32"/>
        </w:rPr>
      </w:pPr>
    </w:p>
    <w:p>
      <w:pPr>
        <w:spacing w:line="560" w:lineRule="exact"/>
        <w:rPr>
          <w:rFonts w:eastAsia="仿宋"/>
          <w:sz w:val="32"/>
        </w:rPr>
      </w:pPr>
    </w:p>
    <w:p>
      <w:pPr>
        <w:spacing w:line="560" w:lineRule="exact"/>
        <w:rPr>
          <w:rFonts w:eastAsia="仿宋"/>
          <w:sz w:val="32"/>
        </w:rPr>
      </w:pPr>
    </w:p>
    <w:p>
      <w:pPr>
        <w:spacing w:line="560" w:lineRule="exact"/>
        <w:rPr>
          <w:rFonts w:hint="eastAsia" w:eastAsia="仿宋"/>
          <w:sz w:val="32"/>
        </w:rPr>
      </w:pPr>
    </w:p>
    <w:p>
      <w:pPr>
        <w:spacing w:line="560" w:lineRule="exact"/>
        <w:rPr>
          <w:rFonts w:eastAsia="仿宋"/>
          <w:sz w:val="32"/>
        </w:rPr>
      </w:pPr>
    </w:p>
    <w:p>
      <w:pPr>
        <w:spacing w:line="560" w:lineRule="exact"/>
        <w:rPr>
          <w:rFonts w:eastAsia="仿宋"/>
          <w:sz w:val="32"/>
        </w:rPr>
      </w:pPr>
    </w:p>
    <w:p>
      <w:pPr>
        <w:spacing w:line="560" w:lineRule="exact"/>
        <w:rPr>
          <w:rFonts w:hint="eastAsia" w:eastAsia="仿宋"/>
          <w:sz w:val="32"/>
        </w:rPr>
      </w:pPr>
    </w:p>
    <w:p>
      <w:pPr>
        <w:spacing w:line="560" w:lineRule="exact"/>
        <w:ind w:firstLine="482"/>
        <w:rPr>
          <w:rFonts w:eastAsia="仿宋"/>
          <w:sz w:val="32"/>
        </w:rPr>
      </w:pPr>
      <w:r>
        <w:rPr>
          <w:rFonts w:hint="eastAsia" w:ascii="仿宋_GB2312" w:hAnsi="仿宋_GB2312" w:eastAsia="仿宋" w:cs="仿宋_GB2312"/>
          <w:bCs/>
          <w:sz w:val="32"/>
        </w:rPr>
        <w:t>附件三</w:t>
      </w:r>
    </w:p>
    <w:p>
      <w:pPr>
        <w:spacing w:line="560" w:lineRule="exact"/>
        <w:ind w:firstLine="562"/>
        <w:jc w:val="center"/>
        <w:rPr>
          <w:rFonts w:hint="eastAsia" w:ascii="仿宋_GB2312" w:hAnsi="仿宋_GB2312" w:eastAsia="仿宋" w:cs="仿宋_GB2312"/>
          <w:bCs/>
          <w:sz w:val="32"/>
          <w:szCs w:val="28"/>
        </w:rPr>
      </w:pPr>
      <w:r>
        <w:rPr>
          <w:rFonts w:hint="eastAsia" w:ascii="仿宋_GB2312" w:hAnsi="仿宋_GB2312" w:eastAsia="仿宋" w:cs="仿宋_GB2312"/>
          <w:bCs/>
          <w:sz w:val="32"/>
          <w:szCs w:val="28"/>
        </w:rPr>
        <w:t>马尔康市20</w:t>
      </w:r>
      <w:r>
        <w:rPr>
          <w:rFonts w:ascii="仿宋_GB2312" w:hAnsi="仿宋_GB2312" w:eastAsia="仿宋" w:cs="仿宋_GB2312"/>
          <w:bCs/>
          <w:sz w:val="32"/>
          <w:szCs w:val="28"/>
        </w:rPr>
        <w:t>20</w:t>
      </w:r>
      <w:r>
        <w:rPr>
          <w:rFonts w:hint="eastAsia" w:ascii="仿宋_GB2312" w:hAnsi="仿宋_GB2312" w:eastAsia="仿宋" w:cs="仿宋_GB2312"/>
          <w:bCs/>
          <w:sz w:val="32"/>
          <w:szCs w:val="28"/>
        </w:rPr>
        <w:t>年财政政策绩效评价得分表</w:t>
      </w:r>
    </w:p>
    <w:tbl>
      <w:tblPr>
        <w:tblStyle w:val="15"/>
        <w:tblW w:w="5000" w:type="pct"/>
        <w:tblInd w:w="0" w:type="dxa"/>
        <w:tblLayout w:type="autofit"/>
        <w:tblCellMar>
          <w:top w:w="0" w:type="dxa"/>
          <w:left w:w="108" w:type="dxa"/>
          <w:bottom w:w="0" w:type="dxa"/>
          <w:right w:w="108" w:type="dxa"/>
        </w:tblCellMar>
      </w:tblPr>
      <w:tblGrid>
        <w:gridCol w:w="536"/>
        <w:gridCol w:w="3465"/>
        <w:gridCol w:w="1247"/>
        <w:gridCol w:w="948"/>
        <w:gridCol w:w="948"/>
        <w:gridCol w:w="825"/>
        <w:gridCol w:w="783"/>
        <w:gridCol w:w="873"/>
        <w:gridCol w:w="222"/>
      </w:tblGrid>
      <w:tr>
        <w:tblPrEx>
          <w:tblCellMar>
            <w:top w:w="0" w:type="dxa"/>
            <w:left w:w="108" w:type="dxa"/>
            <w:bottom w:w="0" w:type="dxa"/>
            <w:right w:w="108" w:type="dxa"/>
          </w:tblCellMar>
        </w:tblPrEx>
        <w:trPr>
          <w:gridAfter w:val="1"/>
          <w:wAfter w:w="123" w:type="pct"/>
          <w:trHeight w:val="560" w:hRule="atLeast"/>
          <w:tblHeader/>
        </w:trPr>
        <w:tc>
          <w:tcPr>
            <w:tcW w:w="25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序号</w:t>
            </w:r>
          </w:p>
        </w:tc>
        <w:tc>
          <w:tcPr>
            <w:tcW w:w="1778" w:type="pct"/>
            <w:vMerge w:val="restart"/>
            <w:tcBorders>
              <w:top w:val="single" w:color="auto" w:sz="4" w:space="0"/>
              <w:left w:val="single" w:color="auto" w:sz="4" w:space="0"/>
              <w:bottom w:val="nil"/>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项目名称</w:t>
            </w:r>
          </w:p>
        </w:tc>
        <w:tc>
          <w:tcPr>
            <w:tcW w:w="652" w:type="pct"/>
            <w:vMerge w:val="restart"/>
            <w:tcBorders>
              <w:top w:val="single" w:color="auto" w:sz="4" w:space="0"/>
              <w:left w:val="single" w:color="auto" w:sz="4" w:space="0"/>
              <w:right w:val="single" w:color="auto" w:sz="4" w:space="0"/>
            </w:tcBorders>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经济性</w:t>
            </w:r>
          </w:p>
        </w:tc>
        <w:tc>
          <w:tcPr>
            <w:tcW w:w="500" w:type="pct"/>
            <w:vMerge w:val="restart"/>
            <w:tcBorders>
              <w:top w:val="single" w:color="auto" w:sz="4" w:space="0"/>
              <w:left w:val="single" w:color="auto" w:sz="4" w:space="0"/>
              <w:right w:val="single" w:color="auto" w:sz="4" w:space="0"/>
            </w:tcBorders>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效率性</w:t>
            </w:r>
          </w:p>
        </w:tc>
        <w:tc>
          <w:tcPr>
            <w:tcW w:w="5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效益性</w:t>
            </w: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公平性</w:t>
            </w:r>
          </w:p>
        </w:tc>
        <w:tc>
          <w:tcPr>
            <w:tcW w:w="4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可持续性</w:t>
            </w:r>
          </w:p>
        </w:tc>
        <w:tc>
          <w:tcPr>
            <w:tcW w:w="34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得分</w:t>
            </w:r>
          </w:p>
        </w:tc>
      </w:tr>
      <w:tr>
        <w:tblPrEx>
          <w:tblCellMar>
            <w:top w:w="0" w:type="dxa"/>
            <w:left w:w="108" w:type="dxa"/>
            <w:bottom w:w="0" w:type="dxa"/>
            <w:right w:w="108" w:type="dxa"/>
          </w:tblCellMar>
        </w:tblPrEx>
        <w:trPr>
          <w:trHeight w:val="280" w:hRule="atLeast"/>
          <w:tblHeader/>
        </w:trPr>
        <w:tc>
          <w:tcPr>
            <w:tcW w:w="250" w:type="pct"/>
            <w:vMerge w:val="continue"/>
            <w:tcBorders>
              <w:top w:val="single" w:color="auto" w:sz="4" w:space="0"/>
              <w:left w:val="single" w:color="auto" w:sz="4" w:space="0"/>
              <w:bottom w:val="single" w:color="000000" w:sz="4" w:space="0"/>
              <w:right w:val="single" w:color="auto" w:sz="4" w:space="0"/>
            </w:tcBorders>
            <w:vAlign w:val="center"/>
          </w:tcPr>
          <w:p>
            <w:pPr>
              <w:spacing w:line="560" w:lineRule="exact"/>
              <w:rPr>
                <w:rFonts w:ascii="Arial Narrow" w:hAnsi="Arial Narrow" w:eastAsia="仿宋" w:cs="宋体"/>
                <w:bCs/>
                <w:sz w:val="32"/>
                <w:szCs w:val="18"/>
              </w:rPr>
            </w:pPr>
          </w:p>
        </w:tc>
        <w:tc>
          <w:tcPr>
            <w:tcW w:w="1778" w:type="pct"/>
            <w:vMerge w:val="continue"/>
            <w:tcBorders>
              <w:top w:val="single" w:color="auto" w:sz="4" w:space="0"/>
              <w:left w:val="single" w:color="auto" w:sz="4" w:space="0"/>
              <w:bottom w:val="nil"/>
              <w:right w:val="single" w:color="auto" w:sz="4" w:space="0"/>
            </w:tcBorders>
            <w:vAlign w:val="center"/>
          </w:tcPr>
          <w:p>
            <w:pPr>
              <w:spacing w:line="560" w:lineRule="exact"/>
              <w:rPr>
                <w:rFonts w:ascii="Arial Narrow" w:hAnsi="Arial Narrow" w:eastAsia="仿宋" w:cs="宋体"/>
                <w:bCs/>
                <w:sz w:val="32"/>
                <w:szCs w:val="18"/>
              </w:rPr>
            </w:pPr>
          </w:p>
        </w:tc>
        <w:tc>
          <w:tcPr>
            <w:tcW w:w="652" w:type="pct"/>
            <w:vMerge w:val="continue"/>
            <w:tcBorders>
              <w:left w:val="single" w:color="auto" w:sz="4" w:space="0"/>
              <w:right w:val="single" w:color="auto" w:sz="4" w:space="0"/>
            </w:tcBorders>
          </w:tcPr>
          <w:p>
            <w:pPr>
              <w:spacing w:line="560" w:lineRule="exact"/>
              <w:rPr>
                <w:rFonts w:ascii="Arial Narrow" w:hAnsi="Arial Narrow" w:eastAsia="仿宋" w:cs="宋体"/>
                <w:bCs/>
                <w:sz w:val="32"/>
                <w:szCs w:val="18"/>
              </w:rPr>
            </w:pPr>
          </w:p>
        </w:tc>
        <w:tc>
          <w:tcPr>
            <w:tcW w:w="500" w:type="pct"/>
            <w:vMerge w:val="continue"/>
            <w:tcBorders>
              <w:left w:val="single" w:color="auto" w:sz="4" w:space="0"/>
              <w:right w:val="single" w:color="auto" w:sz="4" w:space="0"/>
            </w:tcBorders>
          </w:tcPr>
          <w:p>
            <w:pPr>
              <w:spacing w:line="560" w:lineRule="exact"/>
              <w:rPr>
                <w:rFonts w:ascii="Arial Narrow" w:hAnsi="Arial Narrow" w:eastAsia="仿宋" w:cs="宋体"/>
                <w:bCs/>
                <w:sz w:val="32"/>
                <w:szCs w:val="18"/>
              </w:rPr>
            </w:pPr>
          </w:p>
        </w:tc>
        <w:tc>
          <w:tcPr>
            <w:tcW w:w="500" w:type="pct"/>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Arial Narrow" w:hAnsi="Arial Narrow" w:eastAsia="仿宋" w:cs="宋体"/>
                <w:bCs/>
                <w:sz w:val="32"/>
                <w:szCs w:val="18"/>
              </w:rPr>
            </w:pPr>
          </w:p>
        </w:tc>
        <w:tc>
          <w:tcPr>
            <w:tcW w:w="437" w:type="pct"/>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Arial Narrow" w:hAnsi="Arial Narrow" w:eastAsia="仿宋" w:cs="宋体"/>
                <w:bCs/>
                <w:sz w:val="32"/>
                <w:szCs w:val="18"/>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Arial Narrow" w:hAnsi="Arial Narrow" w:eastAsia="仿宋" w:cs="宋体"/>
                <w:bCs/>
                <w:sz w:val="32"/>
                <w:szCs w:val="18"/>
              </w:rPr>
            </w:pPr>
          </w:p>
        </w:tc>
        <w:tc>
          <w:tcPr>
            <w:tcW w:w="343" w:type="pct"/>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Arial Narrow" w:hAnsi="Arial Narrow" w:eastAsia="仿宋" w:cs="宋体"/>
                <w:bCs/>
                <w:sz w:val="32"/>
                <w:szCs w:val="18"/>
              </w:rPr>
            </w:pPr>
          </w:p>
        </w:tc>
        <w:tc>
          <w:tcPr>
            <w:tcW w:w="123" w:type="pct"/>
            <w:tcBorders>
              <w:top w:val="nil"/>
              <w:left w:val="nil"/>
              <w:bottom w:val="nil"/>
              <w:right w:val="nil"/>
            </w:tcBorders>
            <w:shd w:val="clear" w:color="auto" w:fill="auto"/>
            <w:noWrap/>
            <w:vAlign w:val="center"/>
          </w:tcPr>
          <w:p>
            <w:pPr>
              <w:spacing w:line="560" w:lineRule="exact"/>
              <w:jc w:val="center"/>
              <w:rPr>
                <w:rFonts w:ascii="Arial Narrow" w:hAnsi="Arial Narrow" w:eastAsia="仿宋" w:cs="宋体"/>
                <w:bCs/>
                <w:sz w:val="32"/>
                <w:szCs w:val="18"/>
              </w:rPr>
            </w:pPr>
          </w:p>
        </w:tc>
      </w:tr>
      <w:tr>
        <w:tblPrEx>
          <w:tblCellMar>
            <w:top w:w="0" w:type="dxa"/>
            <w:left w:w="108" w:type="dxa"/>
            <w:bottom w:w="0" w:type="dxa"/>
            <w:right w:w="108" w:type="dxa"/>
          </w:tblCellMar>
        </w:tblPrEx>
        <w:trPr>
          <w:trHeight w:val="280" w:hRule="atLeast"/>
          <w:tblHeader/>
        </w:trPr>
        <w:tc>
          <w:tcPr>
            <w:tcW w:w="250" w:type="pct"/>
            <w:vMerge w:val="continue"/>
            <w:tcBorders>
              <w:top w:val="single" w:color="auto" w:sz="4" w:space="0"/>
              <w:left w:val="single" w:color="auto" w:sz="4" w:space="0"/>
              <w:bottom w:val="single" w:color="000000" w:sz="4" w:space="0"/>
              <w:right w:val="single" w:color="auto" w:sz="4" w:space="0"/>
            </w:tcBorders>
            <w:vAlign w:val="center"/>
          </w:tcPr>
          <w:p>
            <w:pPr>
              <w:spacing w:line="560" w:lineRule="exact"/>
              <w:rPr>
                <w:rFonts w:ascii="Arial Narrow" w:hAnsi="Arial Narrow" w:eastAsia="仿宋" w:cs="宋体"/>
                <w:bCs/>
                <w:sz w:val="32"/>
                <w:szCs w:val="18"/>
              </w:rPr>
            </w:pPr>
          </w:p>
        </w:tc>
        <w:tc>
          <w:tcPr>
            <w:tcW w:w="1778" w:type="pct"/>
            <w:vMerge w:val="continue"/>
            <w:tcBorders>
              <w:top w:val="single" w:color="auto" w:sz="4" w:space="0"/>
              <w:left w:val="single" w:color="auto" w:sz="4" w:space="0"/>
              <w:bottom w:val="nil"/>
              <w:right w:val="single" w:color="auto" w:sz="4" w:space="0"/>
            </w:tcBorders>
            <w:vAlign w:val="center"/>
          </w:tcPr>
          <w:p>
            <w:pPr>
              <w:spacing w:line="560" w:lineRule="exact"/>
              <w:rPr>
                <w:rFonts w:ascii="Arial Narrow" w:hAnsi="Arial Narrow" w:eastAsia="仿宋" w:cs="宋体"/>
                <w:bCs/>
                <w:sz w:val="32"/>
                <w:szCs w:val="18"/>
              </w:rPr>
            </w:pPr>
          </w:p>
        </w:tc>
        <w:tc>
          <w:tcPr>
            <w:tcW w:w="652" w:type="pct"/>
            <w:vMerge w:val="continue"/>
            <w:tcBorders>
              <w:left w:val="single" w:color="auto" w:sz="4" w:space="0"/>
              <w:bottom w:val="single" w:color="auto" w:sz="4" w:space="0"/>
              <w:right w:val="single" w:color="auto" w:sz="4" w:space="0"/>
            </w:tcBorders>
          </w:tcPr>
          <w:p>
            <w:pPr>
              <w:spacing w:line="560" w:lineRule="exact"/>
              <w:rPr>
                <w:rFonts w:ascii="Arial Narrow" w:hAnsi="Arial Narrow" w:eastAsia="仿宋" w:cs="宋体"/>
                <w:bCs/>
                <w:sz w:val="32"/>
                <w:szCs w:val="18"/>
              </w:rPr>
            </w:pPr>
          </w:p>
        </w:tc>
        <w:tc>
          <w:tcPr>
            <w:tcW w:w="500" w:type="pct"/>
            <w:vMerge w:val="continue"/>
            <w:tcBorders>
              <w:left w:val="single" w:color="auto" w:sz="4" w:space="0"/>
              <w:bottom w:val="single" w:color="auto" w:sz="4" w:space="0"/>
              <w:right w:val="single" w:color="auto" w:sz="4" w:space="0"/>
            </w:tcBorders>
          </w:tcPr>
          <w:p>
            <w:pPr>
              <w:spacing w:line="560" w:lineRule="exact"/>
              <w:rPr>
                <w:rFonts w:ascii="Arial Narrow" w:hAnsi="Arial Narrow" w:eastAsia="仿宋" w:cs="宋体"/>
                <w:bCs/>
                <w:sz w:val="32"/>
                <w:szCs w:val="18"/>
              </w:rPr>
            </w:pPr>
          </w:p>
        </w:tc>
        <w:tc>
          <w:tcPr>
            <w:tcW w:w="500" w:type="pct"/>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Arial Narrow" w:hAnsi="Arial Narrow" w:eastAsia="仿宋" w:cs="宋体"/>
                <w:bCs/>
                <w:sz w:val="32"/>
                <w:szCs w:val="18"/>
              </w:rPr>
            </w:pPr>
          </w:p>
        </w:tc>
        <w:tc>
          <w:tcPr>
            <w:tcW w:w="437" w:type="pct"/>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Arial Narrow" w:hAnsi="Arial Narrow" w:eastAsia="仿宋" w:cs="宋体"/>
                <w:bCs/>
                <w:sz w:val="32"/>
                <w:szCs w:val="18"/>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Arial Narrow" w:hAnsi="Arial Narrow" w:eastAsia="仿宋" w:cs="宋体"/>
                <w:bCs/>
                <w:sz w:val="32"/>
                <w:szCs w:val="18"/>
              </w:rPr>
            </w:pPr>
          </w:p>
        </w:tc>
        <w:tc>
          <w:tcPr>
            <w:tcW w:w="343" w:type="pct"/>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Arial Narrow" w:hAnsi="Arial Narrow" w:eastAsia="仿宋" w:cs="宋体"/>
                <w:bCs/>
                <w:sz w:val="32"/>
                <w:szCs w:val="18"/>
              </w:rPr>
            </w:pPr>
          </w:p>
        </w:tc>
        <w:tc>
          <w:tcPr>
            <w:tcW w:w="123" w:type="pct"/>
            <w:tcBorders>
              <w:top w:val="nil"/>
              <w:left w:val="nil"/>
              <w:bottom w:val="nil"/>
              <w:right w:val="nil"/>
            </w:tcBorders>
            <w:shd w:val="clear" w:color="auto" w:fill="auto"/>
            <w:noWrap/>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340" w:hRule="atLeast"/>
          <w:tblHeader/>
        </w:trPr>
        <w:tc>
          <w:tcPr>
            <w:tcW w:w="250" w:type="pct"/>
            <w:vMerge w:val="continue"/>
            <w:tcBorders>
              <w:top w:val="single" w:color="auto" w:sz="4" w:space="0"/>
              <w:left w:val="single" w:color="auto" w:sz="4" w:space="0"/>
              <w:bottom w:val="single" w:color="000000" w:sz="4" w:space="0"/>
              <w:right w:val="single" w:color="auto" w:sz="4" w:space="0"/>
            </w:tcBorders>
            <w:vAlign w:val="center"/>
          </w:tcPr>
          <w:p>
            <w:pPr>
              <w:spacing w:line="560" w:lineRule="exact"/>
              <w:rPr>
                <w:rFonts w:ascii="Arial Narrow" w:hAnsi="Arial Narrow" w:eastAsia="仿宋" w:cs="宋体"/>
                <w:bCs/>
                <w:sz w:val="32"/>
                <w:szCs w:val="18"/>
              </w:rPr>
            </w:pPr>
          </w:p>
        </w:tc>
        <w:tc>
          <w:tcPr>
            <w:tcW w:w="1778" w:type="pct"/>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权重</w:t>
            </w:r>
          </w:p>
        </w:tc>
        <w:tc>
          <w:tcPr>
            <w:tcW w:w="652" w:type="pct"/>
            <w:tcBorders>
              <w:top w:val="single" w:color="auto" w:sz="4" w:space="0"/>
              <w:left w:val="nil"/>
              <w:bottom w:val="single" w:color="auto" w:sz="4" w:space="0"/>
              <w:right w:val="single" w:color="auto" w:sz="4" w:space="0"/>
            </w:tcBorders>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20</w:t>
            </w:r>
          </w:p>
        </w:tc>
        <w:tc>
          <w:tcPr>
            <w:tcW w:w="500" w:type="pct"/>
            <w:tcBorders>
              <w:top w:val="nil"/>
              <w:left w:val="single" w:color="auto" w:sz="4" w:space="0"/>
              <w:bottom w:val="single" w:color="auto" w:sz="4" w:space="0"/>
              <w:right w:val="single" w:color="auto" w:sz="4" w:space="0"/>
            </w:tcBorders>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30</w:t>
            </w:r>
          </w:p>
        </w:tc>
        <w:tc>
          <w:tcPr>
            <w:tcW w:w="50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25</w:t>
            </w:r>
          </w:p>
        </w:tc>
        <w:tc>
          <w:tcPr>
            <w:tcW w:w="437"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10</w:t>
            </w:r>
          </w:p>
        </w:tc>
        <w:tc>
          <w:tcPr>
            <w:tcW w:w="416"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15</w:t>
            </w:r>
          </w:p>
        </w:tc>
        <w:tc>
          <w:tcPr>
            <w:tcW w:w="343" w:type="pct"/>
            <w:tcBorders>
              <w:top w:val="nil"/>
              <w:left w:val="nil"/>
              <w:bottom w:val="single" w:color="auto" w:sz="4" w:space="0"/>
              <w:right w:val="single" w:color="auto" w:sz="4" w:space="0"/>
            </w:tcBorders>
            <w:shd w:val="clear" w:color="auto" w:fill="auto"/>
            <w:noWrap/>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100</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460" w:hRule="atLeast"/>
        </w:trPr>
        <w:tc>
          <w:tcPr>
            <w:tcW w:w="250"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w:t>
            </w:r>
          </w:p>
        </w:tc>
        <w:tc>
          <w:tcPr>
            <w:tcW w:w="1778"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2019年基层组织活动和公共服务运行经费（州级补助）</w:t>
            </w:r>
          </w:p>
        </w:tc>
        <w:tc>
          <w:tcPr>
            <w:tcW w:w="652" w:type="pct"/>
            <w:tcBorders>
              <w:top w:val="single" w:color="auto" w:sz="4" w:space="0"/>
              <w:left w:val="nil"/>
              <w:bottom w:val="single" w:color="auto" w:sz="4" w:space="0"/>
              <w:right w:val="single" w:color="auto" w:sz="4" w:space="0"/>
            </w:tcBorders>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20</w:t>
            </w:r>
          </w:p>
        </w:tc>
        <w:tc>
          <w:tcPr>
            <w:tcW w:w="500" w:type="pct"/>
            <w:tcBorders>
              <w:top w:val="nil"/>
              <w:left w:val="single" w:color="auto" w:sz="4" w:space="0"/>
              <w:bottom w:val="single" w:color="auto" w:sz="4" w:space="0"/>
              <w:right w:val="single" w:color="auto" w:sz="4" w:space="0"/>
            </w:tcBorders>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16</w:t>
            </w:r>
          </w:p>
        </w:tc>
        <w:tc>
          <w:tcPr>
            <w:tcW w:w="50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19</w:t>
            </w:r>
          </w:p>
        </w:tc>
        <w:tc>
          <w:tcPr>
            <w:tcW w:w="437"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8</w:t>
            </w:r>
          </w:p>
        </w:tc>
        <w:tc>
          <w:tcPr>
            <w:tcW w:w="416"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15</w:t>
            </w:r>
          </w:p>
        </w:tc>
        <w:tc>
          <w:tcPr>
            <w:tcW w:w="343"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78</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460" w:hRule="atLeast"/>
        </w:trPr>
        <w:tc>
          <w:tcPr>
            <w:tcW w:w="250"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w:t>
            </w:r>
          </w:p>
        </w:tc>
        <w:tc>
          <w:tcPr>
            <w:tcW w:w="1778"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2019年城乡居民养老保险政策绩效评价报告</w:t>
            </w:r>
          </w:p>
        </w:tc>
        <w:tc>
          <w:tcPr>
            <w:tcW w:w="652" w:type="pct"/>
            <w:tcBorders>
              <w:top w:val="single" w:color="auto" w:sz="4" w:space="0"/>
              <w:left w:val="nil"/>
              <w:bottom w:val="single" w:color="auto" w:sz="4" w:space="0"/>
              <w:right w:val="single" w:color="auto" w:sz="4" w:space="0"/>
            </w:tcBorders>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20</w:t>
            </w:r>
          </w:p>
        </w:tc>
        <w:tc>
          <w:tcPr>
            <w:tcW w:w="500" w:type="pct"/>
            <w:tcBorders>
              <w:top w:val="nil"/>
              <w:left w:val="single" w:color="auto" w:sz="4" w:space="0"/>
              <w:bottom w:val="single" w:color="auto" w:sz="4" w:space="0"/>
              <w:right w:val="single" w:color="auto" w:sz="4" w:space="0"/>
            </w:tcBorders>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19.81</w:t>
            </w:r>
          </w:p>
        </w:tc>
        <w:tc>
          <w:tcPr>
            <w:tcW w:w="50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25</w:t>
            </w:r>
          </w:p>
        </w:tc>
        <w:tc>
          <w:tcPr>
            <w:tcW w:w="437"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10</w:t>
            </w:r>
          </w:p>
        </w:tc>
        <w:tc>
          <w:tcPr>
            <w:tcW w:w="416"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15</w:t>
            </w:r>
          </w:p>
        </w:tc>
        <w:tc>
          <w:tcPr>
            <w:tcW w:w="343"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89.81</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460" w:hRule="atLeast"/>
        </w:trPr>
        <w:tc>
          <w:tcPr>
            <w:tcW w:w="250"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3</w:t>
            </w:r>
          </w:p>
        </w:tc>
        <w:tc>
          <w:tcPr>
            <w:tcW w:w="1778"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2019年林业改革资金</w:t>
            </w:r>
          </w:p>
        </w:tc>
        <w:tc>
          <w:tcPr>
            <w:tcW w:w="652" w:type="pct"/>
            <w:tcBorders>
              <w:top w:val="single" w:color="auto" w:sz="4" w:space="0"/>
              <w:left w:val="nil"/>
              <w:bottom w:val="single" w:color="auto" w:sz="4" w:space="0"/>
              <w:right w:val="single" w:color="auto" w:sz="4" w:space="0"/>
            </w:tcBorders>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20</w:t>
            </w:r>
          </w:p>
        </w:tc>
        <w:tc>
          <w:tcPr>
            <w:tcW w:w="500" w:type="pct"/>
            <w:tcBorders>
              <w:top w:val="nil"/>
              <w:left w:val="single" w:color="auto" w:sz="4" w:space="0"/>
              <w:bottom w:val="single" w:color="auto" w:sz="4" w:space="0"/>
              <w:right w:val="single" w:color="auto" w:sz="4" w:space="0"/>
            </w:tcBorders>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29</w:t>
            </w:r>
          </w:p>
        </w:tc>
        <w:tc>
          <w:tcPr>
            <w:tcW w:w="50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21</w:t>
            </w:r>
          </w:p>
        </w:tc>
        <w:tc>
          <w:tcPr>
            <w:tcW w:w="437"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9</w:t>
            </w:r>
          </w:p>
        </w:tc>
        <w:tc>
          <w:tcPr>
            <w:tcW w:w="416"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15</w:t>
            </w:r>
          </w:p>
        </w:tc>
        <w:tc>
          <w:tcPr>
            <w:tcW w:w="343"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94</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560" w:hRule="atLeast"/>
        </w:trPr>
        <w:tc>
          <w:tcPr>
            <w:tcW w:w="250"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4</w:t>
            </w:r>
          </w:p>
        </w:tc>
        <w:tc>
          <w:tcPr>
            <w:tcW w:w="1778"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2019年州级农资补贴资金</w:t>
            </w:r>
          </w:p>
        </w:tc>
        <w:tc>
          <w:tcPr>
            <w:tcW w:w="652" w:type="pct"/>
            <w:tcBorders>
              <w:top w:val="single" w:color="auto" w:sz="4" w:space="0"/>
              <w:left w:val="nil"/>
              <w:bottom w:val="single" w:color="auto" w:sz="4" w:space="0"/>
              <w:right w:val="single" w:color="auto" w:sz="4" w:space="0"/>
            </w:tcBorders>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20</w:t>
            </w:r>
          </w:p>
        </w:tc>
        <w:tc>
          <w:tcPr>
            <w:tcW w:w="500" w:type="pct"/>
            <w:tcBorders>
              <w:top w:val="nil"/>
              <w:left w:val="single" w:color="auto" w:sz="4" w:space="0"/>
              <w:bottom w:val="single" w:color="auto" w:sz="4" w:space="0"/>
              <w:right w:val="single" w:color="auto" w:sz="4" w:space="0"/>
            </w:tcBorders>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18.69</w:t>
            </w:r>
          </w:p>
        </w:tc>
        <w:tc>
          <w:tcPr>
            <w:tcW w:w="50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20.85</w:t>
            </w:r>
          </w:p>
        </w:tc>
        <w:tc>
          <w:tcPr>
            <w:tcW w:w="437"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10</w:t>
            </w:r>
          </w:p>
        </w:tc>
        <w:tc>
          <w:tcPr>
            <w:tcW w:w="416"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15</w:t>
            </w:r>
          </w:p>
        </w:tc>
        <w:tc>
          <w:tcPr>
            <w:tcW w:w="343"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84.54</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480" w:hRule="atLeast"/>
        </w:trPr>
        <w:tc>
          <w:tcPr>
            <w:tcW w:w="250" w:type="pc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5</w:t>
            </w:r>
          </w:p>
        </w:tc>
        <w:tc>
          <w:tcPr>
            <w:tcW w:w="1778" w:type="pct"/>
            <w:tcBorders>
              <w:top w:val="nil"/>
              <w:left w:val="nil"/>
              <w:bottom w:val="single" w:color="auto" w:sz="4" w:space="0"/>
              <w:right w:val="single" w:color="auto" w:sz="4" w:space="0"/>
            </w:tcBorders>
            <w:shd w:val="clear" w:color="auto" w:fill="auto"/>
            <w:vAlign w:val="center"/>
          </w:tcPr>
          <w:p>
            <w:pPr>
              <w:spacing w:line="560" w:lineRule="exact"/>
              <w:rPr>
                <w:rFonts w:ascii="Arial Narrow" w:hAnsi="Arial Narrow" w:eastAsia="仿宋" w:cs="宋体"/>
                <w:sz w:val="32"/>
                <w:szCs w:val="18"/>
              </w:rPr>
            </w:pPr>
            <w:r>
              <w:rPr>
                <w:rFonts w:ascii="Arial Narrow" w:hAnsi="Arial Narrow" w:eastAsia="仿宋" w:cs="宋体"/>
                <w:sz w:val="32"/>
                <w:szCs w:val="18"/>
              </w:rPr>
              <w:t>"019年州级财政专项扶贫资金</w:t>
            </w:r>
          </w:p>
        </w:tc>
        <w:tc>
          <w:tcPr>
            <w:tcW w:w="652" w:type="pct"/>
            <w:tcBorders>
              <w:top w:val="single" w:color="auto" w:sz="4" w:space="0"/>
              <w:left w:val="nil"/>
              <w:bottom w:val="single" w:color="auto" w:sz="4" w:space="0"/>
              <w:right w:val="single" w:color="auto" w:sz="4" w:space="0"/>
            </w:tcBorders>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20</w:t>
            </w:r>
          </w:p>
        </w:tc>
        <w:tc>
          <w:tcPr>
            <w:tcW w:w="500" w:type="pct"/>
            <w:tcBorders>
              <w:top w:val="nil"/>
              <w:left w:val="single" w:color="auto" w:sz="4" w:space="0"/>
              <w:bottom w:val="single" w:color="auto" w:sz="4" w:space="0"/>
              <w:right w:val="single" w:color="auto" w:sz="4" w:space="0"/>
            </w:tcBorders>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27.29</w:t>
            </w:r>
          </w:p>
        </w:tc>
        <w:tc>
          <w:tcPr>
            <w:tcW w:w="50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22.5</w:t>
            </w:r>
          </w:p>
        </w:tc>
        <w:tc>
          <w:tcPr>
            <w:tcW w:w="437"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10</w:t>
            </w:r>
          </w:p>
        </w:tc>
        <w:tc>
          <w:tcPr>
            <w:tcW w:w="416"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15</w:t>
            </w:r>
          </w:p>
        </w:tc>
        <w:tc>
          <w:tcPr>
            <w:tcW w:w="343"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94.79</w:t>
            </w:r>
          </w:p>
        </w:tc>
        <w:tc>
          <w:tcPr>
            <w:tcW w:w="123" w:type="pct"/>
            <w:vAlign w:val="center"/>
          </w:tcPr>
          <w:p>
            <w:pPr>
              <w:spacing w:line="560" w:lineRule="exact"/>
              <w:rPr>
                <w:rFonts w:ascii="Arial Narrow" w:hAnsi="Arial Narrow" w:eastAsia="仿宋"/>
                <w:sz w:val="32"/>
                <w:szCs w:val="18"/>
              </w:rPr>
            </w:pPr>
          </w:p>
        </w:tc>
      </w:tr>
      <w:tr>
        <w:tblPrEx>
          <w:tblCellMar>
            <w:top w:w="0" w:type="dxa"/>
            <w:left w:w="108" w:type="dxa"/>
            <w:bottom w:w="0" w:type="dxa"/>
            <w:right w:w="108" w:type="dxa"/>
          </w:tblCellMar>
        </w:tblPrEx>
        <w:trPr>
          <w:trHeight w:val="360" w:hRule="atLeast"/>
        </w:trPr>
        <w:tc>
          <w:tcPr>
            <w:tcW w:w="250" w:type="pct"/>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Arial Narrow" w:hAnsi="Arial Narrow" w:eastAsia="仿宋" w:cs="宋体"/>
                <w:bCs/>
                <w:sz w:val="32"/>
                <w:szCs w:val="18"/>
              </w:rPr>
            </w:pPr>
            <w:r>
              <w:rPr>
                <w:rFonts w:ascii="Arial Narrow" w:hAnsi="Arial Narrow" w:eastAsia="仿宋" w:cs="宋体"/>
                <w:bCs/>
                <w:sz w:val="32"/>
                <w:szCs w:val="18"/>
              </w:rPr>
              <w:t>　</w:t>
            </w:r>
          </w:p>
        </w:tc>
        <w:tc>
          <w:tcPr>
            <w:tcW w:w="1778"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bCs/>
                <w:sz w:val="32"/>
                <w:szCs w:val="18"/>
              </w:rPr>
            </w:pPr>
            <w:r>
              <w:rPr>
                <w:rFonts w:ascii="Arial Narrow" w:hAnsi="Arial Narrow" w:eastAsia="仿宋" w:cs="宋体"/>
                <w:bCs/>
                <w:sz w:val="32"/>
                <w:szCs w:val="18"/>
              </w:rPr>
              <w:t>各项指标平均分</w:t>
            </w:r>
          </w:p>
        </w:tc>
        <w:tc>
          <w:tcPr>
            <w:tcW w:w="652" w:type="pct"/>
            <w:tcBorders>
              <w:top w:val="single" w:color="auto" w:sz="4" w:space="0"/>
              <w:left w:val="nil"/>
              <w:bottom w:val="single" w:color="auto" w:sz="4" w:space="0"/>
              <w:right w:val="single" w:color="auto" w:sz="4" w:space="0"/>
            </w:tcBorders>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20</w:t>
            </w:r>
          </w:p>
        </w:tc>
        <w:tc>
          <w:tcPr>
            <w:tcW w:w="500" w:type="pct"/>
            <w:tcBorders>
              <w:top w:val="nil"/>
              <w:left w:val="single" w:color="auto" w:sz="4" w:space="0"/>
              <w:bottom w:val="single" w:color="auto" w:sz="4" w:space="0"/>
              <w:right w:val="single" w:color="auto" w:sz="4" w:space="0"/>
            </w:tcBorders>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22.16</w:t>
            </w:r>
          </w:p>
        </w:tc>
        <w:tc>
          <w:tcPr>
            <w:tcW w:w="500" w:type="pct"/>
            <w:tcBorders>
              <w:top w:val="nil"/>
              <w:left w:val="nil"/>
              <w:bottom w:val="single" w:color="auto" w:sz="4" w:space="0"/>
              <w:right w:val="single" w:color="auto" w:sz="4" w:space="0"/>
            </w:tcBorders>
            <w:shd w:val="clear" w:color="auto" w:fill="auto"/>
            <w:vAlign w:val="center"/>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21.67</w:t>
            </w:r>
          </w:p>
        </w:tc>
        <w:tc>
          <w:tcPr>
            <w:tcW w:w="437" w:type="pct"/>
            <w:tcBorders>
              <w:top w:val="nil"/>
              <w:left w:val="nil"/>
              <w:bottom w:val="single" w:color="auto" w:sz="4" w:space="0"/>
              <w:right w:val="single" w:color="auto" w:sz="4" w:space="0"/>
            </w:tcBorders>
            <w:shd w:val="clear" w:color="auto" w:fill="auto"/>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9.4</w:t>
            </w:r>
          </w:p>
        </w:tc>
        <w:tc>
          <w:tcPr>
            <w:tcW w:w="416" w:type="pct"/>
            <w:tcBorders>
              <w:top w:val="nil"/>
              <w:left w:val="nil"/>
              <w:bottom w:val="single" w:color="auto" w:sz="4" w:space="0"/>
              <w:right w:val="single" w:color="auto" w:sz="4" w:space="0"/>
            </w:tcBorders>
            <w:shd w:val="clear" w:color="auto" w:fill="auto"/>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15</w:t>
            </w:r>
          </w:p>
        </w:tc>
        <w:tc>
          <w:tcPr>
            <w:tcW w:w="343" w:type="pct"/>
            <w:tcBorders>
              <w:top w:val="nil"/>
              <w:left w:val="nil"/>
              <w:bottom w:val="single" w:color="auto" w:sz="4" w:space="0"/>
              <w:right w:val="single" w:color="auto" w:sz="4" w:space="0"/>
            </w:tcBorders>
            <w:shd w:val="clear" w:color="auto" w:fill="auto"/>
          </w:tcPr>
          <w:p>
            <w:pPr>
              <w:spacing w:line="560" w:lineRule="exact"/>
              <w:jc w:val="center"/>
              <w:rPr>
                <w:rFonts w:ascii="Arial Narrow" w:hAnsi="Arial Narrow" w:eastAsia="仿宋" w:cs="宋体"/>
                <w:sz w:val="32"/>
                <w:szCs w:val="18"/>
              </w:rPr>
            </w:pPr>
            <w:r>
              <w:rPr>
                <w:rFonts w:ascii="Arial Narrow" w:hAnsi="Arial Narrow" w:eastAsia="仿宋" w:cs="宋体"/>
                <w:sz w:val="32"/>
                <w:szCs w:val="18"/>
              </w:rPr>
              <w:t>88.23</w:t>
            </w:r>
          </w:p>
        </w:tc>
        <w:tc>
          <w:tcPr>
            <w:tcW w:w="123" w:type="pct"/>
            <w:vAlign w:val="center"/>
          </w:tcPr>
          <w:p>
            <w:pPr>
              <w:spacing w:line="560" w:lineRule="exact"/>
              <w:rPr>
                <w:rFonts w:ascii="Arial Narrow" w:hAnsi="Arial Narrow" w:eastAsia="仿宋"/>
                <w:bCs/>
                <w:sz w:val="32"/>
                <w:szCs w:val="18"/>
              </w:rPr>
            </w:pPr>
          </w:p>
        </w:tc>
      </w:tr>
    </w:tbl>
    <w:p>
      <w:pPr>
        <w:spacing w:line="560" w:lineRule="exact"/>
        <w:rPr>
          <w:rFonts w:hint="eastAsia" w:eastAsia="仿宋"/>
          <w:sz w:val="32"/>
        </w:rPr>
      </w:pPr>
    </w:p>
    <w:p>
      <w:pPr>
        <w:widowControl w:val="0"/>
        <w:kinsoku/>
        <w:autoSpaceDE/>
        <w:autoSpaceDN/>
        <w:adjustRightInd/>
        <w:snapToGrid/>
        <w:spacing w:line="560" w:lineRule="exact"/>
        <w:ind w:firstLine="640" w:firstLineChars="200"/>
        <w:jc w:val="both"/>
        <w:textAlignment w:val="auto"/>
        <w:rPr>
          <w:rFonts w:ascii="仿宋_GB2312" w:hAnsi="宋体" w:eastAsia="仿宋" w:cs="宋体"/>
          <w:snapToGrid/>
          <w:sz w:val="32"/>
          <w:szCs w:val="28"/>
          <w:shd w:val="clear" w:color="auto" w:fill="FFFFFF"/>
        </w:rPr>
      </w:pPr>
    </w:p>
    <w:p>
      <w:pPr>
        <w:spacing w:line="560" w:lineRule="exact"/>
        <w:rPr>
          <w:rFonts w:hint="eastAsia" w:eastAsia="仿宋"/>
          <w:sz w:val="32"/>
          <w:highlight w:val="yellow"/>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ascii="仿宋" w:hAnsi="仿宋" w:eastAsia="仿宋"/>
          <w:sz w:val="32"/>
          <w:szCs w:val="32"/>
        </w:rPr>
      </w:pPr>
    </w:p>
    <w:sectPr>
      <w:footerReference r:id="rId10" w:type="default"/>
      <w:pgSz w:w="11907" w:h="16839"/>
      <w:pgMar w:top="1256" w:right="875" w:bottom="1072" w:left="1401" w:header="0" w:footer="85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0AFF" w:usb1="00007843" w:usb2="00000001" w:usb3="00000000" w:csb0="400001BF" w:csb1="DFF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060" w:firstLineChars="170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060" w:firstLineChars="1700"/>
      <w:rPr>
        <w:rFonts w:hint="eastAsia"/>
      </w:rPr>
    </w:pPr>
    <w:r>
      <w:rPr>
        <w:snapToGrid w:val="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222250"/>
              <wp:effectExtent l="2540" t="0" r="0" b="0"/>
              <wp:wrapNone/>
              <wp:docPr id="126"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972185" cy="222250"/>
                      </a:xfrm>
                      <a:prstGeom prst="rect">
                        <a:avLst/>
                      </a:prstGeom>
                      <a:noFill/>
                      <a:ln>
                        <a:noFill/>
                      </a:ln>
                    </wps:spPr>
                    <wps:txbx>
                      <w:txbxContent>
                        <w:p>
                          <w:pPr>
                            <w:pStyle w:val="12"/>
                            <w:ind w:firstLine="0" w:firstLineChars="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r>
                            <w:rPr>
                              <w:rFonts w:hint="eastAsia"/>
                            </w:rPr>
                            <w:t xml:space="preserve"> 页 共 31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76.55pt;mso-position-horizontal:center;mso-position-horizontal-relative:margin;mso-wrap-style:none;z-index:251659264;mso-width-relative:page;mso-height-relative:page;" filled="f" stroked="f" coordsize="21600,21600" o:gfxdata="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&#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BQto0gAAAAQBAAAPAAAAAAAAAAEAIAAAACIAAABk&#10;cnMvZG93bnJldi54bWxQSwECFAAUAAAACACHTuJAn0m/KQwCAAAGBAAADgAAAAAAAAABACAAAAAh&#10;AQAAZHJzL2Uyb0RvYy54bWxQSwUGAAAAAAYABgBZAQAAnwUAAAAA&#10;">
              <v:fill on="f" focussize="0,0"/>
              <v:stroke on="f"/>
              <v:imagedata o:title=""/>
              <o:lock v:ext="edit" aspectratio="f"/>
              <v:textbox inset="0mm,0mm,0mm,0mm" style="mso-fit-shape-to-text:t;">
                <w:txbxContent>
                  <w:p>
                    <w:pPr>
                      <w:pStyle w:val="12"/>
                      <w:ind w:firstLine="0" w:firstLineChars="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r>
                      <w:rPr>
                        <w:rFonts w:hint="eastAsia"/>
                      </w:rPr>
                      <w:t xml:space="preserve"> 页 共 31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0" w:lineRule="auto"/>
      <w:ind w:left="4070"/>
      <w:rPr>
        <w:sz w:val="17"/>
        <w:szCs w:val="17"/>
      </w:rPr>
    </w:pPr>
    <w:r>
      <w:rPr>
        <w:rFonts w:eastAsia="Arial"/>
        <w:spacing w:val="9"/>
        <w:sz w:val="17"/>
        <w:szCs w:val="17"/>
      </w:rPr>
      <w:t>10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NTk0ODMzMzE5ZjFhNjQzY2Q3ZGEzYjkyNmI3ODUzYjAifQ=="/>
  </w:docVars>
  <w:rsids>
    <w:rsidRoot w:val="009D3C51"/>
    <w:rsid w:val="0014445B"/>
    <w:rsid w:val="001770FF"/>
    <w:rsid w:val="004A76D0"/>
    <w:rsid w:val="00547775"/>
    <w:rsid w:val="00646323"/>
    <w:rsid w:val="00646A83"/>
    <w:rsid w:val="007C7F94"/>
    <w:rsid w:val="009024B2"/>
    <w:rsid w:val="009D3C51"/>
    <w:rsid w:val="00A32BAD"/>
    <w:rsid w:val="00B33D19"/>
    <w:rsid w:val="00EA5178"/>
    <w:rsid w:val="00FC7C59"/>
    <w:rsid w:val="4ABB5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17"/>
    <w:qFormat/>
    <w:uiPriority w:val="0"/>
    <w:pPr>
      <w:widowControl w:val="0"/>
      <w:kinsoku/>
      <w:autoSpaceDE/>
      <w:autoSpaceDN/>
      <w:adjustRightInd/>
      <w:spacing w:before="50" w:beforeLines="50" w:after="50" w:afterLines="50"/>
      <w:ind w:firstLine="1040" w:firstLineChars="200"/>
      <w:textAlignment w:val="auto"/>
      <w:outlineLvl w:val="0"/>
    </w:pPr>
    <w:rPr>
      <w:rFonts w:ascii="宋体" w:hAnsi="宋体" w:eastAsia="黑体" w:cs="Times New Roman"/>
      <w:b/>
      <w:snapToGrid/>
      <w:color w:val="auto"/>
      <w:kern w:val="2"/>
      <w:sz w:val="28"/>
      <w:szCs w:val="44"/>
    </w:rPr>
  </w:style>
  <w:style w:type="paragraph" w:styleId="3">
    <w:name w:val="heading 2"/>
    <w:basedOn w:val="1"/>
    <w:next w:val="1"/>
    <w:link w:val="18"/>
    <w:qFormat/>
    <w:uiPriority w:val="0"/>
    <w:pPr>
      <w:keepNext/>
      <w:keepLines/>
      <w:widowControl w:val="0"/>
      <w:kinsoku/>
      <w:autoSpaceDE/>
      <w:autoSpaceDN/>
      <w:adjustRightInd/>
      <w:snapToGrid/>
      <w:spacing w:before="260" w:after="260" w:line="416" w:lineRule="auto"/>
      <w:ind w:firstLine="1040" w:firstLineChars="200"/>
      <w:jc w:val="both"/>
      <w:textAlignment w:val="auto"/>
      <w:outlineLvl w:val="1"/>
    </w:pPr>
    <w:rPr>
      <w:rFonts w:ascii="等线 Light" w:hAnsi="等线 Light" w:eastAsia="等线 Light" w:cs="Times New Roman"/>
      <w:b/>
      <w:bCs/>
      <w:snapToGrid/>
      <w:color w:val="auto"/>
      <w:kern w:val="2"/>
      <w:sz w:val="32"/>
      <w:szCs w:val="32"/>
    </w:rPr>
  </w:style>
  <w:style w:type="paragraph" w:styleId="4">
    <w:name w:val="heading 3"/>
    <w:basedOn w:val="1"/>
    <w:next w:val="1"/>
    <w:link w:val="19"/>
    <w:qFormat/>
    <w:uiPriority w:val="0"/>
    <w:pPr>
      <w:keepNext/>
      <w:keepLines/>
      <w:widowControl w:val="0"/>
      <w:kinsoku/>
      <w:autoSpaceDE/>
      <w:autoSpaceDN/>
      <w:adjustRightInd/>
      <w:snapToGrid/>
      <w:spacing w:before="260" w:after="260" w:line="416" w:lineRule="auto"/>
      <w:ind w:firstLine="1040" w:firstLineChars="200"/>
      <w:jc w:val="both"/>
      <w:textAlignment w:val="auto"/>
      <w:outlineLvl w:val="2"/>
    </w:pPr>
    <w:rPr>
      <w:rFonts w:ascii="Times New Roman" w:hAnsi="Times New Roman" w:eastAsia="宋体" w:cs="Times New Roman"/>
      <w:b/>
      <w:bCs/>
      <w:snapToGrid/>
      <w:color w:val="auto"/>
      <w:kern w:val="2"/>
      <w:sz w:val="32"/>
      <w:szCs w:val="32"/>
    </w:rPr>
  </w:style>
  <w:style w:type="paragraph" w:styleId="5">
    <w:name w:val="heading 4"/>
    <w:basedOn w:val="1"/>
    <w:next w:val="1"/>
    <w:link w:val="20"/>
    <w:qFormat/>
    <w:uiPriority w:val="0"/>
    <w:pPr>
      <w:keepNext/>
      <w:keepLines/>
      <w:kinsoku/>
      <w:autoSpaceDE/>
      <w:autoSpaceDN/>
      <w:adjustRightInd/>
      <w:snapToGrid/>
      <w:spacing w:after="104" w:line="256" w:lineRule="auto"/>
      <w:ind w:left="10" w:hanging="10" w:firstLineChars="200"/>
      <w:textAlignment w:val="auto"/>
      <w:outlineLvl w:val="3"/>
    </w:pPr>
    <w:rPr>
      <w:rFonts w:ascii="微软雅黑" w:hAnsi="微软雅黑" w:eastAsia="微软雅黑" w:cs="Times New Roman"/>
      <w:snapToGrid/>
      <w:kern w:val="2"/>
      <w:sz w:val="30"/>
      <w:szCs w:val="2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Document Map"/>
    <w:basedOn w:val="1"/>
    <w:link w:val="30"/>
    <w:uiPriority w:val="0"/>
    <w:pPr>
      <w:widowControl w:val="0"/>
      <w:kinsoku/>
      <w:autoSpaceDE/>
      <w:autoSpaceDN/>
      <w:adjustRightInd/>
      <w:snapToGrid/>
      <w:spacing w:line="360" w:lineRule="auto"/>
      <w:ind w:firstLine="1040" w:firstLineChars="200"/>
      <w:jc w:val="both"/>
      <w:textAlignment w:val="auto"/>
    </w:pPr>
    <w:rPr>
      <w:kern w:val="2"/>
      <w:sz w:val="24"/>
      <w:szCs w:val="24"/>
    </w:rPr>
  </w:style>
  <w:style w:type="paragraph" w:styleId="7">
    <w:name w:val="annotation text"/>
    <w:basedOn w:val="1"/>
    <w:link w:val="27"/>
    <w:uiPriority w:val="0"/>
    <w:pPr>
      <w:widowControl w:val="0"/>
      <w:kinsoku/>
      <w:autoSpaceDE/>
      <w:autoSpaceDN/>
      <w:adjustRightInd/>
      <w:snapToGrid/>
      <w:spacing w:line="360" w:lineRule="auto"/>
      <w:ind w:firstLine="1040" w:firstLineChars="200"/>
      <w:textAlignment w:val="auto"/>
    </w:pPr>
    <w:rPr>
      <w:kern w:val="2"/>
      <w:sz w:val="24"/>
      <w:szCs w:val="24"/>
    </w:rPr>
  </w:style>
  <w:style w:type="paragraph" w:styleId="8">
    <w:name w:val="Body Text Indent"/>
    <w:basedOn w:val="1"/>
    <w:link w:val="33"/>
    <w:qFormat/>
    <w:uiPriority w:val="0"/>
    <w:pPr>
      <w:widowControl w:val="0"/>
      <w:kinsoku/>
      <w:autoSpaceDE/>
      <w:autoSpaceDN/>
      <w:adjustRightInd/>
      <w:snapToGrid/>
      <w:spacing w:line="360" w:lineRule="auto"/>
      <w:ind w:left="482" w:firstLine="1040" w:firstLineChars="200"/>
      <w:jc w:val="both"/>
      <w:textAlignment w:val="auto"/>
    </w:pPr>
    <w:rPr>
      <w:rFonts w:ascii="宋体" w:hAnsi="宋体" w:eastAsia="宋体" w:cs="Times New Roman"/>
      <w:b/>
      <w:bCs/>
      <w:snapToGrid/>
      <w:color w:val="auto"/>
      <w:kern w:val="2"/>
      <w:sz w:val="24"/>
      <w:szCs w:val="24"/>
    </w:rPr>
  </w:style>
  <w:style w:type="paragraph" w:styleId="9">
    <w:name w:val="Plain Text"/>
    <w:basedOn w:val="1"/>
    <w:link w:val="36"/>
    <w:uiPriority w:val="0"/>
    <w:pPr>
      <w:widowControl w:val="0"/>
      <w:kinsoku/>
      <w:autoSpaceDE/>
      <w:autoSpaceDN/>
      <w:adjustRightInd/>
      <w:snapToGrid/>
      <w:spacing w:line="360" w:lineRule="auto"/>
      <w:ind w:firstLine="1040" w:firstLineChars="200"/>
      <w:jc w:val="both"/>
      <w:textAlignment w:val="auto"/>
    </w:pPr>
    <w:rPr>
      <w:rFonts w:ascii="宋体" w:hAnsi="Courier New" w:eastAsia="宋体" w:cs="Times New Roman"/>
      <w:snapToGrid/>
      <w:color w:val="auto"/>
      <w:kern w:val="2"/>
    </w:rPr>
  </w:style>
  <w:style w:type="paragraph" w:styleId="10">
    <w:name w:val="Body Text Indent 2"/>
    <w:basedOn w:val="1"/>
    <w:link w:val="32"/>
    <w:uiPriority w:val="0"/>
    <w:pPr>
      <w:widowControl w:val="0"/>
      <w:kinsoku/>
      <w:autoSpaceDE/>
      <w:autoSpaceDN/>
      <w:adjustRightInd/>
      <w:snapToGrid/>
      <w:spacing w:line="360" w:lineRule="auto"/>
      <w:ind w:firstLine="570" w:firstLineChars="200"/>
      <w:jc w:val="both"/>
      <w:textAlignment w:val="auto"/>
    </w:pPr>
    <w:rPr>
      <w:rFonts w:ascii="楷体_GB2312" w:hAnsi="Times New Roman" w:eastAsia="楷体_GB2312" w:cs="Times New Roman"/>
      <w:snapToGrid/>
      <w:color w:val="auto"/>
      <w:kern w:val="2"/>
      <w:sz w:val="24"/>
      <w:szCs w:val="20"/>
    </w:rPr>
  </w:style>
  <w:style w:type="paragraph" w:styleId="11">
    <w:name w:val="Balloon Text"/>
    <w:basedOn w:val="1"/>
    <w:link w:val="22"/>
    <w:unhideWhenUsed/>
    <w:uiPriority w:val="0"/>
    <w:rPr>
      <w:sz w:val="18"/>
      <w:szCs w:val="18"/>
    </w:rPr>
  </w:style>
  <w:style w:type="paragraph" w:styleId="12">
    <w:name w:val="footer"/>
    <w:basedOn w:val="1"/>
    <w:link w:val="37"/>
    <w:qFormat/>
    <w:uiPriority w:val="0"/>
    <w:pPr>
      <w:widowControl w:val="0"/>
      <w:tabs>
        <w:tab w:val="center" w:pos="4153"/>
        <w:tab w:val="right" w:pos="8306"/>
      </w:tabs>
      <w:kinsoku/>
      <w:autoSpaceDE/>
      <w:autoSpaceDN/>
      <w:adjustRightInd/>
      <w:spacing w:line="360" w:lineRule="auto"/>
      <w:ind w:firstLine="1040" w:firstLineChars="200"/>
      <w:textAlignment w:val="auto"/>
    </w:pPr>
    <w:rPr>
      <w:rFonts w:ascii="Times New Roman" w:hAnsi="Times New Roman" w:eastAsia="宋体" w:cs="Times New Roman"/>
      <w:snapToGrid/>
      <w:color w:val="auto"/>
      <w:kern w:val="2"/>
      <w:sz w:val="18"/>
      <w:szCs w:val="18"/>
    </w:rPr>
  </w:style>
  <w:style w:type="paragraph" w:styleId="13">
    <w:name w:val="header"/>
    <w:basedOn w:val="1"/>
    <w:link w:val="28"/>
    <w:uiPriority w:val="0"/>
    <w:pPr>
      <w:widowControl w:val="0"/>
      <w:pBdr>
        <w:bottom w:val="single" w:color="auto" w:sz="6" w:space="1"/>
      </w:pBdr>
      <w:tabs>
        <w:tab w:val="center" w:pos="4153"/>
        <w:tab w:val="right" w:pos="8306"/>
      </w:tabs>
      <w:kinsoku/>
      <w:autoSpaceDE/>
      <w:autoSpaceDN/>
      <w:adjustRightInd/>
      <w:spacing w:line="360" w:lineRule="auto"/>
      <w:ind w:firstLine="1040" w:firstLineChars="200"/>
      <w:jc w:val="center"/>
      <w:textAlignment w:val="auto"/>
    </w:pPr>
    <w:rPr>
      <w:kern w:val="2"/>
      <w:sz w:val="18"/>
      <w:szCs w:val="18"/>
    </w:rPr>
  </w:style>
  <w:style w:type="paragraph" w:styleId="14">
    <w:name w:val="annotation subject"/>
    <w:basedOn w:val="7"/>
    <w:next w:val="7"/>
    <w:link w:val="29"/>
    <w:uiPriority w:val="0"/>
    <w:rPr>
      <w:b/>
      <w:bCs/>
    </w:rPr>
  </w:style>
  <w:style w:type="character" w:customStyle="1" w:styleId="17">
    <w:name w:val="标题 1 字符"/>
    <w:link w:val="2"/>
    <w:uiPriority w:val="0"/>
    <w:rPr>
      <w:rFonts w:ascii="宋体" w:hAnsi="宋体" w:eastAsia="黑体" w:cs="Times New Roman"/>
      <w:b/>
      <w:snapToGrid/>
      <w:color w:val="auto"/>
      <w:kern w:val="2"/>
      <w:sz w:val="28"/>
      <w:szCs w:val="44"/>
    </w:rPr>
  </w:style>
  <w:style w:type="character" w:customStyle="1" w:styleId="18">
    <w:name w:val="标题 2 字符"/>
    <w:link w:val="3"/>
    <w:uiPriority w:val="0"/>
    <w:rPr>
      <w:rFonts w:ascii="等线 Light" w:hAnsi="等线 Light" w:eastAsia="等线 Light" w:cs="Times New Roman"/>
      <w:b/>
      <w:bCs/>
      <w:snapToGrid/>
      <w:color w:val="auto"/>
      <w:kern w:val="2"/>
      <w:sz w:val="32"/>
      <w:szCs w:val="32"/>
    </w:rPr>
  </w:style>
  <w:style w:type="character" w:customStyle="1" w:styleId="19">
    <w:name w:val="标题 3 字符"/>
    <w:link w:val="4"/>
    <w:uiPriority w:val="0"/>
    <w:rPr>
      <w:rFonts w:ascii="Times New Roman" w:hAnsi="Times New Roman" w:eastAsia="宋体" w:cs="Times New Roman"/>
      <w:b/>
      <w:bCs/>
      <w:snapToGrid/>
      <w:color w:val="auto"/>
      <w:kern w:val="2"/>
      <w:sz w:val="32"/>
      <w:szCs w:val="32"/>
    </w:rPr>
  </w:style>
  <w:style w:type="character" w:customStyle="1" w:styleId="20">
    <w:name w:val="标题 4 字符"/>
    <w:link w:val="5"/>
    <w:uiPriority w:val="0"/>
    <w:rPr>
      <w:rFonts w:ascii="微软雅黑" w:hAnsi="微软雅黑" w:eastAsia="微软雅黑" w:cs="Times New Roman"/>
      <w:snapToGrid/>
      <w:kern w:val="2"/>
      <w:sz w:val="30"/>
      <w:szCs w:val="22"/>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批注框文本 Char"/>
    <w:basedOn w:val="16"/>
    <w:link w:val="11"/>
    <w:semiHidden/>
    <w:uiPriority w:val="99"/>
    <w:rPr>
      <w:sz w:val="18"/>
      <w:szCs w:val="18"/>
    </w:rPr>
  </w:style>
  <w:style w:type="character" w:customStyle="1" w:styleId="23">
    <w:name w:val="标题 1 Char"/>
    <w:basedOn w:val="16"/>
    <w:uiPriority w:val="9"/>
    <w:rPr>
      <w:b/>
      <w:bCs/>
      <w:kern w:val="44"/>
      <w:sz w:val="44"/>
      <w:szCs w:val="44"/>
    </w:rPr>
  </w:style>
  <w:style w:type="character" w:customStyle="1" w:styleId="24">
    <w:name w:val="标题 2 Char"/>
    <w:basedOn w:val="16"/>
    <w:semiHidden/>
    <w:uiPriority w:val="9"/>
    <w:rPr>
      <w:rFonts w:asciiTheme="majorHAnsi" w:hAnsiTheme="majorHAnsi" w:eastAsiaTheme="majorEastAsia" w:cstheme="majorBidi"/>
      <w:b/>
      <w:bCs/>
      <w:sz w:val="32"/>
      <w:szCs w:val="32"/>
    </w:rPr>
  </w:style>
  <w:style w:type="character" w:customStyle="1" w:styleId="25">
    <w:name w:val="标题 3 Char"/>
    <w:basedOn w:val="16"/>
    <w:semiHidden/>
    <w:uiPriority w:val="9"/>
    <w:rPr>
      <w:b/>
      <w:bCs/>
      <w:sz w:val="32"/>
      <w:szCs w:val="32"/>
    </w:rPr>
  </w:style>
  <w:style w:type="character" w:customStyle="1" w:styleId="26">
    <w:name w:val="标题 4 Char"/>
    <w:basedOn w:val="16"/>
    <w:semiHidden/>
    <w:uiPriority w:val="9"/>
    <w:rPr>
      <w:rFonts w:asciiTheme="majorHAnsi" w:hAnsiTheme="majorHAnsi" w:eastAsiaTheme="majorEastAsia" w:cstheme="majorBidi"/>
      <w:b/>
      <w:bCs/>
      <w:sz w:val="28"/>
      <w:szCs w:val="28"/>
    </w:rPr>
  </w:style>
  <w:style w:type="character" w:customStyle="1" w:styleId="27">
    <w:name w:val="批注文字 字符"/>
    <w:link w:val="7"/>
    <w:uiPriority w:val="0"/>
    <w:rPr>
      <w:kern w:val="2"/>
      <w:sz w:val="24"/>
      <w:szCs w:val="24"/>
    </w:rPr>
  </w:style>
  <w:style w:type="character" w:customStyle="1" w:styleId="28">
    <w:name w:val="页眉 字符"/>
    <w:link w:val="13"/>
    <w:uiPriority w:val="0"/>
    <w:rPr>
      <w:kern w:val="2"/>
      <w:sz w:val="18"/>
      <w:szCs w:val="18"/>
    </w:rPr>
  </w:style>
  <w:style w:type="character" w:customStyle="1" w:styleId="29">
    <w:name w:val="批注主题 字符"/>
    <w:link w:val="14"/>
    <w:uiPriority w:val="0"/>
    <w:rPr>
      <w:b/>
      <w:bCs/>
      <w:kern w:val="2"/>
      <w:sz w:val="24"/>
      <w:szCs w:val="24"/>
    </w:rPr>
  </w:style>
  <w:style w:type="character" w:customStyle="1" w:styleId="30">
    <w:name w:val="文档结构图 字符"/>
    <w:link w:val="6"/>
    <w:uiPriority w:val="0"/>
    <w:rPr>
      <w:kern w:val="2"/>
      <w:sz w:val="24"/>
      <w:szCs w:val="24"/>
    </w:rPr>
  </w:style>
  <w:style w:type="character" w:customStyle="1" w:styleId="31">
    <w:name w:val="文档结构图 Char"/>
    <w:basedOn w:val="16"/>
    <w:semiHidden/>
    <w:uiPriority w:val="99"/>
    <w:rPr>
      <w:rFonts w:ascii="宋体" w:eastAsia="宋体"/>
      <w:sz w:val="18"/>
      <w:szCs w:val="18"/>
    </w:rPr>
  </w:style>
  <w:style w:type="character" w:customStyle="1" w:styleId="32">
    <w:name w:val="正文文本缩进 2 Char"/>
    <w:basedOn w:val="16"/>
    <w:link w:val="10"/>
    <w:uiPriority w:val="0"/>
    <w:rPr>
      <w:rFonts w:ascii="楷体_GB2312" w:hAnsi="Times New Roman" w:eastAsia="楷体_GB2312" w:cs="Times New Roman"/>
      <w:snapToGrid/>
      <w:color w:val="auto"/>
      <w:kern w:val="2"/>
      <w:sz w:val="24"/>
      <w:szCs w:val="20"/>
    </w:rPr>
  </w:style>
  <w:style w:type="character" w:customStyle="1" w:styleId="33">
    <w:name w:val="正文文本缩进 Char"/>
    <w:basedOn w:val="16"/>
    <w:link w:val="8"/>
    <w:qFormat/>
    <w:uiPriority w:val="0"/>
    <w:rPr>
      <w:rFonts w:ascii="宋体" w:hAnsi="宋体" w:eastAsia="宋体" w:cs="Times New Roman"/>
      <w:b/>
      <w:bCs/>
      <w:snapToGrid/>
      <w:color w:val="auto"/>
      <w:kern w:val="2"/>
      <w:sz w:val="24"/>
      <w:szCs w:val="24"/>
    </w:rPr>
  </w:style>
  <w:style w:type="character" w:customStyle="1" w:styleId="34">
    <w:name w:val="批注文字 Char"/>
    <w:basedOn w:val="16"/>
    <w:semiHidden/>
    <w:uiPriority w:val="99"/>
  </w:style>
  <w:style w:type="character" w:customStyle="1" w:styleId="35">
    <w:name w:val="页眉 Char"/>
    <w:basedOn w:val="16"/>
    <w:semiHidden/>
    <w:uiPriority w:val="99"/>
    <w:rPr>
      <w:sz w:val="18"/>
      <w:szCs w:val="18"/>
    </w:rPr>
  </w:style>
  <w:style w:type="character" w:customStyle="1" w:styleId="36">
    <w:name w:val="纯文本 Char"/>
    <w:basedOn w:val="16"/>
    <w:link w:val="9"/>
    <w:uiPriority w:val="0"/>
    <w:rPr>
      <w:rFonts w:ascii="宋体" w:hAnsi="Courier New" w:eastAsia="宋体" w:cs="Times New Roman"/>
      <w:snapToGrid/>
      <w:color w:val="auto"/>
      <w:kern w:val="2"/>
    </w:rPr>
  </w:style>
  <w:style w:type="character" w:customStyle="1" w:styleId="37">
    <w:name w:val="页脚 Char"/>
    <w:basedOn w:val="16"/>
    <w:link w:val="12"/>
    <w:uiPriority w:val="0"/>
    <w:rPr>
      <w:rFonts w:ascii="Times New Roman" w:hAnsi="Times New Roman" w:eastAsia="宋体" w:cs="Times New Roman"/>
      <w:snapToGrid/>
      <w:color w:val="auto"/>
      <w:kern w:val="2"/>
      <w:sz w:val="18"/>
      <w:szCs w:val="18"/>
    </w:rPr>
  </w:style>
  <w:style w:type="character" w:customStyle="1" w:styleId="38">
    <w:name w:val="批注主题 Char"/>
    <w:basedOn w:val="34"/>
    <w:semiHidden/>
    <w:uiPriority w:val="99"/>
    <w:rPr>
      <w:b/>
      <w:bCs/>
    </w:rPr>
  </w:style>
  <w:style w:type="paragraph" w:customStyle="1" w:styleId="39">
    <w:name w:val="标题②"/>
    <w:basedOn w:val="3"/>
    <w:next w:val="3"/>
    <w:qFormat/>
    <w:uiPriority w:val="0"/>
    <w:pPr>
      <w:widowControl/>
      <w:spacing w:before="50" w:beforeLines="50" w:after="50" w:afterLines="50" w:line="240" w:lineRule="auto"/>
      <w:jc w:val="left"/>
    </w:pPr>
    <w:rPr>
      <w:rFonts w:ascii="楷体_GB2312" w:hAnsi="楷体_GB2312" w:eastAsia="楷体"/>
      <w:color w:val="000000"/>
      <w:sz w:val="24"/>
    </w:rPr>
  </w:style>
  <w:style w:type="paragraph" w:customStyle="1" w:styleId="40">
    <w:name w:val="标题2"/>
    <w:basedOn w:val="3"/>
    <w:next w:val="3"/>
    <w:qFormat/>
    <w:uiPriority w:val="0"/>
    <w:pPr>
      <w:spacing w:before="50" w:beforeLines="50" w:after="50" w:afterLines="50" w:line="240" w:lineRule="auto"/>
      <w:jc w:val="left"/>
    </w:pPr>
    <w:rPr>
      <w:rFonts w:ascii="楷体_GB2312" w:hAnsi="楷体_GB2312" w:eastAsia="楷体"/>
      <w:color w:val="000000"/>
      <w:sz w:val="24"/>
    </w:rPr>
  </w:style>
  <w:style w:type="paragraph" w:customStyle="1" w:styleId="41">
    <w:name w:val="标题3"/>
    <w:basedOn w:val="4"/>
    <w:next w:val="4"/>
    <w:qFormat/>
    <w:uiPriority w:val="0"/>
    <w:pPr>
      <w:spacing w:before="100" w:after="100" w:line="240" w:lineRule="auto"/>
      <w:jc w:val="left"/>
    </w:pPr>
    <w:rPr>
      <w:rFonts w:eastAsia="楷体"/>
      <w:b w:val="0"/>
      <w:sz w:val="24"/>
    </w:rPr>
  </w:style>
  <w:style w:type="paragraph" w:styleId="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89</Pages>
  <Words>6352</Words>
  <Characters>36212</Characters>
  <Lines>301</Lines>
  <Paragraphs>84</Paragraphs>
  <TotalTime>11</TotalTime>
  <ScaleCrop>false</ScaleCrop>
  <LinksUpToDate>false</LinksUpToDate>
  <CharactersWithSpaces>42480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2022-08-10T09:39:00Z</dcterms:created>
  <dc:creator>Cynthia</dc:creator>
  <cp:lastModifiedBy>飍飝䨻龘</cp:lastModifiedBy>
  <dcterms:modified xsi:type="dcterms:W3CDTF">2023-11-27T08:15:24Z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2022-08-08T15:29:24Z</vt:filetime>
  </property>
  <property fmtid="{D5CDD505-2E9C-101B-9397-08002B2CF9AE}" pid="4" name="KSOProductBuildVer">
    <vt:lpwstr>2052-12.1.0.15712</vt:lpwstr>
  </property>
  <property fmtid="{D5CDD505-2E9C-101B-9397-08002B2CF9AE}" pid="5" name="ICV">
    <vt:lpwstr>D8A01E6077204DE7B4DC118A32F4494A_12</vt:lpwstr>
  </property>
</Properties>
</file>